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rFonts w:eastAsia="仿宋_GB2312"/>
          <w:sz w:val="36"/>
          <w:szCs w:val="36"/>
        </w:rPr>
      </w:pPr>
    </w:p>
    <w:p>
      <w:pPr>
        <w:ind w:firstLine="0" w:firstLineChars="0"/>
        <w:rPr>
          <w:rFonts w:eastAsia="仿宋_GB2312"/>
          <w:sz w:val="36"/>
          <w:szCs w:val="36"/>
        </w:rPr>
      </w:pPr>
    </w:p>
    <w:p>
      <w:pPr>
        <w:ind w:firstLine="0" w:firstLineChars="0"/>
        <w:jc w:val="center"/>
        <w:outlineLvl w:val="0"/>
        <w:rPr>
          <w:rFonts w:eastAsia="方正小标宋_GBK"/>
          <w:bCs/>
          <w:sz w:val="72"/>
          <w:szCs w:val="72"/>
        </w:rPr>
      </w:pPr>
      <w:r>
        <w:rPr>
          <w:rFonts w:eastAsia="方正小标宋_GBK"/>
          <w:bCs/>
          <w:sz w:val="72"/>
          <w:szCs w:val="72"/>
        </w:rPr>
        <w:t>建设项目环境影响报告表</w:t>
      </w:r>
    </w:p>
    <w:p>
      <w:pPr>
        <w:spacing w:before="260" w:beforeLines="80"/>
        <w:ind w:firstLine="0" w:firstLineChars="0"/>
        <w:jc w:val="center"/>
        <w:rPr>
          <w:rFonts w:eastAsia="楷体_GB2312"/>
          <w:bCs/>
          <w:sz w:val="48"/>
          <w:szCs w:val="48"/>
        </w:rPr>
      </w:pPr>
      <w:r>
        <w:rPr>
          <w:rFonts w:eastAsia="楷体_GB2312"/>
          <w:bCs/>
          <w:sz w:val="48"/>
          <w:szCs w:val="48"/>
        </w:rPr>
        <w:t>(污染影响类)</w:t>
      </w:r>
    </w:p>
    <w:p>
      <w:pPr>
        <w:ind w:firstLine="0" w:firstLineChars="0"/>
        <w:jc w:val="center"/>
        <w:rPr>
          <w:rFonts w:eastAsia="华文仿宋"/>
          <w:color w:val="000000"/>
          <w:kern w:val="44"/>
          <w:sz w:val="44"/>
          <w:szCs w:val="44"/>
        </w:rPr>
      </w:pPr>
    </w:p>
    <w:p>
      <w:pPr>
        <w:ind w:firstLine="0" w:firstLineChars="0"/>
        <w:jc w:val="center"/>
        <w:rPr>
          <w:rFonts w:eastAsia="仿宋"/>
          <w:sz w:val="52"/>
          <w:szCs w:val="52"/>
        </w:rPr>
      </w:pPr>
    </w:p>
    <w:p>
      <w:pPr>
        <w:ind w:firstLine="1040" w:firstLineChars="0"/>
        <w:rPr>
          <w:rFonts w:eastAsia="仿宋"/>
          <w:sz w:val="44"/>
          <w:szCs w:val="44"/>
        </w:rPr>
      </w:pPr>
    </w:p>
    <w:p>
      <w:pPr>
        <w:ind w:firstLine="1040" w:firstLineChars="0"/>
        <w:rPr>
          <w:rFonts w:eastAsia="仿宋"/>
          <w:sz w:val="44"/>
          <w:szCs w:val="44"/>
        </w:rPr>
      </w:pPr>
    </w:p>
    <w:p>
      <w:pPr>
        <w:ind w:firstLine="1040" w:firstLineChars="0"/>
        <w:rPr>
          <w:rFonts w:eastAsia="仿宋"/>
          <w:sz w:val="44"/>
          <w:szCs w:val="44"/>
        </w:rPr>
      </w:pPr>
    </w:p>
    <w:p>
      <w:pPr>
        <w:ind w:firstLine="1040" w:firstLineChars="0"/>
        <w:rPr>
          <w:rFonts w:eastAsia="仿宋"/>
          <w:sz w:val="44"/>
          <w:szCs w:val="44"/>
        </w:rPr>
      </w:pPr>
    </w:p>
    <w:p>
      <w:pPr>
        <w:ind w:left="480" w:leftChars="200" w:right="480" w:rightChars="200" w:firstLine="0" w:firstLineChars="0"/>
        <w:rPr>
          <w:rFonts w:eastAsia="仿宋_GB2312"/>
          <w:sz w:val="36"/>
          <w:szCs w:val="36"/>
          <w:u w:val="single"/>
        </w:rPr>
      </w:pPr>
      <w:r>
        <w:rPr>
          <w:rFonts w:eastAsia="仿宋_GB2312"/>
          <w:sz w:val="36"/>
          <w:szCs w:val="36"/>
        </w:rPr>
        <w:t>项目名称：</w:t>
      </w:r>
      <w:r>
        <w:rPr>
          <w:rFonts w:eastAsia="仿宋_GB2312"/>
          <w:sz w:val="36"/>
          <w:szCs w:val="36"/>
          <w:u w:val="single"/>
        </w:rPr>
        <w:t xml:space="preserve"> 3万吨/年特殊钢铸件项目          </w:t>
      </w:r>
    </w:p>
    <w:p>
      <w:pPr>
        <w:ind w:left="480" w:leftChars="200" w:right="480" w:rightChars="200" w:firstLine="0" w:firstLineChars="0"/>
        <w:rPr>
          <w:rFonts w:eastAsia="仿宋_GB2312"/>
          <w:sz w:val="36"/>
          <w:szCs w:val="36"/>
          <w:u w:val="single"/>
        </w:rPr>
      </w:pPr>
      <w:r>
        <w:rPr>
          <w:rFonts w:eastAsia="仿宋_GB2312"/>
          <w:sz w:val="36"/>
          <w:szCs w:val="36"/>
        </w:rPr>
        <w:t>建设单位(盖章)：</w:t>
      </w:r>
      <w:r>
        <w:rPr>
          <w:rFonts w:eastAsia="仿宋_GB2312"/>
          <w:sz w:val="36"/>
          <w:szCs w:val="36"/>
          <w:u w:val="single"/>
        </w:rPr>
        <w:t>安徽泰昌特殊合金制造有限公司</w:t>
      </w:r>
    </w:p>
    <w:p>
      <w:pPr>
        <w:ind w:left="480" w:leftChars="200" w:right="480" w:rightChars="200" w:firstLine="0" w:firstLineChars="0"/>
        <w:rPr>
          <w:rFonts w:eastAsia="仿宋_GB2312"/>
          <w:sz w:val="36"/>
          <w:szCs w:val="36"/>
          <w:u w:val="single"/>
        </w:rPr>
      </w:pPr>
      <w:r>
        <w:rPr>
          <w:rFonts w:eastAsia="仿宋_GB2312"/>
          <w:sz w:val="36"/>
          <w:szCs w:val="36"/>
        </w:rPr>
        <w:t>编制日期：</w:t>
      </w:r>
      <w:r>
        <w:rPr>
          <w:rFonts w:eastAsia="仿宋_GB2312"/>
          <w:sz w:val="36"/>
          <w:szCs w:val="36"/>
          <w:u w:val="single"/>
        </w:rPr>
        <w:t xml:space="preserve">  二</w:t>
      </w:r>
      <w:r>
        <w:rPr>
          <w:rFonts w:eastAsia="微软雅黑"/>
          <w:sz w:val="36"/>
          <w:szCs w:val="36"/>
          <w:u w:val="single"/>
        </w:rPr>
        <w:t>〇</w:t>
      </w:r>
      <w:r>
        <w:rPr>
          <w:rFonts w:eastAsia="仿宋_GB2312"/>
          <w:sz w:val="36"/>
          <w:szCs w:val="36"/>
          <w:u w:val="single"/>
        </w:rPr>
        <w:t>二四年</w:t>
      </w:r>
      <w:r>
        <w:rPr>
          <w:rFonts w:hint="eastAsia" w:eastAsia="仿宋_GB2312"/>
          <w:sz w:val="36"/>
          <w:szCs w:val="36"/>
          <w:u w:val="single"/>
          <w:lang w:val="en-US" w:eastAsia="zh-CN"/>
        </w:rPr>
        <w:t>三</w:t>
      </w:r>
      <w:r>
        <w:rPr>
          <w:rFonts w:eastAsia="仿宋_GB2312"/>
          <w:sz w:val="36"/>
          <w:szCs w:val="36"/>
          <w:u w:val="single"/>
        </w:rPr>
        <w:t xml:space="preserve">月                  </w:t>
      </w:r>
    </w:p>
    <w:p>
      <w:pPr>
        <w:ind w:firstLine="1040" w:firstLineChars="0"/>
        <w:rPr>
          <w:rFonts w:eastAsia="仿宋"/>
          <w:sz w:val="44"/>
          <w:szCs w:val="44"/>
        </w:rPr>
      </w:pPr>
      <w:bookmarkStart w:id="0" w:name="_Hlk57884087"/>
    </w:p>
    <w:p>
      <w:pPr>
        <w:ind w:firstLine="1040" w:firstLineChars="0"/>
        <w:rPr>
          <w:rFonts w:eastAsia="仿宋"/>
          <w:sz w:val="44"/>
          <w:szCs w:val="44"/>
        </w:rPr>
      </w:pPr>
    </w:p>
    <w:p>
      <w:pPr>
        <w:ind w:firstLine="1040" w:firstLineChars="0"/>
        <w:rPr>
          <w:rFonts w:eastAsia="仿宋"/>
          <w:sz w:val="44"/>
          <w:szCs w:val="44"/>
        </w:rPr>
      </w:pPr>
    </w:p>
    <w:p>
      <w:pPr>
        <w:ind w:firstLine="1040" w:firstLineChars="0"/>
        <w:rPr>
          <w:rFonts w:eastAsia="仿宋"/>
          <w:sz w:val="44"/>
          <w:szCs w:val="44"/>
        </w:rPr>
      </w:pPr>
    </w:p>
    <w:bookmarkEnd w:id="0"/>
    <w:p>
      <w:pPr>
        <w:ind w:firstLine="0" w:firstLineChars="0"/>
        <w:jc w:val="center"/>
        <w:rPr>
          <w:rFonts w:eastAsia="楷体_GB2312"/>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418" w:left="1418" w:header="851" w:footer="851" w:gutter="0"/>
          <w:cols w:space="425" w:num="1"/>
          <w:docGrid w:type="lines" w:linePitch="326" w:charSpace="0"/>
        </w:sectPr>
      </w:pPr>
      <w:r>
        <w:rPr>
          <w:rFonts w:eastAsia="楷体_GB2312"/>
          <w:sz w:val="36"/>
          <w:szCs w:val="36"/>
        </w:rPr>
        <w:t>中华人民共和国生态环境部制</w:t>
      </w:r>
    </w:p>
    <w:p>
      <w:pPr>
        <w:widowControl/>
        <w:spacing w:line="480" w:lineRule="exact"/>
        <w:ind w:firstLine="0" w:firstLineChars="0"/>
        <w:outlineLvl w:val="0"/>
        <w:rPr>
          <w:rFonts w:eastAsia="黑体"/>
          <w:snapToGrid w:val="0"/>
          <w:kern w:val="0"/>
          <w:sz w:val="30"/>
          <w:szCs w:val="30"/>
        </w:rPr>
      </w:pPr>
      <w:r>
        <w:rPr>
          <w:rFonts w:eastAsia="黑体"/>
          <w:snapToGrid w:val="0"/>
          <w:kern w:val="0"/>
          <w:sz w:val="30"/>
          <w:szCs w:val="30"/>
        </w:rPr>
        <w:t>一、建设项目基本情况</w:t>
      </w:r>
      <w:bookmarkStart w:id="5" w:name="_GoBack"/>
      <w:bookmarkEnd w:id="5"/>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270"/>
        <w:gridCol w:w="1852"/>
        <w:gridCol w:w="2050"/>
        <w:gridCol w:w="29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建设项目名称</w:t>
            </w:r>
          </w:p>
        </w:tc>
        <w:tc>
          <w:tcPr>
            <w:tcW w:w="3752" w:type="pct"/>
            <w:gridSpan w:val="3"/>
            <w:vAlign w:val="center"/>
          </w:tcPr>
          <w:p>
            <w:pPr>
              <w:spacing w:line="480" w:lineRule="exact"/>
              <w:ind w:firstLine="0" w:firstLineChars="0"/>
            </w:pPr>
            <w:r>
              <w:t>3万吨/年特殊钢铸件项目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项目代码</w:t>
            </w:r>
          </w:p>
        </w:tc>
        <w:tc>
          <w:tcPr>
            <w:tcW w:w="3752" w:type="pct"/>
            <w:gridSpan w:val="3"/>
            <w:vAlign w:val="center"/>
          </w:tcPr>
          <w:p>
            <w:pPr>
              <w:spacing w:line="480" w:lineRule="exact"/>
              <w:ind w:firstLine="0" w:firstLineChars="0"/>
            </w:pPr>
            <w:r>
              <w:t>2312-340321-04-01-500044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建设单位联系人</w:t>
            </w:r>
          </w:p>
        </w:tc>
        <w:tc>
          <w:tcPr>
            <w:tcW w:w="1018" w:type="pct"/>
            <w:vAlign w:val="center"/>
          </w:tcPr>
          <w:p>
            <w:pPr>
              <w:spacing w:line="480" w:lineRule="exact"/>
              <w:ind w:firstLine="0" w:firstLineChars="0"/>
            </w:pPr>
            <w:r>
              <w:t>褚海涛</w:t>
            </w:r>
          </w:p>
        </w:tc>
        <w:tc>
          <w:tcPr>
            <w:tcW w:w="1127" w:type="pct"/>
            <w:vAlign w:val="center"/>
          </w:tcPr>
          <w:p>
            <w:pPr>
              <w:spacing w:line="480" w:lineRule="exact"/>
              <w:ind w:firstLine="0" w:firstLineChars="0"/>
              <w:rPr>
                <w:b/>
                <w:bCs/>
              </w:rPr>
            </w:pPr>
            <w:r>
              <w:rPr>
                <w:b/>
                <w:bCs/>
              </w:rPr>
              <w:t>联系方式</w:t>
            </w:r>
          </w:p>
        </w:tc>
        <w:tc>
          <w:tcPr>
            <w:tcW w:w="1607" w:type="pct"/>
            <w:vAlign w:val="center"/>
          </w:tcPr>
          <w:p>
            <w:pPr>
              <w:spacing w:line="480" w:lineRule="exact"/>
              <w:ind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建设地点</w:t>
            </w:r>
          </w:p>
        </w:tc>
        <w:tc>
          <w:tcPr>
            <w:tcW w:w="3752" w:type="pct"/>
            <w:gridSpan w:val="3"/>
            <w:vAlign w:val="center"/>
          </w:tcPr>
          <w:p>
            <w:pPr>
              <w:spacing w:line="480" w:lineRule="exact"/>
              <w:ind w:firstLine="0" w:firstLineChars="0"/>
            </w:pPr>
            <w:r>
              <w:t>安徽怀远经济开发区乳泉大道2号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地理坐标</w:t>
            </w:r>
          </w:p>
        </w:tc>
        <w:tc>
          <w:tcPr>
            <w:tcW w:w="3752" w:type="pct"/>
            <w:gridSpan w:val="3"/>
            <w:vAlign w:val="center"/>
          </w:tcPr>
          <w:p>
            <w:pPr>
              <w:spacing w:line="480" w:lineRule="exact"/>
              <w:ind w:firstLine="0" w:firstLineChars="0"/>
            </w:pPr>
            <w:r>
              <w:rPr>
                <w:u w:val="single"/>
              </w:rPr>
              <w:t>117</w:t>
            </w:r>
            <w:r>
              <w:t>度</w:t>
            </w:r>
            <w:r>
              <w:rPr>
                <w:u w:val="single"/>
              </w:rPr>
              <w:t>15</w:t>
            </w:r>
            <w:r>
              <w:t>分</w:t>
            </w:r>
            <w:r>
              <w:rPr>
                <w:u w:val="single"/>
              </w:rPr>
              <w:t>34.204</w:t>
            </w:r>
            <w:r>
              <w:t>秒，</w:t>
            </w:r>
            <w:r>
              <w:rPr>
                <w:u w:val="single"/>
              </w:rPr>
              <w:t>32</w:t>
            </w:r>
            <w:r>
              <w:t>度</w:t>
            </w:r>
            <w:r>
              <w:rPr>
                <w:u w:val="single"/>
              </w:rPr>
              <w:t>58</w:t>
            </w:r>
            <w:r>
              <w:t>分</w:t>
            </w:r>
            <w:r>
              <w:rPr>
                <w:u w:val="single"/>
              </w:rPr>
              <w:t>48.767</w:t>
            </w:r>
            <w: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国民经济行业类别</w:t>
            </w:r>
          </w:p>
        </w:tc>
        <w:tc>
          <w:tcPr>
            <w:tcW w:w="1018" w:type="pct"/>
            <w:vAlign w:val="center"/>
          </w:tcPr>
          <w:p>
            <w:pPr>
              <w:spacing w:line="480" w:lineRule="exact"/>
              <w:ind w:firstLine="0" w:firstLineChars="0"/>
            </w:pPr>
            <w:r>
              <w:t>C339</w:t>
            </w:r>
            <w:r>
              <w:rPr>
                <w:rFonts w:hint="eastAsia"/>
                <w:lang w:val="en-US" w:eastAsia="zh-CN"/>
              </w:rPr>
              <w:t xml:space="preserve">1 </w:t>
            </w:r>
            <w:r>
              <w:rPr>
                <w:rFonts w:hint="eastAsia"/>
              </w:rPr>
              <w:t>黑色金属铸造</w:t>
            </w:r>
          </w:p>
        </w:tc>
        <w:tc>
          <w:tcPr>
            <w:tcW w:w="1127" w:type="pct"/>
            <w:vAlign w:val="center"/>
          </w:tcPr>
          <w:p>
            <w:pPr>
              <w:spacing w:line="480" w:lineRule="exact"/>
              <w:ind w:firstLine="0" w:firstLineChars="0"/>
              <w:rPr>
                <w:b/>
                <w:bCs/>
              </w:rPr>
            </w:pPr>
            <w:bookmarkStart w:id="1" w:name="_Hlk49843745"/>
            <w:r>
              <w:rPr>
                <w:b/>
                <w:bCs/>
              </w:rPr>
              <w:t>建设项目行业类别</w:t>
            </w:r>
            <w:bookmarkEnd w:id="1"/>
          </w:p>
        </w:tc>
        <w:tc>
          <w:tcPr>
            <w:tcW w:w="1607" w:type="pct"/>
            <w:vAlign w:val="center"/>
          </w:tcPr>
          <w:p>
            <w:pPr>
              <w:spacing w:line="480" w:lineRule="exact"/>
              <w:ind w:firstLine="0" w:firstLineChars="0"/>
              <w:rPr>
                <w:rFonts w:hint="eastAsia" w:eastAsia="宋体"/>
                <w:lang w:eastAsia="zh-CN"/>
              </w:rPr>
            </w:pPr>
            <w:r>
              <w:t>三十、金属制品业 33—68、铸造及其他金属制品制造 339—其他</w:t>
            </w:r>
            <w:r>
              <w:rPr>
                <w:rFonts w:hint="eastAsia"/>
                <w:lang w:eastAsia="zh-CN"/>
              </w:rPr>
              <w:t>(</w:t>
            </w:r>
            <w:r>
              <w:t>仅分割、焊接、组装的除外</w:t>
            </w:r>
            <w:r>
              <w:rPr>
                <w:rFonts w:hint="eastAsia"/>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建设性质</w:t>
            </w:r>
          </w:p>
        </w:tc>
        <w:tc>
          <w:tcPr>
            <w:tcW w:w="1018" w:type="pct"/>
            <w:vAlign w:val="center"/>
          </w:tcPr>
          <w:p>
            <w:pPr>
              <w:spacing w:line="480" w:lineRule="exact"/>
              <w:ind w:firstLine="0" w:firstLineChars="0"/>
            </w:pPr>
            <w:r>
              <w:fldChar w:fldCharType="begin"/>
            </w:r>
            <w:r>
              <w:instrText xml:space="preserve"> </w:instrText>
            </w:r>
            <w:r>
              <w:rPr>
                <w:rFonts w:hint="eastAsia"/>
              </w:rPr>
              <w:instrText xml:space="preserve">eq \o\ac(□,√)</w:instrText>
            </w:r>
            <w:r>
              <w:fldChar w:fldCharType="end"/>
            </w:r>
            <w:r>
              <w:t>新建(迁建)</w:t>
            </w:r>
          </w:p>
          <w:p>
            <w:pPr>
              <w:spacing w:line="480" w:lineRule="exact"/>
              <w:ind w:firstLine="0" w:firstLineChars="0"/>
            </w:pPr>
            <w:r>
              <w:rPr/>
              <w:sym w:font="Wingdings 2" w:char="00A3"/>
            </w:r>
            <w:r>
              <w:t>改建</w:t>
            </w:r>
          </w:p>
          <w:p>
            <w:pPr>
              <w:spacing w:line="480" w:lineRule="exact"/>
              <w:ind w:firstLine="0" w:firstLineChars="0"/>
            </w:pPr>
            <w:r>
              <w:rPr/>
              <w:sym w:font="Wingdings 2" w:char="00A3"/>
            </w:r>
            <w:r>
              <w:t>扩建</w:t>
            </w:r>
          </w:p>
          <w:p>
            <w:pPr>
              <w:spacing w:line="480" w:lineRule="exact"/>
              <w:ind w:firstLine="0" w:firstLineChars="0"/>
            </w:pPr>
            <w:r>
              <w:rPr/>
              <w:sym w:font="Wingdings 2" w:char="00A3"/>
            </w:r>
            <w:r>
              <w:t>技术改造</w:t>
            </w:r>
          </w:p>
        </w:tc>
        <w:tc>
          <w:tcPr>
            <w:tcW w:w="1127" w:type="pct"/>
            <w:vAlign w:val="center"/>
          </w:tcPr>
          <w:p>
            <w:pPr>
              <w:spacing w:line="480" w:lineRule="exact"/>
              <w:ind w:firstLine="0" w:firstLineChars="0"/>
              <w:rPr>
                <w:b/>
                <w:bCs/>
              </w:rPr>
            </w:pPr>
            <w:r>
              <w:rPr>
                <w:b/>
                <w:bCs/>
              </w:rPr>
              <w:t>建设项目申报情形</w:t>
            </w:r>
          </w:p>
        </w:tc>
        <w:tc>
          <w:tcPr>
            <w:tcW w:w="1607" w:type="pct"/>
            <w:vAlign w:val="center"/>
          </w:tcPr>
          <w:p>
            <w:pPr>
              <w:spacing w:line="480" w:lineRule="exact"/>
              <w:ind w:firstLine="0" w:firstLineChars="0"/>
            </w:pPr>
            <w:r>
              <w:fldChar w:fldCharType="begin"/>
            </w:r>
            <w:r>
              <w:instrText xml:space="preserve"> </w:instrText>
            </w:r>
            <w:r>
              <w:rPr>
                <w:rFonts w:hint="eastAsia"/>
              </w:rPr>
              <w:instrText xml:space="preserve">eq \o\ac(□,√)</w:instrText>
            </w:r>
            <w:r>
              <w:fldChar w:fldCharType="end"/>
            </w:r>
            <w:r>
              <w:t xml:space="preserve">首次申报项目             </w:t>
            </w:r>
          </w:p>
          <w:p>
            <w:pPr>
              <w:spacing w:line="480" w:lineRule="exact"/>
              <w:ind w:firstLine="0" w:firstLineChars="0"/>
            </w:pPr>
            <w:r>
              <w:rPr/>
              <w:sym w:font="Wingdings 2" w:char="00A3"/>
            </w:r>
            <w:r>
              <w:t>不予批准后再次申报项目</w:t>
            </w:r>
          </w:p>
          <w:p>
            <w:pPr>
              <w:spacing w:line="480" w:lineRule="exact"/>
              <w:ind w:firstLine="0" w:firstLineChars="0"/>
            </w:pPr>
            <w:r>
              <w:rPr/>
              <w:sym w:font="Wingdings 2" w:char="00A3"/>
            </w:r>
            <w:r>
              <w:t xml:space="preserve">超五年重新审核项目     </w:t>
            </w:r>
          </w:p>
          <w:p>
            <w:pPr>
              <w:spacing w:line="480" w:lineRule="exact"/>
              <w:ind w:firstLine="0" w:firstLineChars="0"/>
            </w:pPr>
            <w:r>
              <w:rPr/>
              <w:sym w:font="Wingdings 2" w:char="00A3"/>
            </w:r>
            <w: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项目审批(核准/</w:t>
            </w:r>
          </w:p>
          <w:p>
            <w:pPr>
              <w:spacing w:line="480" w:lineRule="exact"/>
              <w:ind w:firstLine="0" w:firstLineChars="0"/>
              <w:rPr>
                <w:b/>
                <w:bCs/>
              </w:rPr>
            </w:pPr>
            <w:r>
              <w:rPr>
                <w:b/>
                <w:bCs/>
              </w:rPr>
              <w:t>备案)部门(选填)</w:t>
            </w:r>
          </w:p>
        </w:tc>
        <w:tc>
          <w:tcPr>
            <w:tcW w:w="1018" w:type="pct"/>
            <w:vAlign w:val="center"/>
          </w:tcPr>
          <w:p>
            <w:pPr>
              <w:spacing w:line="480" w:lineRule="exact"/>
              <w:ind w:firstLine="0" w:firstLineChars="0"/>
            </w:pPr>
            <w:r>
              <w:t>怀远县发改委</w:t>
            </w:r>
          </w:p>
        </w:tc>
        <w:tc>
          <w:tcPr>
            <w:tcW w:w="1127" w:type="pct"/>
            <w:vAlign w:val="center"/>
          </w:tcPr>
          <w:p>
            <w:pPr>
              <w:spacing w:line="480" w:lineRule="exact"/>
              <w:ind w:firstLine="0" w:firstLineChars="0"/>
              <w:rPr>
                <w:b/>
                <w:bCs/>
              </w:rPr>
            </w:pPr>
            <w:r>
              <w:rPr>
                <w:b/>
                <w:bCs/>
              </w:rPr>
              <w:t>项目审批(核准/</w:t>
            </w:r>
          </w:p>
          <w:p>
            <w:pPr>
              <w:spacing w:line="480" w:lineRule="exact"/>
              <w:ind w:firstLine="0" w:firstLineChars="0"/>
              <w:rPr>
                <w:b/>
                <w:bCs/>
              </w:rPr>
            </w:pPr>
            <w:r>
              <w:rPr>
                <w:b/>
                <w:bCs/>
              </w:rPr>
              <w:t>备案)文号(选填)</w:t>
            </w:r>
          </w:p>
        </w:tc>
        <w:tc>
          <w:tcPr>
            <w:tcW w:w="1607" w:type="pct"/>
            <w:vAlign w:val="center"/>
          </w:tcPr>
          <w:p>
            <w:pPr>
              <w:spacing w:line="480" w:lineRule="exact"/>
              <w:ind w:firstLine="0" w:firstLineChars="0"/>
            </w:pPr>
            <w: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总投资(万元)</w:t>
            </w:r>
          </w:p>
        </w:tc>
        <w:tc>
          <w:tcPr>
            <w:tcW w:w="1018" w:type="pct"/>
            <w:vAlign w:val="center"/>
          </w:tcPr>
          <w:p>
            <w:pPr>
              <w:spacing w:line="480" w:lineRule="exact"/>
              <w:ind w:firstLine="0" w:firstLineChars="0"/>
            </w:pPr>
            <w:r>
              <w:t>17539</w:t>
            </w:r>
          </w:p>
        </w:tc>
        <w:tc>
          <w:tcPr>
            <w:tcW w:w="1127" w:type="pct"/>
            <w:tcMar>
              <w:top w:w="16" w:type="dxa"/>
              <w:left w:w="16" w:type="dxa"/>
              <w:right w:w="16" w:type="dxa"/>
            </w:tcMar>
            <w:vAlign w:val="center"/>
          </w:tcPr>
          <w:p>
            <w:pPr>
              <w:spacing w:line="480" w:lineRule="exact"/>
              <w:ind w:firstLine="0" w:firstLineChars="0"/>
              <w:rPr>
                <w:b/>
                <w:bCs/>
              </w:rPr>
            </w:pPr>
            <w:r>
              <w:rPr>
                <w:b/>
                <w:bCs/>
              </w:rPr>
              <w:t>环保投资(万元)</w:t>
            </w:r>
          </w:p>
        </w:tc>
        <w:tc>
          <w:tcPr>
            <w:tcW w:w="1607" w:type="pct"/>
            <w:vAlign w:val="center"/>
          </w:tcPr>
          <w:p>
            <w:pPr>
              <w:spacing w:line="480" w:lineRule="exact"/>
              <w:ind w:firstLine="0" w:firstLineChars="0"/>
              <w:rPr>
                <w:rFonts w:hint="default" w:eastAsia="宋体"/>
                <w:lang w:val="en-US" w:eastAsia="zh-CN"/>
              </w:rPr>
            </w:pPr>
            <w:r>
              <w:rPr>
                <w:rFonts w:hint="eastAsia"/>
                <w:lang w:val="en-US" w:eastAsia="zh-CN"/>
              </w:rPr>
              <w:t>480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环保投资占比(%)</w:t>
            </w:r>
          </w:p>
        </w:tc>
        <w:tc>
          <w:tcPr>
            <w:tcW w:w="1018" w:type="pct"/>
            <w:vAlign w:val="center"/>
          </w:tcPr>
          <w:p>
            <w:pPr>
              <w:spacing w:line="480" w:lineRule="exact"/>
              <w:ind w:firstLine="0" w:firstLineChars="0"/>
              <w:rPr>
                <w:rFonts w:hint="default" w:eastAsia="宋体"/>
                <w:lang w:val="en-US" w:eastAsia="zh-CN"/>
              </w:rPr>
            </w:pPr>
            <w:r>
              <w:rPr>
                <w:rFonts w:hint="eastAsia"/>
                <w:lang w:val="en-US" w:eastAsia="zh-CN"/>
              </w:rPr>
              <w:t>2.74</w:t>
            </w:r>
          </w:p>
        </w:tc>
        <w:tc>
          <w:tcPr>
            <w:tcW w:w="1127" w:type="pct"/>
            <w:tcMar>
              <w:top w:w="16" w:type="dxa"/>
              <w:left w:w="16" w:type="dxa"/>
              <w:right w:w="16" w:type="dxa"/>
            </w:tcMar>
            <w:vAlign w:val="center"/>
          </w:tcPr>
          <w:p>
            <w:pPr>
              <w:spacing w:line="480" w:lineRule="exact"/>
              <w:ind w:firstLine="0" w:firstLineChars="0"/>
              <w:rPr>
                <w:b/>
                <w:bCs/>
              </w:rPr>
            </w:pPr>
            <w:r>
              <w:rPr>
                <w:b/>
                <w:bCs/>
              </w:rPr>
              <w:t>施工工期</w:t>
            </w:r>
          </w:p>
        </w:tc>
        <w:tc>
          <w:tcPr>
            <w:tcW w:w="1607" w:type="pct"/>
            <w:vAlign w:val="center"/>
          </w:tcPr>
          <w:p>
            <w:pPr>
              <w:spacing w:line="480" w:lineRule="exact"/>
              <w:ind w:firstLine="0" w:firstLineChars="0"/>
            </w:pPr>
            <w:r>
              <w:rPr>
                <w:rFonts w:hint="eastAsia"/>
                <w:lang w:val="en-US" w:eastAsia="zh-CN"/>
              </w:rPr>
              <w:t>6</w:t>
            </w:r>
            <w: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248" w:type="pct"/>
            <w:tcMar>
              <w:top w:w="16" w:type="dxa"/>
              <w:left w:w="16" w:type="dxa"/>
              <w:right w:w="16" w:type="dxa"/>
            </w:tcMar>
            <w:vAlign w:val="center"/>
          </w:tcPr>
          <w:p>
            <w:pPr>
              <w:spacing w:line="480" w:lineRule="exact"/>
              <w:ind w:firstLine="0" w:firstLineChars="0"/>
              <w:rPr>
                <w:b/>
                <w:bCs/>
              </w:rPr>
            </w:pPr>
            <w:r>
              <w:rPr>
                <w:b/>
                <w:bCs/>
              </w:rPr>
              <w:t>是否开工建设</w:t>
            </w:r>
          </w:p>
        </w:tc>
        <w:tc>
          <w:tcPr>
            <w:tcW w:w="1018" w:type="pct"/>
            <w:vAlign w:val="center"/>
          </w:tcPr>
          <w:p>
            <w:pPr>
              <w:spacing w:line="480" w:lineRule="exact"/>
              <w:ind w:firstLine="0" w:firstLineChars="0"/>
            </w:pPr>
            <w:r>
              <w:fldChar w:fldCharType="begin"/>
            </w:r>
            <w:r>
              <w:instrText xml:space="preserve"> </w:instrText>
            </w:r>
            <w:r>
              <w:rPr>
                <w:rFonts w:hint="eastAsia"/>
              </w:rPr>
              <w:instrText xml:space="preserve">eq \o\ac(□,√)</w:instrText>
            </w:r>
            <w:r>
              <w:fldChar w:fldCharType="end"/>
            </w:r>
            <w:r>
              <w:t>否</w:t>
            </w:r>
          </w:p>
          <w:p>
            <w:pPr>
              <w:spacing w:line="480" w:lineRule="exact"/>
              <w:ind w:firstLine="0" w:firstLineChars="0"/>
            </w:pPr>
            <w:r>
              <w:rPr/>
              <w:sym w:font="Wingdings 2" w:char="00A3"/>
            </w:r>
            <w:r>
              <w:t>是：</w:t>
            </w:r>
            <w:r>
              <w:rPr>
                <w:u w:val="single"/>
              </w:rPr>
              <w:t xml:space="preserve">             </w:t>
            </w:r>
          </w:p>
        </w:tc>
        <w:tc>
          <w:tcPr>
            <w:tcW w:w="1127" w:type="pct"/>
            <w:tcMar>
              <w:top w:w="16" w:type="dxa"/>
              <w:left w:w="16" w:type="dxa"/>
              <w:right w:w="16" w:type="dxa"/>
            </w:tcMar>
            <w:vAlign w:val="center"/>
          </w:tcPr>
          <w:p>
            <w:pPr>
              <w:spacing w:line="480" w:lineRule="exact"/>
              <w:ind w:firstLine="0" w:firstLineChars="0"/>
              <w:rPr>
                <w:b/>
                <w:bCs/>
              </w:rPr>
            </w:pPr>
            <w:r>
              <w:rPr>
                <w:b/>
                <w:bCs/>
                <w:spacing w:val="-6"/>
              </w:rPr>
              <w:t>用地(用海)面积(m</w:t>
            </w:r>
            <w:r>
              <w:rPr>
                <w:b/>
                <w:bCs/>
                <w:spacing w:val="-6"/>
                <w:vertAlign w:val="superscript"/>
              </w:rPr>
              <w:t>2</w:t>
            </w:r>
            <w:r>
              <w:rPr>
                <w:b/>
                <w:bCs/>
                <w:spacing w:val="-6"/>
              </w:rPr>
              <w:t>)</w:t>
            </w:r>
          </w:p>
        </w:tc>
        <w:tc>
          <w:tcPr>
            <w:tcW w:w="1607" w:type="pct"/>
            <w:vAlign w:val="center"/>
          </w:tcPr>
          <w:p>
            <w:pPr>
              <w:spacing w:line="480" w:lineRule="exact"/>
              <w:ind w:firstLine="0" w:firstLineChars="0"/>
            </w:pPr>
            <w:r>
              <w:t>27000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48" w:type="pct"/>
            <w:vAlign w:val="center"/>
          </w:tcPr>
          <w:p>
            <w:pPr>
              <w:autoSpaceDE w:val="0"/>
              <w:autoSpaceDN w:val="0"/>
              <w:spacing w:line="480" w:lineRule="exact"/>
              <w:ind w:firstLine="0" w:firstLineChars="0"/>
              <w:rPr>
                <w:b/>
                <w:bCs/>
                <w:kern w:val="0"/>
              </w:rPr>
            </w:pPr>
            <w:r>
              <w:rPr>
                <w:b/>
                <w:bCs/>
                <w:kern w:val="0"/>
              </w:rPr>
              <w:t>专项评价设置情况</w:t>
            </w:r>
          </w:p>
        </w:tc>
        <w:tc>
          <w:tcPr>
            <w:tcW w:w="3752" w:type="pct"/>
            <w:gridSpan w:val="3"/>
            <w:vAlign w:val="center"/>
          </w:tcPr>
          <w:p>
            <w:pPr>
              <w:pStyle w:val="21"/>
            </w:pPr>
            <w:r>
              <w:rPr>
                <w:rFonts w:hint="eastAsia"/>
              </w:rPr>
              <w:t>表</w:t>
            </w:r>
            <w:r>
              <w:rPr>
                <w:rFonts w:hint="eastAsia"/>
                <w:lang w:val="en-US" w:eastAsia="zh-CN"/>
              </w:rPr>
              <w:t xml:space="preserve">1-1 </w:t>
            </w:r>
            <w:r>
              <w:t xml:space="preserve"> </w:t>
            </w:r>
            <w:r>
              <w:rPr>
                <w:rFonts w:hint="eastAsia"/>
              </w:rPr>
              <w:t>专项评价设置情况</w:t>
            </w:r>
          </w:p>
          <w:tbl>
            <w:tblPr>
              <w:tblStyle w:val="16"/>
              <w:tblW w:w="6566" w:type="dxa"/>
              <w:tblInd w:w="0" w:type="dxa"/>
              <w:tblLayout w:type="autofit"/>
              <w:tblCellMar>
                <w:top w:w="0" w:type="dxa"/>
                <w:left w:w="108" w:type="dxa"/>
                <w:bottom w:w="0" w:type="dxa"/>
                <w:right w:w="108" w:type="dxa"/>
              </w:tblCellMar>
            </w:tblPr>
            <w:tblGrid>
              <w:gridCol w:w="1520"/>
              <w:gridCol w:w="3123"/>
              <w:gridCol w:w="1923"/>
            </w:tblGrid>
            <w:tr>
              <w:tblPrEx>
                <w:tblCellMar>
                  <w:top w:w="0" w:type="dxa"/>
                  <w:left w:w="108" w:type="dxa"/>
                  <w:bottom w:w="0" w:type="dxa"/>
                  <w:right w:w="108" w:type="dxa"/>
                </w:tblCellMar>
              </w:tblPrEx>
              <w:trPr>
                <w:trHeight w:val="345" w:hRule="atLeast"/>
              </w:trPr>
              <w:tc>
                <w:tcPr>
                  <w:tcW w:w="15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b/>
                      <w:bCs/>
                      <w:sz w:val="22"/>
                      <w:szCs w:val="22"/>
                    </w:rPr>
                  </w:pPr>
                  <w:r>
                    <w:rPr>
                      <w:b/>
                      <w:bCs/>
                    </w:rPr>
                    <w:t>专项评价类别</w:t>
                  </w:r>
                </w:p>
              </w:tc>
              <w:tc>
                <w:tcPr>
                  <w:tcW w:w="31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b/>
                      <w:bCs/>
                      <w:sz w:val="22"/>
                      <w:szCs w:val="22"/>
                    </w:rPr>
                  </w:pPr>
                  <w:r>
                    <w:rPr>
                      <w:b/>
                      <w:bCs/>
                    </w:rPr>
                    <w:t>设置原则</w:t>
                  </w:r>
                </w:p>
              </w:tc>
              <w:tc>
                <w:tcPr>
                  <w:tcW w:w="1923" w:type="dxa"/>
                  <w:tcBorders>
                    <w:top w:val="single" w:color="000000" w:sz="4" w:space="0"/>
                    <w:left w:val="single" w:color="000000" w:sz="4" w:space="0"/>
                    <w:bottom w:val="single" w:color="000000" w:sz="4" w:space="0"/>
                    <w:right w:val="single" w:color="000000" w:sz="4" w:space="0"/>
                  </w:tcBorders>
                  <w:vAlign w:val="center"/>
                </w:tcPr>
                <w:p>
                  <w:pPr>
                    <w:pStyle w:val="19"/>
                    <w:jc w:val="both"/>
                    <w:rPr>
                      <w:b/>
                      <w:bCs/>
                    </w:rPr>
                  </w:pPr>
                  <w:r>
                    <w:rPr>
                      <w:rFonts w:hint="eastAsia"/>
                      <w:b/>
                      <w:bCs/>
                    </w:rPr>
                    <w:t>设置情况</w:t>
                  </w:r>
                </w:p>
              </w:tc>
            </w:tr>
            <w:tr>
              <w:tblPrEx>
                <w:tblCellMar>
                  <w:top w:w="0" w:type="dxa"/>
                  <w:left w:w="108" w:type="dxa"/>
                  <w:bottom w:w="0" w:type="dxa"/>
                  <w:right w:w="108" w:type="dxa"/>
                </w:tblCellMar>
              </w:tblPrEx>
              <w:trPr>
                <w:trHeight w:val="450" w:hRule="atLeast"/>
              </w:trPr>
              <w:tc>
                <w:tcPr>
                  <w:tcW w:w="15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大气</w:t>
                  </w:r>
                </w:p>
              </w:tc>
              <w:tc>
                <w:tcPr>
                  <w:tcW w:w="31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排放废气含有毒有害污染物</w:t>
                  </w:r>
                  <w:r>
                    <w:rPr>
                      <w:vertAlign w:val="superscript"/>
                    </w:rPr>
                    <w:t>1</w:t>
                  </w:r>
                  <w:r>
                    <w:t>、二噁英、苯并[a]芘、氰化物、氯气且</w:t>
                  </w:r>
                  <w:r>
                    <w:rPr>
                      <w:rFonts w:hint="eastAsia"/>
                    </w:rPr>
                    <w:t>厂</w:t>
                  </w:r>
                  <w:r>
                    <w:t>界外500米范围内有环境空气保护目标</w:t>
                  </w:r>
                  <w:r>
                    <w:rPr>
                      <w:vertAlign w:val="superscript"/>
                    </w:rPr>
                    <w:t>2</w:t>
                  </w:r>
                  <w:r>
                    <w:t>的建设项目</w:t>
                  </w:r>
                </w:p>
              </w:tc>
              <w:tc>
                <w:tcPr>
                  <w:tcW w:w="1923" w:type="dxa"/>
                  <w:tcBorders>
                    <w:top w:val="single" w:color="000000" w:sz="4" w:space="0"/>
                    <w:left w:val="single" w:color="000000" w:sz="4" w:space="0"/>
                    <w:bottom w:val="single" w:color="000000" w:sz="4" w:space="0"/>
                    <w:right w:val="single" w:color="000000" w:sz="4" w:space="0"/>
                  </w:tcBorders>
                  <w:vAlign w:val="center"/>
                </w:tcPr>
                <w:p>
                  <w:pPr>
                    <w:pStyle w:val="19"/>
                    <w:jc w:val="both"/>
                  </w:pPr>
                  <w:r>
                    <w:rPr>
                      <w:rFonts w:hint="eastAsia"/>
                    </w:rPr>
                    <w:t>项目属于有电炉冶炼工序的铸锻项目，有</w:t>
                  </w:r>
                  <w:r>
                    <w:t>二噁英</w:t>
                  </w:r>
                  <w:r>
                    <w:rPr>
                      <w:rFonts w:hint="eastAsia"/>
                    </w:rPr>
                    <w:t>产生，且5</w:t>
                  </w:r>
                  <w:r>
                    <w:t>00</w:t>
                  </w:r>
                  <w:r>
                    <w:rPr>
                      <w:rFonts w:hint="eastAsia"/>
                    </w:rPr>
                    <w:t>米范围内有环境空气保护目标</w:t>
                  </w:r>
                  <w:r>
                    <w:rPr>
                      <w:rFonts w:hint="eastAsia"/>
                      <w:lang w:val="en-US" w:eastAsia="zh-CN"/>
                    </w:rPr>
                    <w:t>(万福园</w:t>
                  </w:r>
                  <w:r>
                    <w:rPr>
                      <w:rFonts w:hint="eastAsia"/>
                      <w:kern w:val="0"/>
                      <w:lang w:val="en-US" w:eastAsia="zh-CN"/>
                    </w:rPr>
                    <w:t>)</w:t>
                  </w:r>
                  <w:r>
                    <w:rPr>
                      <w:rFonts w:hint="eastAsia"/>
                    </w:rPr>
                    <w:t>，设大气</w:t>
                  </w:r>
                  <w:r>
                    <w:rPr>
                      <w:rFonts w:hint="eastAsia"/>
                      <w:lang w:val="en-US" w:eastAsia="zh-CN"/>
                    </w:rPr>
                    <w:t>环境影响</w:t>
                  </w:r>
                  <w:r>
                    <w:rPr>
                      <w:rFonts w:hint="eastAsia"/>
                    </w:rPr>
                    <w:t>专项评价</w:t>
                  </w:r>
                </w:p>
              </w:tc>
            </w:tr>
            <w:tr>
              <w:tblPrEx>
                <w:tblCellMar>
                  <w:top w:w="0" w:type="dxa"/>
                  <w:left w:w="108" w:type="dxa"/>
                  <w:bottom w:w="0" w:type="dxa"/>
                  <w:right w:w="108" w:type="dxa"/>
                </w:tblCellMar>
              </w:tblPrEx>
              <w:trPr>
                <w:trHeight w:val="460" w:hRule="atLeast"/>
              </w:trPr>
              <w:tc>
                <w:tcPr>
                  <w:tcW w:w="15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地表水</w:t>
                  </w:r>
                </w:p>
              </w:tc>
              <w:tc>
                <w:tcPr>
                  <w:tcW w:w="31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新增工业废水直排建设项目</w:t>
                  </w:r>
                  <w:r>
                    <w:rPr>
                      <w:rFonts w:hint="eastAsia"/>
                      <w:lang w:eastAsia="zh-CN"/>
                    </w:rPr>
                    <w:t>(</w:t>
                  </w:r>
                  <w:r>
                    <w:t>槽罐车外送污水处理厂的除外</w:t>
                  </w:r>
                  <w:r>
                    <w:rPr>
                      <w:rFonts w:hint="eastAsia"/>
                      <w:lang w:eastAsia="zh-CN"/>
                    </w:rPr>
                    <w:t>)</w:t>
                  </w:r>
                  <w:r>
                    <w:rPr>
                      <w:rFonts w:hint="eastAsia"/>
                    </w:rPr>
                    <w:t>；</w:t>
                  </w:r>
                  <w:r>
                    <w:t>新增废水直排的污水集中处理厂</w:t>
                  </w:r>
                </w:p>
              </w:tc>
              <w:tc>
                <w:tcPr>
                  <w:tcW w:w="1923" w:type="dxa"/>
                  <w:tcBorders>
                    <w:top w:val="single" w:color="000000" w:sz="4" w:space="0"/>
                    <w:left w:val="single" w:color="000000" w:sz="4" w:space="0"/>
                    <w:bottom w:val="single" w:color="000000" w:sz="4" w:space="0"/>
                    <w:right w:val="single" w:color="000000" w:sz="4" w:space="0"/>
                  </w:tcBorders>
                  <w:vAlign w:val="center"/>
                </w:tcPr>
                <w:p>
                  <w:pPr>
                    <w:pStyle w:val="19"/>
                    <w:jc w:val="both"/>
                  </w:pPr>
                  <w:r>
                    <w:rPr>
                      <w:rFonts w:hint="eastAsia"/>
                    </w:rPr>
                    <w:t>项目废水依托怀远经济开发区污水处理厂一期工程处理，不直排环境</w:t>
                  </w:r>
                </w:p>
              </w:tc>
            </w:tr>
            <w:tr>
              <w:tblPrEx>
                <w:tblCellMar>
                  <w:top w:w="0" w:type="dxa"/>
                  <w:left w:w="108" w:type="dxa"/>
                  <w:bottom w:w="0" w:type="dxa"/>
                  <w:right w:w="108" w:type="dxa"/>
                </w:tblCellMar>
              </w:tblPrEx>
              <w:trPr>
                <w:trHeight w:val="330" w:hRule="atLeast"/>
              </w:trPr>
              <w:tc>
                <w:tcPr>
                  <w:tcW w:w="15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环境风险</w:t>
                  </w:r>
                </w:p>
              </w:tc>
              <w:tc>
                <w:tcPr>
                  <w:tcW w:w="31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有毒有害和易燃易爆危险物质存储量超过临界量</w:t>
                  </w:r>
                  <w:r>
                    <w:rPr>
                      <w:vertAlign w:val="superscript"/>
                    </w:rPr>
                    <w:t>3</w:t>
                  </w:r>
                  <w:r>
                    <w:t>的建设项目</w:t>
                  </w:r>
                </w:p>
              </w:tc>
              <w:tc>
                <w:tcPr>
                  <w:tcW w:w="1923" w:type="dxa"/>
                  <w:tcBorders>
                    <w:top w:val="single" w:color="000000" w:sz="4" w:space="0"/>
                    <w:left w:val="single" w:color="000000" w:sz="4" w:space="0"/>
                    <w:bottom w:val="single" w:color="000000" w:sz="4" w:space="0"/>
                    <w:right w:val="single" w:color="000000" w:sz="4" w:space="0"/>
                  </w:tcBorders>
                  <w:vAlign w:val="center"/>
                </w:tcPr>
                <w:p>
                  <w:pPr>
                    <w:pStyle w:val="19"/>
                    <w:jc w:val="both"/>
                  </w:pPr>
                  <w:r>
                    <w:rPr>
                      <w:rFonts w:hint="eastAsia"/>
                    </w:rPr>
                    <w:t>项目</w:t>
                  </w:r>
                  <w:r>
                    <w:t>有毒有害和易燃易爆危险物质存储量</w:t>
                  </w:r>
                  <w:r>
                    <w:rPr>
                      <w:rFonts w:hint="eastAsia"/>
                    </w:rPr>
                    <w:t>未超过临界量</w:t>
                  </w:r>
                </w:p>
              </w:tc>
            </w:tr>
            <w:tr>
              <w:tblPrEx>
                <w:tblCellMar>
                  <w:top w:w="0" w:type="dxa"/>
                  <w:left w:w="108" w:type="dxa"/>
                  <w:bottom w:w="0" w:type="dxa"/>
                  <w:right w:w="108" w:type="dxa"/>
                </w:tblCellMar>
              </w:tblPrEx>
              <w:trPr>
                <w:trHeight w:val="460" w:hRule="atLeast"/>
              </w:trPr>
              <w:tc>
                <w:tcPr>
                  <w:tcW w:w="15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生态</w:t>
                  </w:r>
                </w:p>
              </w:tc>
              <w:tc>
                <w:tcPr>
                  <w:tcW w:w="31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取水口下游500米范围内有重要水生生物的自然产卵场、索饵场、越冬场和洄游通道的新增河道取水的污染类建设项目</w:t>
                  </w:r>
                </w:p>
              </w:tc>
              <w:tc>
                <w:tcPr>
                  <w:tcW w:w="1923" w:type="dxa"/>
                  <w:tcBorders>
                    <w:top w:val="single" w:color="000000" w:sz="4" w:space="0"/>
                    <w:left w:val="single" w:color="000000" w:sz="4" w:space="0"/>
                    <w:bottom w:val="single" w:color="000000" w:sz="4" w:space="0"/>
                    <w:right w:val="single" w:color="000000" w:sz="4" w:space="0"/>
                  </w:tcBorders>
                  <w:vAlign w:val="center"/>
                </w:tcPr>
                <w:p>
                  <w:pPr>
                    <w:pStyle w:val="19"/>
                    <w:jc w:val="both"/>
                  </w:pPr>
                  <w:r>
                    <w:rPr>
                      <w:rFonts w:hint="eastAsia"/>
                    </w:rPr>
                    <w:t>项目用水依托园区管网，不新增取水口</w:t>
                  </w:r>
                </w:p>
              </w:tc>
            </w:tr>
            <w:tr>
              <w:tblPrEx>
                <w:tblCellMar>
                  <w:top w:w="0" w:type="dxa"/>
                  <w:left w:w="108" w:type="dxa"/>
                  <w:bottom w:w="0" w:type="dxa"/>
                  <w:right w:w="108" w:type="dxa"/>
                </w:tblCellMar>
              </w:tblPrEx>
              <w:trPr>
                <w:trHeight w:val="335" w:hRule="atLeast"/>
              </w:trPr>
              <w:tc>
                <w:tcPr>
                  <w:tcW w:w="1520"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海洋</w:t>
                  </w:r>
                </w:p>
              </w:tc>
              <w:tc>
                <w:tcPr>
                  <w:tcW w:w="3123"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rPr>
                      <w:rFonts w:ascii="Arial" w:hAnsi="Arial"/>
                      <w:sz w:val="22"/>
                      <w:szCs w:val="22"/>
                    </w:rPr>
                  </w:pPr>
                  <w:r>
                    <w:t>直接向海排放污染物的海洋工程建设项目</w:t>
                  </w:r>
                </w:p>
              </w:tc>
              <w:tc>
                <w:tcPr>
                  <w:tcW w:w="1923" w:type="dxa"/>
                  <w:tcBorders>
                    <w:top w:val="single" w:color="000000" w:sz="4" w:space="0"/>
                    <w:left w:val="single" w:color="000000" w:sz="4" w:space="0"/>
                    <w:bottom w:val="single" w:color="000000" w:sz="4" w:space="0"/>
                    <w:right w:val="single" w:color="000000" w:sz="4" w:space="0"/>
                  </w:tcBorders>
                  <w:vAlign w:val="center"/>
                </w:tcPr>
                <w:p>
                  <w:pPr>
                    <w:pStyle w:val="19"/>
                    <w:jc w:val="both"/>
                  </w:pPr>
                  <w:r>
                    <w:rPr>
                      <w:rFonts w:hint="eastAsia"/>
                    </w:rPr>
                    <w:t>不涉及</w:t>
                  </w:r>
                </w:p>
              </w:tc>
            </w:tr>
            <w:tr>
              <w:tblPrEx>
                <w:tblCellMar>
                  <w:top w:w="0" w:type="dxa"/>
                  <w:left w:w="108" w:type="dxa"/>
                  <w:bottom w:w="0" w:type="dxa"/>
                  <w:right w:w="108" w:type="dxa"/>
                </w:tblCellMar>
              </w:tblPrEx>
              <w:trPr>
                <w:trHeight w:val="335" w:hRule="atLeast"/>
              </w:trPr>
              <w:tc>
                <w:tcPr>
                  <w:tcW w:w="656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jc w:val="both"/>
                  </w:pPr>
                  <w:r>
                    <w:rPr>
                      <w:rFonts w:hint="eastAsia"/>
                    </w:rPr>
                    <w:t>注：1.废气中有毒有害污染物指纳入《有毒有害大气污染物名录》的污染物</w:t>
                  </w:r>
                  <w:r>
                    <w:rPr>
                      <w:rFonts w:hint="eastAsia"/>
                      <w:lang w:eastAsia="zh-CN"/>
                    </w:rPr>
                    <w:t>(</w:t>
                  </w:r>
                  <w:r>
                    <w:rPr>
                      <w:rFonts w:hint="eastAsia"/>
                    </w:rPr>
                    <w:t>不包括无排放标准的污染物</w:t>
                  </w:r>
                  <w:r>
                    <w:rPr>
                      <w:rFonts w:hint="eastAsia"/>
                      <w:lang w:eastAsia="zh-CN"/>
                    </w:rPr>
                    <w:t>)</w:t>
                  </w:r>
                  <w:r>
                    <w:rPr>
                      <w:rFonts w:hint="eastAsia"/>
                    </w:rPr>
                    <w:t>。2.环境空气保护目标指自然保护区、风景名胜区、居住区、文化区和农村地区中人群较集中的区域。3.临界量及其计算方法可参考《建设项目环境风险评价技术导则》</w:t>
                  </w:r>
                  <w:r>
                    <w:rPr>
                      <w:rFonts w:hint="eastAsia"/>
                      <w:lang w:eastAsia="zh-CN"/>
                    </w:rPr>
                    <w:t>(</w:t>
                  </w:r>
                  <w:r>
                    <w:rPr>
                      <w:rFonts w:hint="eastAsia"/>
                    </w:rPr>
                    <w:t>HJ 169</w:t>
                  </w:r>
                  <w:r>
                    <w:rPr>
                      <w:rFonts w:hint="eastAsia"/>
                      <w:lang w:eastAsia="zh-CN"/>
                    </w:rPr>
                    <w:t>)</w:t>
                  </w:r>
                  <w:r>
                    <w:rPr>
                      <w:rFonts w:hint="eastAsia"/>
                    </w:rPr>
                    <w:t>附录B、附录C。</w:t>
                  </w:r>
                </w:p>
              </w:tc>
            </w:tr>
          </w:tbl>
          <w:p>
            <w:pPr>
              <w:autoSpaceDE w:val="0"/>
              <w:autoSpaceDN w:val="0"/>
              <w:spacing w:line="480" w:lineRule="exact"/>
              <w:ind w:firstLine="0" w:firstLineChars="0"/>
              <w:rPr>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48" w:type="pct"/>
            <w:vAlign w:val="center"/>
          </w:tcPr>
          <w:p>
            <w:pPr>
              <w:autoSpaceDE w:val="0"/>
              <w:autoSpaceDN w:val="0"/>
              <w:spacing w:line="480" w:lineRule="exact"/>
              <w:ind w:firstLine="0" w:firstLineChars="0"/>
              <w:rPr>
                <w:b/>
                <w:bCs/>
                <w:kern w:val="0"/>
              </w:rPr>
            </w:pPr>
            <w:r>
              <w:rPr>
                <w:b/>
                <w:bCs/>
              </w:rPr>
              <w:t>规划情况</w:t>
            </w:r>
          </w:p>
        </w:tc>
        <w:tc>
          <w:tcPr>
            <w:tcW w:w="3752" w:type="pct"/>
            <w:gridSpan w:val="3"/>
            <w:vAlign w:val="center"/>
          </w:tcPr>
          <w:p>
            <w:pPr>
              <w:autoSpaceDE w:val="0"/>
              <w:autoSpaceDN w:val="0"/>
              <w:spacing w:line="480" w:lineRule="exact"/>
              <w:ind w:firstLine="0" w:firstLineChars="0"/>
              <w:rPr>
                <w:kern w:val="0"/>
              </w:rPr>
            </w:pPr>
            <w:r>
              <w:rPr>
                <w:b/>
                <w:bCs/>
                <w:kern w:val="0"/>
              </w:rPr>
              <w:t>规划名称</w:t>
            </w:r>
            <w:r>
              <w:rPr>
                <w:kern w:val="0"/>
              </w:rPr>
              <w:t>：</w:t>
            </w:r>
            <w:r>
              <w:rPr>
                <w:rFonts w:hint="eastAsia"/>
                <w:kern w:val="0"/>
              </w:rPr>
              <w:t>《怀远经济开发区总体规划》</w:t>
            </w:r>
          </w:p>
          <w:p>
            <w:pPr>
              <w:autoSpaceDE w:val="0"/>
              <w:autoSpaceDN w:val="0"/>
              <w:spacing w:line="480" w:lineRule="exact"/>
              <w:ind w:firstLine="0" w:firstLineChars="0"/>
              <w:rPr>
                <w:rFonts w:hint="eastAsia" w:eastAsia="宋体"/>
                <w:kern w:val="0"/>
                <w:lang w:val="en-US" w:eastAsia="zh-CN"/>
              </w:rPr>
            </w:pPr>
            <w:r>
              <w:rPr>
                <w:b/>
                <w:bCs/>
                <w:kern w:val="0"/>
              </w:rPr>
              <w:t>审批机关</w:t>
            </w:r>
            <w:r>
              <w:rPr>
                <w:kern w:val="0"/>
              </w:rPr>
              <w:t>：</w:t>
            </w:r>
            <w:r>
              <w:rPr>
                <w:rFonts w:hint="eastAsia"/>
                <w:kern w:val="0"/>
                <w:lang w:val="en-US" w:eastAsia="zh-CN"/>
              </w:rPr>
              <w:t>/</w:t>
            </w:r>
          </w:p>
          <w:p>
            <w:pPr>
              <w:autoSpaceDE w:val="0"/>
              <w:autoSpaceDN w:val="0"/>
              <w:spacing w:line="480" w:lineRule="exact"/>
              <w:ind w:firstLine="0" w:firstLineChars="0"/>
              <w:rPr>
                <w:rFonts w:hint="eastAsia" w:eastAsia="宋体"/>
                <w:kern w:val="0"/>
                <w:lang w:val="en-US" w:eastAsia="zh-CN"/>
              </w:rPr>
            </w:pPr>
            <w:r>
              <w:rPr>
                <w:b/>
                <w:bCs/>
                <w:kern w:val="0"/>
              </w:rPr>
              <w:t>审批文件名称及文号</w:t>
            </w:r>
            <w:r>
              <w:rPr>
                <w:kern w:val="0"/>
              </w:rPr>
              <w:t>：</w:t>
            </w:r>
            <w:r>
              <w:rPr>
                <w:rFonts w:hint="eastAsia"/>
                <w:kern w:val="0"/>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48" w:type="pct"/>
            <w:vAlign w:val="center"/>
          </w:tcPr>
          <w:p>
            <w:pPr>
              <w:spacing w:line="480" w:lineRule="exact"/>
              <w:ind w:firstLine="0" w:firstLineChars="0"/>
              <w:rPr>
                <w:b/>
                <w:bCs/>
                <w:kern w:val="0"/>
              </w:rPr>
            </w:pPr>
            <w:r>
              <w:rPr>
                <w:b/>
                <w:bCs/>
              </w:rPr>
              <w:t>规划环境影响评价情况</w:t>
            </w:r>
          </w:p>
        </w:tc>
        <w:tc>
          <w:tcPr>
            <w:tcW w:w="3752" w:type="pct"/>
            <w:gridSpan w:val="3"/>
            <w:vAlign w:val="center"/>
          </w:tcPr>
          <w:p>
            <w:pPr>
              <w:autoSpaceDE w:val="0"/>
              <w:autoSpaceDN w:val="0"/>
              <w:spacing w:line="480" w:lineRule="exact"/>
              <w:ind w:firstLine="0" w:firstLineChars="0"/>
              <w:rPr>
                <w:rFonts w:hint="eastAsia" w:eastAsia="宋体"/>
                <w:kern w:val="0"/>
                <w:lang w:eastAsia="zh-CN"/>
              </w:rPr>
            </w:pPr>
            <w:r>
              <w:rPr>
                <w:b/>
                <w:bCs/>
                <w:kern w:val="0"/>
              </w:rPr>
              <w:t>规划环境影响评价文件名称</w:t>
            </w:r>
            <w:r>
              <w:rPr>
                <w:kern w:val="0"/>
              </w:rPr>
              <w:t>：</w:t>
            </w:r>
            <w:r>
              <w:rPr>
                <w:rFonts w:hint="eastAsia"/>
                <w:kern w:val="0"/>
                <w:lang w:eastAsia="zh-CN"/>
              </w:rPr>
              <w:t>《</w:t>
            </w:r>
            <w:r>
              <w:rPr>
                <w:rFonts w:hint="eastAsia"/>
                <w:kern w:val="0"/>
                <w:lang w:val="en-US" w:eastAsia="zh-CN"/>
              </w:rPr>
              <w:t>安徽怀远经济开发区区域环境影响报告书</w:t>
            </w:r>
            <w:r>
              <w:rPr>
                <w:rFonts w:hint="eastAsia"/>
                <w:kern w:val="0"/>
                <w:lang w:eastAsia="zh-CN"/>
              </w:rPr>
              <w:t>》</w:t>
            </w:r>
          </w:p>
          <w:p>
            <w:pPr>
              <w:autoSpaceDE w:val="0"/>
              <w:autoSpaceDN w:val="0"/>
              <w:spacing w:line="480" w:lineRule="exact"/>
              <w:ind w:firstLine="0" w:firstLineChars="0"/>
              <w:rPr>
                <w:rFonts w:hint="default" w:eastAsia="宋体"/>
                <w:kern w:val="0"/>
                <w:lang w:val="en-US" w:eastAsia="zh-CN"/>
              </w:rPr>
            </w:pPr>
            <w:r>
              <w:rPr>
                <w:b/>
                <w:bCs/>
                <w:kern w:val="0"/>
              </w:rPr>
              <w:t>召集审查机关</w:t>
            </w:r>
            <w:r>
              <w:rPr>
                <w:kern w:val="0"/>
              </w:rPr>
              <w:t>：</w:t>
            </w:r>
            <w:r>
              <w:rPr>
                <w:rFonts w:hint="eastAsia"/>
                <w:kern w:val="0"/>
                <w:lang w:val="en-US" w:eastAsia="zh-CN"/>
              </w:rPr>
              <w:t>原安徽省环境保护局</w:t>
            </w:r>
          </w:p>
          <w:p>
            <w:pPr>
              <w:autoSpaceDE w:val="0"/>
              <w:autoSpaceDN w:val="0"/>
              <w:spacing w:line="480" w:lineRule="exact"/>
              <w:ind w:firstLine="0" w:firstLineChars="0"/>
              <w:rPr>
                <w:rFonts w:hint="default" w:eastAsia="宋体"/>
                <w:kern w:val="0"/>
                <w:lang w:val="en-US" w:eastAsia="zh-CN"/>
              </w:rPr>
            </w:pPr>
            <w:r>
              <w:rPr>
                <w:b/>
                <w:bCs/>
                <w:kern w:val="0"/>
              </w:rPr>
              <w:t>审查文件名称及文号</w:t>
            </w:r>
            <w:r>
              <w:rPr>
                <w:kern w:val="0"/>
              </w:rPr>
              <w:t>：</w:t>
            </w:r>
            <w:r>
              <w:rPr>
                <w:rFonts w:hint="eastAsia"/>
                <w:kern w:val="0"/>
                <w:lang w:eastAsia="zh-CN"/>
              </w:rPr>
              <w:t>《</w:t>
            </w:r>
            <w:r>
              <w:rPr>
                <w:rFonts w:hint="eastAsia"/>
                <w:kern w:val="0"/>
                <w:lang w:val="en-US" w:eastAsia="zh-CN"/>
              </w:rPr>
              <w:t>关于安徽怀远经济开发区区域环境影响报告书批复的函</w:t>
            </w:r>
            <w:r>
              <w:rPr>
                <w:rFonts w:hint="eastAsia"/>
                <w:kern w:val="0"/>
                <w:lang w:eastAsia="zh-CN"/>
              </w:rPr>
              <w:t>》，</w:t>
            </w:r>
            <w:r>
              <w:rPr>
                <w:rFonts w:hint="eastAsia"/>
                <w:kern w:val="0"/>
                <w:lang w:val="en-US" w:eastAsia="zh-CN"/>
              </w:rPr>
              <w:t>环评函[2007]1055号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8" w:type="pct"/>
            <w:vAlign w:val="center"/>
          </w:tcPr>
          <w:p>
            <w:pPr>
              <w:autoSpaceDE w:val="0"/>
              <w:autoSpaceDN w:val="0"/>
              <w:spacing w:line="480" w:lineRule="exact"/>
              <w:ind w:firstLine="0" w:firstLineChars="0"/>
              <w:rPr>
                <w:b/>
                <w:bCs/>
                <w:kern w:val="0"/>
              </w:rPr>
            </w:pPr>
            <w:r>
              <w:rPr>
                <w:b/>
                <w:bCs/>
                <w:kern w:val="0"/>
              </w:rPr>
              <w:t>规划及规划环境影响评价符合性分析</w:t>
            </w:r>
          </w:p>
        </w:tc>
        <w:tc>
          <w:tcPr>
            <w:tcW w:w="3752" w:type="pct"/>
            <w:gridSpan w:val="3"/>
            <w:vAlign w:val="center"/>
          </w:tcPr>
          <w:p>
            <w:pPr>
              <w:keepNext w:val="0"/>
              <w:keepLines w:val="0"/>
              <w:pageBreakBefore w:val="0"/>
              <w:widowControl w:val="0"/>
              <w:kinsoku/>
              <w:wordWrap/>
              <w:overflowPunct/>
              <w:topLinePunct w:val="0"/>
              <w:autoSpaceDE w:val="0"/>
              <w:autoSpaceDN w:val="0"/>
              <w:bidi w:val="0"/>
              <w:adjustRightInd/>
              <w:snapToGrid/>
              <w:spacing w:line="480" w:lineRule="exact"/>
              <w:ind w:firstLine="0" w:firstLineChars="0"/>
              <w:textAlignment w:val="auto"/>
              <w:rPr>
                <w:b/>
                <w:bCs/>
                <w:kern w:val="0"/>
              </w:rPr>
            </w:pPr>
            <w:r>
              <w:rPr>
                <w:b/>
                <w:bCs/>
                <w:kern w:val="0"/>
              </w:rPr>
              <w:t>1、规划符合性分析</w:t>
            </w:r>
          </w:p>
          <w:p>
            <w:pPr>
              <w:autoSpaceDE w:val="0"/>
              <w:autoSpaceDN w:val="0"/>
              <w:spacing w:line="480" w:lineRule="exact"/>
              <w:rPr>
                <w:rFonts w:hint="default"/>
                <w:kern w:val="0"/>
                <w:vertAlign w:val="baseline"/>
                <w:lang w:val="en-US" w:eastAsia="zh-CN"/>
              </w:rPr>
            </w:pPr>
            <w:r>
              <w:rPr>
                <w:rFonts w:hint="eastAsia"/>
                <w:kern w:val="0"/>
                <w:lang w:val="en-US" w:eastAsia="zh-CN"/>
              </w:rPr>
              <w:t>根据</w:t>
            </w:r>
            <w:r>
              <w:rPr>
                <w:rFonts w:hint="eastAsia"/>
                <w:kern w:val="0"/>
              </w:rPr>
              <w:t>《怀远经济开发区总体规划》</w:t>
            </w:r>
            <w:r>
              <w:rPr>
                <w:rFonts w:hint="eastAsia"/>
                <w:kern w:val="0"/>
                <w:lang w:eastAsia="zh-CN"/>
              </w:rPr>
              <w:t>，</w:t>
            </w:r>
            <w:r>
              <w:rPr>
                <w:rFonts w:hint="eastAsia"/>
                <w:kern w:val="0"/>
                <w:lang w:val="en-US" w:eastAsia="zh-CN"/>
              </w:rPr>
              <w:t>怀远经济开发区东起怀远县与蚌埠市淮上区交界处，西至龚刘路，北起魏岗村北部沟，南至淮河，总用地面积为9.5km</w:t>
            </w:r>
            <w:r>
              <w:rPr>
                <w:rFonts w:hint="eastAsia"/>
                <w:kern w:val="0"/>
                <w:vertAlign w:val="superscript"/>
                <w:lang w:val="en-US" w:eastAsia="zh-CN"/>
              </w:rPr>
              <w:t>2</w:t>
            </w:r>
            <w:r>
              <w:rPr>
                <w:rFonts w:hint="eastAsia"/>
                <w:kern w:val="0"/>
                <w:vertAlign w:val="baseline"/>
                <w:lang w:val="en-US" w:eastAsia="zh-CN"/>
              </w:rPr>
              <w:t>，发展金属产品机械加工、纺织业等主导产业。</w:t>
            </w:r>
          </w:p>
          <w:p>
            <w:pPr>
              <w:autoSpaceDE w:val="0"/>
              <w:autoSpaceDN w:val="0"/>
              <w:spacing w:line="480" w:lineRule="exact"/>
              <w:rPr>
                <w:kern w:val="0"/>
              </w:rPr>
            </w:pPr>
            <w:r>
              <w:rPr>
                <w:rFonts w:hint="eastAsia"/>
                <w:kern w:val="0"/>
                <w:lang w:val="en-US" w:eastAsia="zh-CN"/>
              </w:rPr>
              <w:t>项目位于安徽怀远经济开发区乳泉大道2号(附图1)，属于安徽怀远经济开发区规划的工业用地(附图2)。项目年产3万吨/年特殊钢铸件，属于《国民经济行业分类》(GB/T 4754-2017)中“C3391 黑色金属铸造”，为开发区规划的“金属产品机械加工”范畴。因此，项目符合</w:t>
            </w:r>
            <w:r>
              <w:rPr>
                <w:rFonts w:hint="eastAsia"/>
                <w:kern w:val="0"/>
              </w:rPr>
              <w:t>《怀远经济开发区总体规划》</w:t>
            </w:r>
            <w:r>
              <w:rPr>
                <w:rFonts w:hint="eastAsia"/>
                <w:kern w:val="0"/>
                <w:lang w:val="en-US" w:eastAsia="zh-CN"/>
              </w:rPr>
              <w:t>要求。</w:t>
            </w:r>
          </w:p>
          <w:p>
            <w:pPr>
              <w:autoSpaceDE w:val="0"/>
              <w:autoSpaceDN w:val="0"/>
              <w:spacing w:line="480" w:lineRule="exact"/>
              <w:ind w:firstLine="0" w:firstLineChars="0"/>
              <w:rPr>
                <w:b/>
                <w:bCs/>
                <w:kern w:val="0"/>
              </w:rPr>
            </w:pPr>
            <w:r>
              <w:rPr>
                <w:b/>
                <w:bCs/>
                <w:kern w:val="0"/>
              </w:rPr>
              <w:t>2、</w:t>
            </w:r>
            <w:r>
              <w:rPr>
                <w:rFonts w:hint="eastAsia"/>
                <w:b/>
                <w:bCs/>
                <w:kern w:val="0"/>
              </w:rPr>
              <w:t>规划环境影响评价</w:t>
            </w:r>
            <w:r>
              <w:rPr>
                <w:b/>
                <w:bCs/>
                <w:kern w:val="0"/>
              </w:rPr>
              <w:t>符合性分析</w:t>
            </w:r>
          </w:p>
          <w:p>
            <w:pPr>
              <w:autoSpaceDE w:val="0"/>
              <w:autoSpaceDN w:val="0"/>
              <w:spacing w:line="480" w:lineRule="exact"/>
              <w:rPr>
                <w:rFonts w:hint="eastAsia"/>
                <w:kern w:val="0"/>
                <w:lang w:val="en-US" w:eastAsia="zh-CN"/>
              </w:rPr>
            </w:pPr>
            <w:r>
              <w:rPr>
                <w:rFonts w:hint="eastAsia"/>
                <w:kern w:val="0"/>
                <w:lang w:val="en-US" w:eastAsia="zh-CN"/>
              </w:rPr>
              <w:t>根据《安徽怀远经济开发区区域环境影响报告书》及其审查意见(附件3)，项目符合安徽怀远经济开发区规划环评及审查意见相关要求。详细分析见表1-2。</w:t>
            </w:r>
          </w:p>
          <w:p>
            <w:pPr>
              <w:pStyle w:val="21"/>
              <w:bidi w:val="0"/>
              <w:rPr>
                <w:rFonts w:hint="eastAsia"/>
                <w:lang w:val="en-US" w:eastAsia="zh-CN"/>
              </w:rPr>
            </w:pPr>
            <w:r>
              <w:rPr>
                <w:rFonts w:hint="eastAsia"/>
                <w:lang w:val="en-US" w:eastAsia="zh-CN"/>
              </w:rPr>
              <w:t>表1-2  项目与规划环评及审查意见符合性分析</w:t>
            </w:r>
          </w:p>
          <w:tbl>
            <w:tblPr>
              <w:tblStyle w:val="1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779"/>
              <w:gridCol w:w="1923"/>
              <w:gridCol w:w="2325"/>
              <w:gridCol w:w="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shd w:val="clear" w:color="auto" w:fill="auto"/>
                  <w:vAlign w:val="top"/>
                </w:tcPr>
                <w:p>
                  <w:pPr>
                    <w:pStyle w:val="19"/>
                    <w:bidi w:val="0"/>
                    <w:jc w:val="both"/>
                    <w:rPr>
                      <w:rFonts w:hint="default"/>
                      <w:b/>
                      <w:bCs/>
                      <w:color w:val="auto"/>
                      <w:vertAlign w:val="baseline"/>
                      <w:lang w:val="en-US" w:eastAsia="zh-CN"/>
                    </w:rPr>
                  </w:pPr>
                  <w:r>
                    <w:rPr>
                      <w:rFonts w:hint="eastAsia"/>
                      <w:b/>
                      <w:bCs/>
                      <w:color w:val="auto"/>
                      <w:vertAlign w:val="baseline"/>
                      <w:lang w:val="en-US" w:eastAsia="zh-CN"/>
                    </w:rPr>
                    <w:t>类别</w:t>
                  </w:r>
                </w:p>
              </w:tc>
              <w:tc>
                <w:tcPr>
                  <w:tcW w:w="2047" w:type="pct"/>
                  <w:gridSpan w:val="2"/>
                  <w:shd w:val="clear" w:color="auto" w:fill="auto"/>
                  <w:vAlign w:val="top"/>
                </w:tcPr>
                <w:p>
                  <w:pPr>
                    <w:pStyle w:val="19"/>
                    <w:bidi w:val="0"/>
                    <w:jc w:val="both"/>
                    <w:rPr>
                      <w:rFonts w:hint="default"/>
                      <w:b/>
                      <w:bCs/>
                      <w:color w:val="auto"/>
                      <w:vertAlign w:val="baseline"/>
                      <w:lang w:val="en-US" w:eastAsia="zh-CN"/>
                    </w:rPr>
                  </w:pPr>
                  <w:r>
                    <w:rPr>
                      <w:rFonts w:hint="eastAsia"/>
                      <w:b/>
                      <w:bCs/>
                      <w:color w:val="auto"/>
                      <w:vertAlign w:val="baseline"/>
                      <w:lang w:val="en-US" w:eastAsia="zh-CN"/>
                    </w:rPr>
                    <w:t>文件要求</w:t>
                  </w:r>
                </w:p>
              </w:tc>
              <w:tc>
                <w:tcPr>
                  <w:tcW w:w="1761" w:type="pct"/>
                  <w:shd w:val="clear" w:color="auto" w:fill="auto"/>
                  <w:vAlign w:val="top"/>
                </w:tcPr>
                <w:p>
                  <w:pPr>
                    <w:pStyle w:val="19"/>
                    <w:bidi w:val="0"/>
                    <w:jc w:val="both"/>
                    <w:rPr>
                      <w:rFonts w:hint="default"/>
                      <w:b/>
                      <w:bCs/>
                      <w:color w:val="auto"/>
                      <w:vertAlign w:val="baseline"/>
                      <w:lang w:val="en-US" w:eastAsia="zh-CN"/>
                    </w:rPr>
                  </w:pPr>
                  <w:r>
                    <w:rPr>
                      <w:rFonts w:hint="eastAsia"/>
                      <w:b/>
                      <w:bCs/>
                      <w:color w:val="auto"/>
                      <w:vertAlign w:val="baseline"/>
                      <w:lang w:val="en-US" w:eastAsia="zh-CN"/>
                    </w:rPr>
                    <w:t>项目情况</w:t>
                  </w:r>
                </w:p>
              </w:tc>
              <w:tc>
                <w:tcPr>
                  <w:tcW w:w="666" w:type="pct"/>
                  <w:shd w:val="clear" w:color="auto" w:fill="auto"/>
                  <w:vAlign w:val="top"/>
                </w:tcPr>
                <w:p>
                  <w:pPr>
                    <w:pStyle w:val="19"/>
                    <w:bidi w:val="0"/>
                    <w:jc w:val="both"/>
                    <w:rPr>
                      <w:rFonts w:hint="default"/>
                      <w:b/>
                      <w:bCs/>
                      <w:color w:val="auto"/>
                      <w:vertAlign w:val="baseline"/>
                      <w:lang w:val="en-US" w:eastAsia="zh-CN"/>
                    </w:rPr>
                  </w:pPr>
                  <w:r>
                    <w:rPr>
                      <w:rFonts w:hint="eastAsia"/>
                      <w:b/>
                      <w:bCs/>
                      <w:color w:val="auto"/>
                      <w:vertAlign w:val="baseline"/>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restar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规划环境影响评价</w:t>
                  </w:r>
                </w:p>
              </w:tc>
              <w:tc>
                <w:tcPr>
                  <w:tcW w:w="590" w:type="pct"/>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大气环境影响减缓措施</w:t>
                  </w:r>
                </w:p>
              </w:tc>
              <w:tc>
                <w:tcPr>
                  <w:tcW w:w="1457"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对新引进项目废气排放控制提出相应的要求，严格按照规划的工业用地布局。区域能源结构的调整，在开发区企业中逐步提高天然气普及率。推行清洁生产，健全环境管理和监督，健全事故排放的应急机制</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项目在现有厂房内实施，选址</w:t>
                  </w:r>
                  <w:r>
                    <w:rPr>
                      <w:rFonts w:hint="eastAsia"/>
                      <w:color w:val="auto"/>
                      <w:kern w:val="0"/>
                      <w:lang w:val="en-US" w:eastAsia="zh-CN"/>
                    </w:rPr>
                    <w:t>属于规划的工业用地；</w:t>
                  </w:r>
                  <w:r>
                    <w:rPr>
                      <w:rFonts w:hint="eastAsia"/>
                      <w:color w:val="auto"/>
                      <w:vertAlign w:val="baseline"/>
                      <w:lang w:val="en-US" w:eastAsia="zh-CN"/>
                    </w:rPr>
                    <w:t>4台加热炉均采用天然气作为燃料；废气配套屋顶罩收集+布袋除尘器处理，能够稳定达标</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eastAsia"/>
                      <w:color w:val="auto"/>
                      <w:vertAlign w:val="baseline"/>
                      <w:lang w:val="en-US" w:eastAsia="zh-CN"/>
                    </w:rPr>
                  </w:pPr>
                </w:p>
              </w:tc>
              <w:tc>
                <w:tcPr>
                  <w:tcW w:w="590" w:type="pct"/>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地表水环境影响减缓措施</w:t>
                  </w:r>
                </w:p>
              </w:tc>
              <w:tc>
                <w:tcPr>
                  <w:tcW w:w="1457" w:type="pct"/>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蚌埠市第三污水处理厂建成并投入正常运行后，生产废水、生活污水经企业预处理达到污水处理厂接管水质标准后通过污水管网排入污水处理厂处理，污水处理厂尾水外排执行《城镇污水处理厂污染物排放标准》</w:t>
                  </w:r>
                  <w:r>
                    <w:rPr>
                      <w:rFonts w:hint="eastAsia"/>
                      <w:color w:val="auto"/>
                      <w:vertAlign w:val="baseline"/>
                      <w:lang w:val="en-US" w:eastAsia="zh-CN"/>
                    </w:rPr>
                    <w:t>(</w:t>
                  </w:r>
                  <w:r>
                    <w:rPr>
                      <w:rFonts w:hint="default"/>
                      <w:color w:val="auto"/>
                      <w:vertAlign w:val="baseline"/>
                      <w:lang w:val="en-US" w:eastAsia="zh-CN"/>
                    </w:rPr>
                    <w:t>GB</w:t>
                  </w:r>
                  <w:r>
                    <w:rPr>
                      <w:rFonts w:hint="eastAsia"/>
                      <w:color w:val="auto"/>
                      <w:vertAlign w:val="baseline"/>
                      <w:lang w:val="en-US" w:eastAsia="zh-CN"/>
                    </w:rPr>
                    <w:t xml:space="preserve"> </w:t>
                  </w:r>
                  <w:r>
                    <w:rPr>
                      <w:rFonts w:hint="default"/>
                      <w:color w:val="auto"/>
                      <w:vertAlign w:val="baseline"/>
                      <w:lang w:val="en-US" w:eastAsia="zh-CN"/>
                    </w:rPr>
                    <w:t>18918</w:t>
                  </w:r>
                  <w:r>
                    <w:rPr>
                      <w:rFonts w:hint="eastAsia"/>
                      <w:color w:val="auto"/>
                      <w:vertAlign w:val="baseline"/>
                      <w:lang w:val="en-US" w:eastAsia="zh-CN"/>
                    </w:rPr>
                    <w:t>-</w:t>
                  </w:r>
                  <w:r>
                    <w:rPr>
                      <w:rFonts w:hint="default"/>
                      <w:color w:val="auto"/>
                      <w:vertAlign w:val="baseline"/>
                      <w:lang w:val="en-US" w:eastAsia="zh-CN"/>
                    </w:rPr>
                    <w:t>2002</w:t>
                  </w:r>
                  <w:r>
                    <w:rPr>
                      <w:rFonts w:hint="eastAsia"/>
                      <w:color w:val="auto"/>
                      <w:vertAlign w:val="baseline"/>
                      <w:lang w:val="en-US" w:eastAsia="zh-CN"/>
                    </w:rPr>
                    <w:t>)</w:t>
                  </w:r>
                  <w:r>
                    <w:rPr>
                      <w:rFonts w:hint="default"/>
                      <w:color w:val="auto"/>
                      <w:vertAlign w:val="baseline"/>
                      <w:lang w:val="en-US" w:eastAsia="zh-CN"/>
                    </w:rPr>
                    <w:t>中一级A标准</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lang w:val="en-US" w:eastAsia="zh-CN"/>
                    </w:rPr>
                    <w:t>生活污水经化粪池处理后，与循环冷却废水经由总排口排入</w:t>
                  </w:r>
                  <w:r>
                    <w:rPr>
                      <w:rFonts w:hint="eastAsia"/>
                      <w:color w:val="auto"/>
                      <w:kern w:val="0"/>
                    </w:rPr>
                    <w:t>怀远经济开发区污水处理厂</w:t>
                  </w:r>
                  <w:r>
                    <w:rPr>
                      <w:rFonts w:hint="eastAsia"/>
                      <w:color w:val="auto"/>
                      <w:kern w:val="0"/>
                      <w:lang w:val="en-US" w:eastAsia="zh-CN"/>
                    </w:rPr>
                    <w:t>一期工程集中处理，外排废水满足接管标准要求</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eastAsia"/>
                      <w:color w:val="auto"/>
                      <w:vertAlign w:val="baseline"/>
                      <w:lang w:val="en-US" w:eastAsia="zh-CN"/>
                    </w:rPr>
                  </w:pPr>
                </w:p>
              </w:tc>
              <w:tc>
                <w:tcPr>
                  <w:tcW w:w="590" w:type="pct"/>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噪声控制措施</w:t>
                  </w:r>
                </w:p>
              </w:tc>
              <w:tc>
                <w:tcPr>
                  <w:tcW w:w="1457" w:type="pct"/>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采取安装消音器、隔声罩、减震底座，建隔声间、隔声门窗，车间装设吸声材料等多种措施</w:t>
                  </w:r>
                </w:p>
              </w:tc>
              <w:tc>
                <w:tcPr>
                  <w:tcW w:w="1761" w:type="pct"/>
                  <w:shd w:val="clear" w:color="auto" w:fill="auto"/>
                  <w:vAlign w:val="top"/>
                </w:tcPr>
                <w:p>
                  <w:pPr>
                    <w:pStyle w:val="19"/>
                    <w:bidi w:val="0"/>
                    <w:jc w:val="both"/>
                    <w:rPr>
                      <w:rFonts w:hint="eastAsia" w:eastAsia="宋体"/>
                      <w:color w:val="auto"/>
                      <w:vertAlign w:val="baseline"/>
                      <w:lang w:val="en-US" w:eastAsia="zh-CN"/>
                    </w:rPr>
                  </w:pPr>
                  <w:r>
                    <w:rPr>
                      <w:rFonts w:hint="eastAsia"/>
                      <w:color w:val="auto"/>
                    </w:rPr>
                    <w:t>选用低噪声的设备；采取隔音、消声、减振等措施</w:t>
                  </w:r>
                  <w:r>
                    <w:rPr>
                      <w:rFonts w:hint="eastAsia"/>
                      <w:color w:val="auto"/>
                      <w:lang w:eastAsia="zh-CN"/>
                    </w:rPr>
                    <w:t>，</w:t>
                  </w:r>
                  <w:r>
                    <w:rPr>
                      <w:rFonts w:hint="eastAsia"/>
                      <w:color w:val="auto"/>
                    </w:rPr>
                    <w:t>《工业企业厂界环境噪声排放标准》(GB</w:t>
                  </w:r>
                  <w:r>
                    <w:rPr>
                      <w:color w:val="auto"/>
                    </w:rPr>
                    <w:t xml:space="preserve"> </w:t>
                  </w:r>
                  <w:r>
                    <w:rPr>
                      <w:rFonts w:hint="eastAsia"/>
                      <w:color w:val="auto"/>
                    </w:rPr>
                    <w:t>12348-2008)中3类标准</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eastAsia"/>
                      <w:color w:val="auto"/>
                      <w:vertAlign w:val="baseline"/>
                      <w:lang w:val="en-US" w:eastAsia="zh-CN"/>
                    </w:rPr>
                  </w:pPr>
                </w:p>
              </w:tc>
              <w:tc>
                <w:tcPr>
                  <w:tcW w:w="590" w:type="pct"/>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固体废物管理与处置措施</w:t>
                  </w:r>
                </w:p>
              </w:tc>
              <w:tc>
                <w:tcPr>
                  <w:tcW w:w="1457" w:type="pct"/>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严格控制固体废物污染，工业固体废物综合利用处理率、危险废物安全处置率、生活垃圾无害化处理率全部达到100%</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lang w:val="en-US" w:eastAsia="zh-CN"/>
                    </w:rPr>
                    <w:t>生活垃圾收集后由环卫部门定期清运处置；冶炼废渣外售综合利用；钢渣作为原料回电弧炉冶炼；废耐火材料由厂家回收利用；除尘灰、废机油委托有资质单位处置，固体废物无害化处理率全部达到100%</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restar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规划环评审查意见</w:t>
                  </w:r>
                </w:p>
              </w:tc>
              <w:tc>
                <w:tcPr>
                  <w:tcW w:w="2047" w:type="pct"/>
                  <w:gridSpan w:val="2"/>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鉴于开发区规划面积已超出了国家核准的面积，超出部分的开发建设还需得到有关政府及部门的正式批准</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项目在现有厂房内实施，属于国家核准的范围(详见附图2)</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default"/>
                      <w:color w:val="auto"/>
                      <w:vertAlign w:val="baseline"/>
                      <w:lang w:val="en-US" w:eastAsia="zh-CN"/>
                    </w:rPr>
                  </w:pPr>
                </w:p>
              </w:tc>
              <w:tc>
                <w:tcPr>
                  <w:tcW w:w="2047" w:type="pct"/>
                  <w:gridSpan w:val="2"/>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明确怀远经济开发区环境保护的总体要求。在开发区的建设和发展中，坚持高起点规划、高标准建设、高水平管理，坚持环境效益、经济效益和社会效益相统一的原则，按循环经济理念和清洁生产原则指导开发区建设，促进开发区可持续发展</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项目</w:t>
                  </w:r>
                  <w:r>
                    <w:rPr>
                      <w:rFonts w:hint="eastAsia"/>
                      <w:color w:val="auto"/>
                      <w:lang w:val="en-US" w:eastAsia="zh-CN"/>
                    </w:rPr>
                    <w:t>冶炼废渣外售综合利用；钢渣作为原料回电弧炉冶炼；废耐火材料由厂家回收利用，体现了</w:t>
                  </w:r>
                  <w:r>
                    <w:rPr>
                      <w:rFonts w:hint="default"/>
                      <w:color w:val="auto"/>
                      <w:vertAlign w:val="baseline"/>
                      <w:lang w:val="en-US" w:eastAsia="zh-CN"/>
                    </w:rPr>
                    <w:t>循环经济理念和清洁生产</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default"/>
                      <w:color w:val="auto"/>
                      <w:vertAlign w:val="baseline"/>
                      <w:lang w:val="en-US" w:eastAsia="zh-CN"/>
                    </w:rPr>
                  </w:pPr>
                </w:p>
              </w:tc>
              <w:tc>
                <w:tcPr>
                  <w:tcW w:w="2047" w:type="pct"/>
                  <w:gridSpan w:val="2"/>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按照省政府对开发区批复的总体要求，优化开发区内产业结构。严格限制非开发区产业定位方向的项目入区建设，严格限制高耗能、高污染、高废水产生的行业和企业入区建设，国家产业政策、技术政策和环保法律法规政策明令禁止的项目不得入区建设。进一步优化开发区内用地布局，对开发区内现有不符合产业功能定位的企业要限期进行搬迁</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lang w:val="en-US" w:eastAsia="zh-CN"/>
                    </w:rPr>
                    <w:t>项目外购废钢经过精炼后进行高性能热作模具、高性能冷作模具、镜面塑料模具、时效硬化模具、冷轧辊、石油阀箱以及其他锻件的生产。配套精炼设备处置能力与企业具有的铸造能力相匹配，仅为后续铸件产品质量提供保障，钢水全部用于铸件生产不外售。从主要原辅材料和产品方案角度分析，项目为含冶炼工序的铸锻项目，属于</w:t>
                  </w:r>
                  <w:r>
                    <w:rPr>
                      <w:color w:val="auto"/>
                    </w:rPr>
                    <w:t>《国民经济行业分类》</w:t>
                  </w:r>
                  <w:r>
                    <w:rPr>
                      <w:rFonts w:hint="eastAsia"/>
                      <w:color w:val="auto"/>
                      <w:lang w:eastAsia="zh-CN"/>
                    </w:rPr>
                    <w:t>(</w:t>
                  </w:r>
                  <w:r>
                    <w:rPr>
                      <w:color w:val="auto"/>
                    </w:rPr>
                    <w:t>2017年版</w:t>
                  </w:r>
                  <w:r>
                    <w:rPr>
                      <w:rFonts w:hint="eastAsia"/>
                      <w:color w:val="auto"/>
                      <w:lang w:eastAsia="zh-CN"/>
                    </w:rPr>
                    <w:t>)</w:t>
                  </w:r>
                  <w:r>
                    <w:rPr>
                      <w:color w:val="auto"/>
                    </w:rPr>
                    <w:t>和《2017年国民经济行业分类注释》</w:t>
                  </w:r>
                  <w:r>
                    <w:rPr>
                      <w:rFonts w:hint="eastAsia"/>
                      <w:color w:val="auto"/>
                      <w:lang w:val="en-US" w:eastAsia="zh-CN"/>
                    </w:rPr>
                    <w:t>中的“C3391 黑色金属铸造”，</w:t>
                  </w:r>
                  <w:r>
                    <w:rPr>
                      <w:rFonts w:hint="eastAsia"/>
                      <w:color w:val="auto"/>
                      <w:kern w:val="0"/>
                      <w:lang w:val="en-US" w:eastAsia="zh-CN"/>
                    </w:rPr>
                    <w:t>为开发区规划的“金属产品机械加工”范畴</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default"/>
                      <w:color w:val="auto"/>
                      <w:vertAlign w:val="baseline"/>
                      <w:lang w:val="en-US" w:eastAsia="zh-CN"/>
                    </w:rPr>
                  </w:pPr>
                </w:p>
              </w:tc>
              <w:tc>
                <w:tcPr>
                  <w:tcW w:w="2047" w:type="pct"/>
                  <w:gridSpan w:val="2"/>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加快开发区内环保基础设施建设，确保污染物达标排放。开发区实行雨污分流，加快开发区污水管网等配套工程建设进度，完善环保基础设施，在蚌埠市第三污水处理厂建成投入运行前，所有入区的工业企业生产、生活污水排放必须全部达标排放;污水处理厂投入运行后，工业企业污水须达到接管标准后进入污水处理厂集中处理，已有企业的污水排放口应全部取缔。进一步论证开发区集中供热的可行性，新入区企业建设锅炉应优先使用清洁能源，减少大气污染物排放，工业废气排放执行《大气污染物综合排放标准》(GB</w:t>
                  </w:r>
                  <w:r>
                    <w:rPr>
                      <w:rFonts w:hint="eastAsia"/>
                      <w:color w:val="auto"/>
                      <w:vertAlign w:val="baseline"/>
                      <w:lang w:val="en-US" w:eastAsia="zh-CN"/>
                    </w:rPr>
                    <w:t xml:space="preserve"> </w:t>
                  </w:r>
                  <w:r>
                    <w:rPr>
                      <w:rFonts w:hint="default"/>
                      <w:color w:val="auto"/>
                      <w:vertAlign w:val="baseline"/>
                      <w:lang w:val="en-US" w:eastAsia="zh-CN"/>
                    </w:rPr>
                    <w:t>16297-1996)中的二级标准。开发区内危险废物的收集、贮存应符合《危险废物贮存污染控制标准》(GB</w:t>
                  </w:r>
                  <w:r>
                    <w:rPr>
                      <w:rFonts w:hint="eastAsia"/>
                      <w:color w:val="auto"/>
                      <w:vertAlign w:val="baseline"/>
                      <w:lang w:val="en-US" w:eastAsia="zh-CN"/>
                    </w:rPr>
                    <w:t xml:space="preserve"> </w:t>
                  </w:r>
                  <w:r>
                    <w:rPr>
                      <w:rFonts w:hint="default"/>
                      <w:color w:val="auto"/>
                      <w:vertAlign w:val="baseline"/>
                      <w:lang w:val="en-US" w:eastAsia="zh-CN"/>
                    </w:rPr>
                    <w:t>18597-2001)的规定要求。生活垃圾由环卫部门集中处置。声环境执行相应功能区标准,施工期噪声执行《建筑施工场界噪声限值》中的有关规定。</w:t>
                  </w:r>
                </w:p>
              </w:tc>
              <w:tc>
                <w:tcPr>
                  <w:tcW w:w="1761" w:type="pct"/>
                  <w:shd w:val="clear" w:color="auto" w:fill="auto"/>
                  <w:vAlign w:val="top"/>
                </w:tcPr>
                <w:p>
                  <w:pPr>
                    <w:pStyle w:val="19"/>
                    <w:bidi w:val="0"/>
                    <w:jc w:val="both"/>
                    <w:rPr>
                      <w:rFonts w:hint="eastAsia" w:eastAsia="宋体"/>
                      <w:color w:val="auto"/>
                      <w:lang w:val="en-US" w:eastAsia="zh-CN"/>
                    </w:rPr>
                  </w:pPr>
                  <w:r>
                    <w:rPr>
                      <w:rFonts w:hint="eastAsia"/>
                      <w:color w:val="auto"/>
                    </w:rPr>
                    <w:t>根据“雨污分流、清污分流、分质处理、一水多用”的原则建设排水系统</w:t>
                  </w:r>
                  <w:r>
                    <w:rPr>
                      <w:rFonts w:hint="eastAsia"/>
                      <w:color w:val="auto"/>
                      <w:lang w:eastAsia="zh-CN"/>
                    </w:rPr>
                    <w:t>，</w:t>
                  </w:r>
                  <w:r>
                    <w:rPr>
                      <w:rFonts w:hint="eastAsia"/>
                      <w:color w:val="auto"/>
                      <w:lang w:val="en-US" w:eastAsia="zh-CN"/>
                    </w:rPr>
                    <w:t>生活污水经化粪池处理后，与循环冷却排污水经由总排口排入</w:t>
                  </w:r>
                  <w:r>
                    <w:rPr>
                      <w:rFonts w:hint="eastAsia"/>
                      <w:color w:val="auto"/>
                      <w:kern w:val="0"/>
                    </w:rPr>
                    <w:t>怀远经济开发区污水处理厂</w:t>
                  </w:r>
                  <w:r>
                    <w:rPr>
                      <w:rFonts w:hint="eastAsia"/>
                      <w:color w:val="auto"/>
                      <w:kern w:val="0"/>
                      <w:lang w:val="en-US" w:eastAsia="zh-CN"/>
                    </w:rPr>
                    <w:t>(一期)集中处理；热处理炉使用天然气作为燃料，冶炼工序配套布袋除尘器，废气排放满足相关标准要求；按照</w:t>
                  </w:r>
                  <w:r>
                    <w:rPr>
                      <w:color w:val="auto"/>
                    </w:rPr>
                    <w:t>严格按照《危险废物贮存污染控制标准》</w:t>
                  </w:r>
                  <w:r>
                    <w:rPr>
                      <w:rFonts w:hint="eastAsia"/>
                      <w:color w:val="auto"/>
                      <w:lang w:eastAsia="zh-CN"/>
                    </w:rPr>
                    <w:t>(</w:t>
                  </w:r>
                  <w:r>
                    <w:rPr>
                      <w:color w:val="auto"/>
                    </w:rPr>
                    <w:t>GB</w:t>
                  </w:r>
                  <w:r>
                    <w:rPr>
                      <w:rFonts w:hint="eastAsia"/>
                      <w:color w:val="auto"/>
                      <w:lang w:val="en-US" w:eastAsia="zh-CN"/>
                    </w:rPr>
                    <w:t xml:space="preserve"> </w:t>
                  </w:r>
                  <w:r>
                    <w:rPr>
                      <w:color w:val="auto"/>
                    </w:rPr>
                    <w:t>18597-</w:t>
                  </w:r>
                  <w:r>
                    <w:rPr>
                      <w:rFonts w:hint="eastAsia"/>
                      <w:color w:val="auto"/>
                      <w:lang w:val="en-US" w:eastAsia="zh-CN"/>
                    </w:rPr>
                    <w:t xml:space="preserve"> </w:t>
                  </w:r>
                  <w:r>
                    <w:rPr>
                      <w:color w:val="auto"/>
                    </w:rPr>
                    <w:t>20</w:t>
                  </w:r>
                  <w:r>
                    <w:rPr>
                      <w:rFonts w:hint="eastAsia"/>
                      <w:color w:val="auto"/>
                      <w:lang w:val="en-US" w:eastAsia="zh-CN"/>
                    </w:rPr>
                    <w:t>23</w:t>
                  </w:r>
                  <w:r>
                    <w:rPr>
                      <w:rFonts w:hint="eastAsia"/>
                      <w:color w:val="auto"/>
                      <w:lang w:eastAsia="zh-CN"/>
                    </w:rPr>
                    <w:t>)</w:t>
                  </w:r>
                  <w:r>
                    <w:rPr>
                      <w:color w:val="auto"/>
                    </w:rPr>
                    <w:t>的相关要求</w:t>
                  </w:r>
                  <w:r>
                    <w:rPr>
                      <w:rFonts w:hint="eastAsia"/>
                      <w:color w:val="auto"/>
                      <w:lang w:val="en-US" w:eastAsia="zh-CN"/>
                    </w:rPr>
                    <w:t>改造</w:t>
                  </w:r>
                  <w:r>
                    <w:rPr>
                      <w:color w:val="auto"/>
                    </w:rPr>
                    <w:t>危险废物暂存</w:t>
                  </w:r>
                  <w:r>
                    <w:rPr>
                      <w:rFonts w:hint="eastAsia"/>
                      <w:color w:val="auto"/>
                    </w:rPr>
                    <w:t>间</w:t>
                  </w:r>
                  <w:r>
                    <w:rPr>
                      <w:rFonts w:hint="eastAsia"/>
                      <w:color w:val="auto"/>
                      <w:lang w:eastAsia="zh-CN"/>
                    </w:rPr>
                    <w:t>；</w:t>
                  </w:r>
                  <w:r>
                    <w:rPr>
                      <w:rFonts w:hint="eastAsia"/>
                      <w:color w:val="auto"/>
                      <w:lang w:val="en-US" w:eastAsia="zh-CN"/>
                    </w:rPr>
                    <w:t>采取</w:t>
                  </w:r>
                  <w:r>
                    <w:rPr>
                      <w:rFonts w:hint="eastAsia"/>
                      <w:color w:val="auto"/>
                      <w:lang w:eastAsia="zh-CN"/>
                    </w:rPr>
                    <w:t>消声、隔声、减振等措施后，厂界夜间噪声预测值能够满足《工业企业厂界环境噪声排放标准》(GB 12348-2008)中3类标准限值要求</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default"/>
                      <w:color w:val="auto"/>
                      <w:vertAlign w:val="baseline"/>
                      <w:lang w:val="en-US" w:eastAsia="zh-CN"/>
                    </w:rPr>
                  </w:pPr>
                </w:p>
              </w:tc>
              <w:tc>
                <w:tcPr>
                  <w:tcW w:w="2047" w:type="pct"/>
                  <w:gridSpan w:val="2"/>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妥善安置区内搬迁居民，并合理布局搬迁居民安置区，确保动迁居民生活质量与环境质量不降低。</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不涉及</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default"/>
                      <w:color w:val="auto"/>
                      <w:vertAlign w:val="baseline"/>
                      <w:lang w:val="en-US" w:eastAsia="zh-CN"/>
                    </w:rPr>
                  </w:pPr>
                </w:p>
              </w:tc>
              <w:tc>
                <w:tcPr>
                  <w:tcW w:w="2047" w:type="pct"/>
                  <w:gridSpan w:val="2"/>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加强开发区环境安全管理工作。开发区基础设施和企业生产项目运营管理中须制定并落实事故防范对策措施和应急预案，开发区内各危险化学品库区及使用危险化学品的生产装置周边应设置物料泄漏应急截流沟，防止泄漏物料进入环境，储备事故应急设备物资，定期组织演练，确保开发区环境安全</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建设单位</w:t>
                  </w:r>
                  <w:r>
                    <w:rPr>
                      <w:rFonts w:hint="eastAsia"/>
                      <w:color w:val="auto"/>
                      <w:lang w:val="en-US" w:eastAsia="zh-CN"/>
                    </w:rPr>
                    <w:t>组织环境风险应急预案的编制，定期对员工进行风险应急演练，定期参加上级主管机构和各级行政主管部门组织的风险技术培训，提高环境风险管理和技术水平</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default"/>
                      <w:color w:val="auto"/>
                      <w:vertAlign w:val="baseline"/>
                      <w:lang w:val="en-US" w:eastAsia="zh-CN"/>
                    </w:rPr>
                  </w:pPr>
                </w:p>
              </w:tc>
              <w:tc>
                <w:tcPr>
                  <w:tcW w:w="2047" w:type="pct"/>
                  <w:gridSpan w:val="2"/>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开发区必须采取措施削减污染物排放总量，确保污染物排放总量控制指标符合蚌埠市及怀远县环保局的要求。</w:t>
                  </w:r>
                </w:p>
              </w:tc>
              <w:tc>
                <w:tcPr>
                  <w:tcW w:w="1761" w:type="pct"/>
                  <w:shd w:val="clear" w:color="auto" w:fill="auto"/>
                  <w:vAlign w:val="top"/>
                </w:tcPr>
                <w:p>
                  <w:pPr>
                    <w:pStyle w:val="19"/>
                    <w:bidi w:val="0"/>
                    <w:jc w:val="both"/>
                    <w:rPr>
                      <w:rFonts w:hint="default" w:eastAsia="宋体"/>
                      <w:color w:val="auto"/>
                      <w:vertAlign w:val="baseline"/>
                      <w:lang w:val="en-US" w:eastAsia="zh-CN"/>
                    </w:rPr>
                  </w:pPr>
                  <w:r>
                    <w:rPr>
                      <w:rFonts w:hint="eastAsia"/>
                      <w:color w:val="auto"/>
                      <w:vertAlign w:val="baseline"/>
                      <w:lang w:val="en-US" w:eastAsia="zh-CN"/>
                    </w:rPr>
                    <w:t>项目按照倍量申请</w:t>
                  </w:r>
                  <w:r>
                    <w:rPr>
                      <w:color w:val="auto"/>
                    </w:rPr>
                    <w:t>二氧化硫、氮氧化物、烟</w:t>
                  </w:r>
                  <w:r>
                    <w:rPr>
                      <w:rFonts w:hint="eastAsia"/>
                      <w:color w:val="auto"/>
                      <w:lang w:eastAsia="zh-CN"/>
                    </w:rPr>
                    <w:t>(</w:t>
                  </w:r>
                  <w:r>
                    <w:rPr>
                      <w:color w:val="auto"/>
                    </w:rPr>
                    <w:t>粉</w:t>
                  </w:r>
                  <w:r>
                    <w:rPr>
                      <w:rFonts w:hint="eastAsia"/>
                      <w:color w:val="auto"/>
                      <w:lang w:eastAsia="zh-CN"/>
                    </w:rPr>
                    <w:t>)</w:t>
                  </w:r>
                  <w:r>
                    <w:rPr>
                      <w:color w:val="auto"/>
                    </w:rPr>
                    <w:t>尘</w:t>
                  </w:r>
                  <w:r>
                    <w:rPr>
                      <w:rFonts w:hint="eastAsia"/>
                      <w:color w:val="auto"/>
                    </w:rPr>
                    <w:t>均应进行倍量替代</w:t>
                  </w:r>
                  <w:r>
                    <w:rPr>
                      <w:rFonts w:hint="eastAsia"/>
                      <w:color w:val="auto"/>
                      <w:lang w:eastAsia="zh-CN"/>
                    </w:rPr>
                    <w:t>，</w:t>
                  </w:r>
                  <w:r>
                    <w:rPr>
                      <w:rFonts w:hint="eastAsia"/>
                      <w:color w:val="auto"/>
                      <w:lang w:val="en-US" w:eastAsia="zh-CN"/>
                    </w:rPr>
                    <w:t>不会突破废气污染物总量</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5" w:type="pct"/>
                  <w:vMerge w:val="continue"/>
                  <w:shd w:val="clear" w:color="auto" w:fill="auto"/>
                  <w:vAlign w:val="top"/>
                </w:tcPr>
                <w:p>
                  <w:pPr>
                    <w:pStyle w:val="19"/>
                    <w:bidi w:val="0"/>
                    <w:jc w:val="both"/>
                    <w:rPr>
                      <w:rFonts w:hint="default"/>
                      <w:color w:val="auto"/>
                      <w:vertAlign w:val="baseline"/>
                      <w:lang w:val="en-US" w:eastAsia="zh-CN"/>
                    </w:rPr>
                  </w:pPr>
                </w:p>
              </w:tc>
              <w:tc>
                <w:tcPr>
                  <w:tcW w:w="2047" w:type="pct"/>
                  <w:gridSpan w:val="2"/>
                  <w:shd w:val="clear" w:color="auto" w:fill="auto"/>
                  <w:vAlign w:val="top"/>
                </w:tcPr>
                <w:p>
                  <w:pPr>
                    <w:pStyle w:val="19"/>
                    <w:bidi w:val="0"/>
                    <w:jc w:val="both"/>
                    <w:rPr>
                      <w:rFonts w:hint="default"/>
                      <w:color w:val="auto"/>
                      <w:vertAlign w:val="baseline"/>
                      <w:lang w:val="en-US" w:eastAsia="zh-CN"/>
                    </w:rPr>
                  </w:pPr>
                  <w:r>
                    <w:rPr>
                      <w:rFonts w:hint="default"/>
                      <w:color w:val="auto"/>
                      <w:vertAlign w:val="baseline"/>
                      <w:lang w:val="en-US" w:eastAsia="zh-CN"/>
                    </w:rPr>
                    <w:t>进入开发区内的建设项目必须严格执行环境影响评价制度，必须严格执行环境保护设施与主体工程同时设计、同时施工同时投产使用的环境保护“三同时”制度。项目竣工后，建设单位必须按规定程序申请环境保护验收</w:t>
                  </w:r>
                  <w:r>
                    <w:rPr>
                      <w:rFonts w:hint="eastAsia"/>
                      <w:color w:val="auto"/>
                      <w:vertAlign w:val="baseline"/>
                      <w:lang w:val="en-US" w:eastAsia="zh-CN"/>
                    </w:rPr>
                    <w:t>；</w:t>
                  </w:r>
                  <w:r>
                    <w:rPr>
                      <w:rFonts w:hint="default"/>
                      <w:color w:val="auto"/>
                      <w:vertAlign w:val="baseline"/>
                      <w:lang w:val="en-US" w:eastAsia="zh-CN"/>
                    </w:rPr>
                    <w:t>验收合格后，项目方可正式投入生产或使用</w:t>
                  </w:r>
                </w:p>
              </w:tc>
              <w:tc>
                <w:tcPr>
                  <w:tcW w:w="1761"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正在履行相关环保手续</w:t>
                  </w:r>
                </w:p>
              </w:tc>
              <w:tc>
                <w:tcPr>
                  <w:tcW w:w="666" w:type="pct"/>
                  <w:shd w:val="clear" w:color="auto" w:fill="auto"/>
                  <w:vAlign w:val="top"/>
                </w:tcPr>
                <w:p>
                  <w:pPr>
                    <w:pStyle w:val="19"/>
                    <w:bidi w:val="0"/>
                    <w:jc w:val="both"/>
                    <w:rPr>
                      <w:rFonts w:hint="default"/>
                      <w:color w:val="auto"/>
                      <w:vertAlign w:val="baseline"/>
                      <w:lang w:val="en-US" w:eastAsia="zh-CN"/>
                    </w:rPr>
                  </w:pPr>
                  <w:r>
                    <w:rPr>
                      <w:rFonts w:hint="eastAsia"/>
                      <w:color w:val="auto"/>
                      <w:vertAlign w:val="baseline"/>
                      <w:lang w:val="en-US" w:eastAsia="zh-CN"/>
                    </w:rPr>
                    <w:t>符合</w:t>
                  </w:r>
                </w:p>
              </w:tc>
            </w:tr>
          </w:tbl>
          <w:p>
            <w:pPr>
              <w:pStyle w:val="19"/>
              <w:bidi w:val="0"/>
              <w:rPr>
                <w:rFonts w:hint="default"/>
                <w:lang w:val="en-US" w:eastAsia="zh-CN"/>
              </w:rPr>
            </w:pPr>
          </w:p>
          <w:p>
            <w:pPr>
              <w:autoSpaceDE w:val="0"/>
              <w:autoSpaceDN w:val="0"/>
              <w:spacing w:line="480" w:lineRule="exact"/>
              <w:rPr>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7" w:hRule="atLeast"/>
          <w:jc w:val="center"/>
        </w:trPr>
        <w:tc>
          <w:tcPr>
            <w:tcW w:w="1248" w:type="pct"/>
            <w:vAlign w:val="center"/>
          </w:tcPr>
          <w:p>
            <w:pPr>
              <w:autoSpaceDE w:val="0"/>
              <w:autoSpaceDN w:val="0"/>
              <w:spacing w:line="480" w:lineRule="exact"/>
              <w:ind w:firstLine="0" w:firstLineChars="0"/>
              <w:rPr>
                <w:b/>
                <w:bCs/>
                <w:kern w:val="0"/>
              </w:rPr>
            </w:pPr>
            <w:r>
              <w:rPr>
                <w:b/>
                <w:bCs/>
                <w:kern w:val="0"/>
              </w:rPr>
              <w:t>其他符合性分析</w:t>
            </w:r>
          </w:p>
        </w:tc>
        <w:tc>
          <w:tcPr>
            <w:tcW w:w="3752" w:type="pct"/>
            <w:gridSpan w:val="3"/>
            <w:vAlign w:val="center"/>
          </w:tcPr>
          <w:p>
            <w:pPr>
              <w:autoSpaceDE w:val="0"/>
              <w:autoSpaceDN w:val="0"/>
              <w:spacing w:line="480" w:lineRule="exact"/>
              <w:ind w:left="0" w:leftChars="0" w:firstLine="0" w:firstLineChars="0"/>
              <w:rPr>
                <w:rFonts w:hint="default" w:eastAsia="宋体"/>
                <w:kern w:val="0"/>
                <w:lang w:val="en-US" w:eastAsia="zh-CN"/>
              </w:rPr>
            </w:pPr>
            <w:r>
              <w:rPr>
                <w:rFonts w:hint="eastAsia"/>
                <w:b/>
                <w:bCs/>
                <w:kern w:val="0"/>
                <w:lang w:val="en-US" w:eastAsia="zh-CN"/>
              </w:rPr>
              <w:t>1、产业政策符合性</w:t>
            </w:r>
          </w:p>
          <w:p>
            <w:pPr>
              <w:autoSpaceDE w:val="0"/>
              <w:autoSpaceDN w:val="0"/>
              <w:spacing w:line="480" w:lineRule="exact"/>
              <w:rPr>
                <w:kern w:val="0"/>
              </w:rPr>
            </w:pPr>
            <w:r>
              <w:rPr>
                <w:rFonts w:hint="eastAsia"/>
                <w:kern w:val="0"/>
              </w:rPr>
              <w:t>项目主要设施为50t</w:t>
            </w:r>
            <w:r>
              <w:rPr>
                <w:rFonts w:hint="eastAsia"/>
                <w:kern w:val="0"/>
                <w:lang w:val="en-US" w:eastAsia="zh-CN"/>
              </w:rPr>
              <w:t>电弧炉</w:t>
            </w:r>
            <w:r>
              <w:rPr>
                <w:rFonts w:hint="eastAsia"/>
                <w:kern w:val="0"/>
              </w:rPr>
              <w:t>1座、5t合金熔融炉1座、</w:t>
            </w:r>
            <w:r>
              <w:rPr>
                <w:rFonts w:hint="eastAsia"/>
                <w:kern w:val="0"/>
                <w:lang w:val="en-US" w:eastAsia="zh-CN"/>
              </w:rPr>
              <w:t>3</w:t>
            </w:r>
            <w:r>
              <w:rPr>
                <w:rFonts w:hint="eastAsia"/>
                <w:kern w:val="0"/>
              </w:rPr>
              <w:t>0tAOD</w:t>
            </w:r>
            <w:r>
              <w:rPr>
                <w:rFonts w:hint="eastAsia"/>
                <w:kern w:val="0"/>
                <w:lang w:val="en-US" w:eastAsia="zh-CN"/>
              </w:rPr>
              <w:t>炉</w:t>
            </w:r>
            <w:r>
              <w:rPr>
                <w:rFonts w:hint="eastAsia"/>
                <w:kern w:val="0"/>
              </w:rPr>
              <w:t>1座、</w:t>
            </w:r>
            <w:r>
              <w:rPr>
                <w:rFonts w:hint="eastAsia"/>
                <w:kern w:val="0"/>
                <w:lang w:val="en-US" w:eastAsia="zh-CN"/>
              </w:rPr>
              <w:t>3</w:t>
            </w:r>
            <w:r>
              <w:rPr>
                <w:rFonts w:hint="eastAsia"/>
                <w:kern w:val="0"/>
              </w:rPr>
              <w:t>0tLF</w:t>
            </w:r>
            <w:r>
              <w:rPr>
                <w:rFonts w:hint="eastAsia"/>
                <w:kern w:val="0"/>
                <w:lang w:val="en-US" w:eastAsia="zh-CN"/>
              </w:rPr>
              <w:t>炉</w:t>
            </w:r>
            <w:r>
              <w:rPr>
                <w:rFonts w:hint="eastAsia"/>
                <w:kern w:val="0"/>
              </w:rPr>
              <w:t>1座、</w:t>
            </w:r>
            <w:r>
              <w:rPr>
                <w:rFonts w:hint="eastAsia"/>
                <w:kern w:val="0"/>
                <w:lang w:val="en-US" w:eastAsia="zh-CN"/>
              </w:rPr>
              <w:t>3</w:t>
            </w:r>
            <w:r>
              <w:rPr>
                <w:rFonts w:hint="eastAsia"/>
                <w:kern w:val="0"/>
              </w:rPr>
              <w:t>0tVD</w:t>
            </w:r>
            <w:r>
              <w:rPr>
                <w:rFonts w:hint="eastAsia"/>
                <w:kern w:val="0"/>
                <w:lang w:val="en-US" w:eastAsia="zh-CN"/>
              </w:rPr>
              <w:t>炉</w:t>
            </w:r>
            <w:r>
              <w:rPr>
                <w:rFonts w:hint="eastAsia"/>
                <w:kern w:val="0"/>
              </w:rPr>
              <w:t>1座及配套公辅设施等。项目建成后，合格</w:t>
            </w:r>
            <w:r>
              <w:rPr>
                <w:rFonts w:hint="eastAsia"/>
                <w:kern w:val="0"/>
                <w:lang w:val="en-US" w:eastAsia="zh-CN"/>
              </w:rPr>
              <w:t>特殊钢铸件3</w:t>
            </w:r>
            <w:r>
              <w:rPr>
                <w:rFonts w:hint="eastAsia"/>
                <w:kern w:val="0"/>
              </w:rPr>
              <w:t>万吨，电炉设计能够达到环保、能耗、安全等强制性标准。根据《产业结构调整指导目录</w:t>
            </w:r>
            <w:r>
              <w:rPr>
                <w:rFonts w:hint="eastAsia"/>
                <w:kern w:val="0"/>
                <w:lang w:eastAsia="zh-CN"/>
              </w:rPr>
              <w:t>(</w:t>
            </w:r>
            <w:r>
              <w:rPr>
                <w:rFonts w:hint="eastAsia"/>
                <w:kern w:val="0"/>
              </w:rPr>
              <w:t>20</w:t>
            </w:r>
            <w:r>
              <w:rPr>
                <w:rFonts w:hint="eastAsia"/>
                <w:kern w:val="0"/>
                <w:lang w:val="en-US" w:eastAsia="zh-CN"/>
              </w:rPr>
              <w:t>24</w:t>
            </w:r>
            <w:r>
              <w:rPr>
                <w:rFonts w:hint="eastAsia"/>
                <w:kern w:val="0"/>
              </w:rPr>
              <w:t>年本</w:t>
            </w:r>
            <w:r>
              <w:rPr>
                <w:rFonts w:hint="eastAsia"/>
                <w:kern w:val="0"/>
                <w:lang w:eastAsia="zh-CN"/>
              </w:rPr>
              <w:t>)</w:t>
            </w:r>
            <w:r>
              <w:rPr>
                <w:rFonts w:hint="eastAsia"/>
                <w:kern w:val="0"/>
              </w:rPr>
              <w:t>》，项目主要设施不属于“限制类”</w:t>
            </w:r>
            <w:r>
              <w:rPr>
                <w:rFonts w:hint="eastAsia"/>
                <w:kern w:val="0"/>
                <w:lang w:val="en-US" w:eastAsia="zh-CN"/>
              </w:rPr>
              <w:t>和“</w:t>
            </w:r>
            <w:r>
              <w:rPr>
                <w:rFonts w:hint="eastAsia"/>
                <w:kern w:val="0"/>
              </w:rPr>
              <w:t>淘汰类</w:t>
            </w:r>
            <w:r>
              <w:rPr>
                <w:rFonts w:hint="eastAsia"/>
                <w:kern w:val="0"/>
                <w:lang w:val="en-US" w:eastAsia="zh-CN"/>
              </w:rPr>
              <w:t>”，</w:t>
            </w:r>
            <w:r>
              <w:rPr>
                <w:rFonts w:hint="eastAsia"/>
                <w:kern w:val="0"/>
              </w:rPr>
              <w:t>属于允许类。</w:t>
            </w:r>
          </w:p>
          <w:p>
            <w:pPr>
              <w:autoSpaceDE w:val="0"/>
              <w:autoSpaceDN w:val="0"/>
              <w:spacing w:line="480" w:lineRule="exact"/>
              <w:rPr>
                <w:rFonts w:hint="eastAsia"/>
                <w:kern w:val="0"/>
              </w:rPr>
            </w:pPr>
            <w:r>
              <w:rPr>
                <w:rFonts w:hint="eastAsia"/>
                <w:kern w:val="0"/>
              </w:rPr>
              <w:t>202</w:t>
            </w:r>
            <w:r>
              <w:rPr>
                <w:rFonts w:hint="eastAsia"/>
                <w:kern w:val="0"/>
                <w:lang w:val="en-US" w:eastAsia="zh-CN"/>
              </w:rPr>
              <w:t>1</w:t>
            </w:r>
            <w:r>
              <w:rPr>
                <w:rFonts w:hint="eastAsia"/>
                <w:kern w:val="0"/>
              </w:rPr>
              <w:t>年</w:t>
            </w:r>
            <w:r>
              <w:rPr>
                <w:rFonts w:hint="eastAsia"/>
                <w:kern w:val="0"/>
                <w:lang w:val="en-US" w:eastAsia="zh-CN"/>
              </w:rPr>
              <w:t>1</w:t>
            </w:r>
            <w:r>
              <w:rPr>
                <w:rFonts w:hint="eastAsia"/>
                <w:kern w:val="0"/>
              </w:rPr>
              <w:t>月</w:t>
            </w:r>
            <w:r>
              <w:rPr>
                <w:rFonts w:hint="eastAsia"/>
                <w:kern w:val="0"/>
                <w:lang w:val="en-US" w:eastAsia="zh-CN"/>
              </w:rPr>
              <w:t>3日</w:t>
            </w:r>
            <w:r>
              <w:rPr>
                <w:rFonts w:hint="eastAsia"/>
                <w:kern w:val="0"/>
              </w:rPr>
              <w:t>，</w:t>
            </w:r>
            <w:r>
              <w:rPr>
                <w:rFonts w:hint="eastAsia"/>
                <w:kern w:val="0"/>
                <w:lang w:val="en-US" w:eastAsia="zh-CN"/>
              </w:rPr>
              <w:t>怀远县</w:t>
            </w:r>
            <w:r>
              <w:rPr>
                <w:rFonts w:hint="eastAsia"/>
                <w:kern w:val="0"/>
              </w:rPr>
              <w:t>发改委对该项目进行了备案，项目名称为3万吨/年特殊钢铸件项目，项目代码：</w:t>
            </w:r>
            <w:r>
              <w:rPr>
                <w:rFonts w:hint="eastAsia"/>
                <w:kern w:val="0"/>
                <w:lang w:val="en-US" w:eastAsia="zh-CN"/>
              </w:rPr>
              <w:t>2312-340321-04-01- 500044</w:t>
            </w:r>
            <w:r>
              <w:rPr>
                <w:rFonts w:hint="eastAsia"/>
                <w:kern w:val="0"/>
              </w:rPr>
              <w:t>。</w:t>
            </w:r>
          </w:p>
          <w:p>
            <w:pPr>
              <w:autoSpaceDE w:val="0"/>
              <w:autoSpaceDN w:val="0"/>
              <w:spacing w:line="480" w:lineRule="exact"/>
              <w:rPr>
                <w:kern w:val="0"/>
              </w:rPr>
            </w:pPr>
            <w:r>
              <w:rPr>
                <w:rFonts w:hint="eastAsia"/>
                <w:kern w:val="0"/>
              </w:rPr>
              <w:t>因此，项目符合产业政策要求。</w:t>
            </w:r>
          </w:p>
          <w:p>
            <w:pPr>
              <w:autoSpaceDE w:val="0"/>
              <w:autoSpaceDN w:val="0"/>
              <w:spacing w:line="480" w:lineRule="exact"/>
              <w:ind w:left="0" w:leftChars="0" w:firstLine="0" w:firstLineChars="0"/>
              <w:rPr>
                <w:rFonts w:hint="default" w:eastAsia="宋体"/>
                <w:b/>
                <w:bCs/>
                <w:kern w:val="0"/>
                <w:lang w:val="en-US" w:eastAsia="zh-CN"/>
              </w:rPr>
            </w:pPr>
            <w:r>
              <w:rPr>
                <w:rFonts w:hint="eastAsia"/>
                <w:b/>
                <w:bCs/>
                <w:kern w:val="0"/>
                <w:lang w:val="en-US" w:eastAsia="zh-CN"/>
              </w:rPr>
              <w:t>2、“三线一单”符合性</w:t>
            </w:r>
          </w:p>
          <w:p>
            <w:pPr>
              <w:autoSpaceDE w:val="0"/>
              <w:autoSpaceDN w:val="0"/>
              <w:spacing w:line="480" w:lineRule="exact"/>
              <w:rPr>
                <w:rFonts w:hint="default" w:eastAsia="宋体"/>
                <w:b/>
                <w:bCs/>
                <w:kern w:val="0"/>
                <w:lang w:val="en-US" w:eastAsia="zh-CN"/>
              </w:rPr>
            </w:pPr>
            <w:r>
              <w:rPr>
                <w:rFonts w:hint="eastAsia"/>
                <w:b/>
                <w:bCs/>
                <w:kern w:val="0"/>
                <w:lang w:eastAsia="zh-CN"/>
              </w:rPr>
              <w:t>(</w:t>
            </w:r>
            <w:r>
              <w:rPr>
                <w:rFonts w:hint="eastAsia"/>
                <w:b/>
                <w:bCs/>
                <w:kern w:val="0"/>
                <w:lang w:val="en-US" w:eastAsia="zh-CN"/>
              </w:rPr>
              <w:t>1</w:t>
            </w:r>
            <w:r>
              <w:rPr>
                <w:rFonts w:hint="eastAsia"/>
                <w:b/>
                <w:bCs/>
                <w:kern w:val="0"/>
                <w:lang w:eastAsia="zh-CN"/>
              </w:rPr>
              <w:t>)</w:t>
            </w:r>
            <w:r>
              <w:rPr>
                <w:rFonts w:hint="eastAsia"/>
                <w:b/>
                <w:bCs/>
                <w:kern w:val="0"/>
                <w:lang w:val="en-US" w:eastAsia="zh-CN"/>
              </w:rPr>
              <w:t xml:space="preserve"> 生态保护红线符合性</w:t>
            </w:r>
          </w:p>
          <w:p>
            <w:pPr>
              <w:autoSpaceDE w:val="0"/>
              <w:autoSpaceDN w:val="0"/>
              <w:spacing w:line="480" w:lineRule="exact"/>
              <w:rPr>
                <w:rFonts w:hint="default"/>
                <w:kern w:val="0"/>
                <w:lang w:val="en-US"/>
              </w:rPr>
            </w:pPr>
            <w:r>
              <w:rPr>
                <w:rFonts w:hint="eastAsia"/>
                <w:kern w:val="0"/>
                <w:lang w:val="en-US" w:eastAsia="zh-CN"/>
              </w:rPr>
              <w:t>项目位于安徽怀远经济开发区乳泉大道2号，属于规划的工业用地。对照蚌埠市自然保护地与生态保护红线分布图(附图3)，与项目距离较近的生态保护红线有安徽怀远滨淮湿地公园、涂山-白乳泉风景名胜区，最近距离分别为2.3km和1.8km。项目选址不涉及蚌埠市生态保护红线。</w:t>
            </w:r>
          </w:p>
          <w:p>
            <w:pPr>
              <w:autoSpaceDE w:val="0"/>
              <w:autoSpaceDN w:val="0"/>
              <w:spacing w:line="480" w:lineRule="exact"/>
              <w:rPr>
                <w:rFonts w:hint="default" w:eastAsia="宋体"/>
                <w:b/>
                <w:bCs/>
                <w:kern w:val="0"/>
                <w:lang w:val="en-US" w:eastAsia="zh-CN"/>
              </w:rPr>
            </w:pPr>
            <w:r>
              <w:rPr>
                <w:rFonts w:hint="eastAsia"/>
                <w:b/>
                <w:bCs/>
                <w:kern w:val="0"/>
                <w:lang w:eastAsia="zh-CN"/>
              </w:rPr>
              <w:t>(</w:t>
            </w:r>
            <w:r>
              <w:rPr>
                <w:rFonts w:hint="eastAsia"/>
                <w:b/>
                <w:bCs/>
                <w:kern w:val="0"/>
                <w:lang w:val="en-US" w:eastAsia="zh-CN"/>
              </w:rPr>
              <w:t>2</w:t>
            </w:r>
            <w:r>
              <w:rPr>
                <w:rFonts w:hint="eastAsia"/>
                <w:b/>
                <w:bCs/>
                <w:kern w:val="0"/>
                <w:lang w:eastAsia="zh-CN"/>
              </w:rPr>
              <w:t>)</w:t>
            </w:r>
            <w:r>
              <w:rPr>
                <w:rFonts w:hint="eastAsia"/>
                <w:b/>
                <w:bCs/>
                <w:kern w:val="0"/>
                <w:lang w:val="en-US" w:eastAsia="zh-CN"/>
              </w:rPr>
              <w:t xml:space="preserve"> 环境质量底线符合性</w:t>
            </w:r>
          </w:p>
          <w:p>
            <w:pPr>
              <w:autoSpaceDE w:val="0"/>
              <w:autoSpaceDN w:val="0"/>
              <w:spacing w:line="480" w:lineRule="exact"/>
              <w:rPr>
                <w:rFonts w:hint="eastAsia" w:eastAsia="宋体"/>
                <w:kern w:val="0"/>
                <w:lang w:eastAsia="zh-CN"/>
              </w:rPr>
            </w:pPr>
            <w:r>
              <w:rPr>
                <w:color w:val="000000" w:themeColor="text1"/>
                <w14:textFill>
                  <w14:solidFill>
                    <w14:schemeClr w14:val="tx1"/>
                  </w14:solidFill>
                </w14:textFill>
              </w:rPr>
              <w:t>本次评价</w:t>
            </w:r>
            <w:r>
              <w:rPr>
                <w:rFonts w:hint="eastAsia"/>
                <w:color w:val="000000" w:themeColor="text1"/>
                <w14:textFill>
                  <w14:solidFill>
                    <w14:schemeClr w14:val="tx1"/>
                  </w14:solidFill>
                </w14:textFill>
              </w:rPr>
              <w:t>选择</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作为基准年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根据蚌埠市环境质量公报，</w:t>
            </w:r>
            <w:r>
              <w:rPr>
                <w:rFonts w:hint="eastAsia"/>
                <w:color w:val="000000" w:themeColor="text1"/>
                <w:lang w:val="en-US" w:eastAsia="zh-CN"/>
                <w14:textFill>
                  <w14:solidFill>
                    <w14:schemeClr w14:val="tx1"/>
                  </w14:solidFill>
                </w14:textFill>
              </w:rPr>
              <w:t>区域环境空气</w:t>
            </w:r>
            <w:r>
              <w:rPr>
                <w:rFonts w:hint="eastAsia"/>
                <w:color w:val="000000" w:themeColor="text1"/>
                <w14:textFill>
                  <w14:solidFill>
                    <w14:schemeClr w14:val="tx1"/>
                  </w14:solidFill>
                </w14:textFill>
              </w:rPr>
              <w:t>中SO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、PM</w:t>
            </w:r>
            <w:r>
              <w:rPr>
                <w:rFonts w:hint="eastAsia"/>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、CO基本污染物满足《环境空气质量标准》</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GB</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3095-2012</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中二级标准要求，PM</w:t>
            </w:r>
            <w:r>
              <w:rPr>
                <w:rFonts w:hint="eastAsia"/>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、O</w:t>
            </w:r>
            <w:r>
              <w:rPr>
                <w:rFonts w:hint="eastAsia"/>
                <w:color w:val="000000" w:themeColor="text1"/>
                <w:vertAlign w:val="subscript"/>
                <w14:textFill>
                  <w14:solidFill>
                    <w14:schemeClr w14:val="tx1"/>
                  </w14:solidFill>
                </w14:textFill>
              </w:rPr>
              <w:t>3</w:t>
            </w:r>
            <w:r>
              <w:rPr>
                <w:rFonts w:hint="eastAsia"/>
                <w:color w:val="000000" w:themeColor="text1"/>
                <w:vertAlign w:val="baseline"/>
                <w:lang w:val="en-US" w:eastAsia="zh-CN"/>
                <w14:textFill>
                  <w14:solidFill>
                    <w14:schemeClr w14:val="tx1"/>
                  </w14:solidFill>
                </w14:textFill>
              </w:rPr>
              <w:t>两</w:t>
            </w:r>
            <w:r>
              <w:rPr>
                <w:rFonts w:hint="eastAsia"/>
                <w:color w:val="000000" w:themeColor="text1"/>
                <w14:textFill>
                  <w14:solidFill>
                    <w14:schemeClr w14:val="tx1"/>
                  </w14:solidFill>
                </w14:textFill>
              </w:rPr>
              <w:t>项基本污染物不达标，项目所在区域属于不达标区。为切实改善蚌埠市环境空气质量，蚌埠市人民政府于2021年1月22日发布《关于印发&lt;蚌埠市环境空气质量达标规划</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2019-2030年</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gt;的通知》，并完成大气污染成因源清单和源解析工作，制定大气整治项目298个，修订《蚌埠市重污染天气应急预案》及应急减排清单，为600多家企业制定差异化减排措施。通过贯彻落实《蚌埠市环境空气质量达标规划</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2019-2030年</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》和《蚌埠市重污染天气应急预案》中各具体措施，蚌埠市大气环境质量状况可以得到改善。</w:t>
            </w:r>
            <w:r>
              <w:rPr>
                <w:rFonts w:hint="eastAsia"/>
              </w:rPr>
              <w:t>一号大沟和北淝河上各监测断面能满足《地表水环境质量标准》</w:t>
            </w:r>
            <w:r>
              <w:rPr>
                <w:rFonts w:hint="eastAsia"/>
                <w:lang w:eastAsia="zh-CN"/>
              </w:rPr>
              <w:t>(</w:t>
            </w:r>
            <w:r>
              <w:rPr>
                <w:rFonts w:hint="eastAsia"/>
              </w:rPr>
              <w:t>GB</w:t>
            </w:r>
            <w:r>
              <w:t xml:space="preserve"> </w:t>
            </w:r>
            <w:r>
              <w:rPr>
                <w:rFonts w:hint="eastAsia"/>
              </w:rPr>
              <w:t>3838-2002</w:t>
            </w:r>
            <w:r>
              <w:rPr>
                <w:rFonts w:hint="eastAsia"/>
                <w:lang w:eastAsia="zh-CN"/>
              </w:rPr>
              <w:t>)</w:t>
            </w:r>
            <w:r>
              <w:rPr>
                <w:rFonts w:hint="eastAsia"/>
              </w:rPr>
              <w:t>中IV类水标准限值</w:t>
            </w:r>
            <w:r>
              <w:rPr>
                <w:rFonts w:hint="eastAsia"/>
                <w:lang w:eastAsia="zh-CN"/>
              </w:rPr>
              <w:t>。项目所在地声环境质量符合《声环境质量标准》(GB</w:t>
            </w:r>
            <w:r>
              <w:rPr>
                <w:rFonts w:hint="eastAsia"/>
                <w:lang w:val="en-US" w:eastAsia="zh-CN"/>
              </w:rPr>
              <w:t xml:space="preserve"> </w:t>
            </w:r>
            <w:r>
              <w:rPr>
                <w:rFonts w:hint="eastAsia"/>
                <w:lang w:eastAsia="zh-CN"/>
              </w:rPr>
              <w:t>3096-2008)中</w:t>
            </w:r>
            <w:r>
              <w:rPr>
                <w:rFonts w:hint="eastAsia"/>
                <w:lang w:val="en-US" w:eastAsia="zh-CN"/>
              </w:rPr>
              <w:t>3</w:t>
            </w:r>
            <w:r>
              <w:rPr>
                <w:rFonts w:hint="eastAsia"/>
                <w:lang w:eastAsia="zh-CN"/>
              </w:rPr>
              <w:t>类标准要求。本项目废气和废水在采取报告中提出的治理措施后，能够达到相应的排放标准，因此对周边环境质量影响较小，本项目噪声和固废均得到合理处置，对周边影响较小。综上，本项目的建设运行不会突破项目所在地的环境质量底线，因此项目符合环境质量底线标准。</w:t>
            </w:r>
          </w:p>
          <w:p>
            <w:pPr>
              <w:autoSpaceDE w:val="0"/>
              <w:autoSpaceDN w:val="0"/>
              <w:spacing w:line="480" w:lineRule="exact"/>
              <w:rPr>
                <w:rFonts w:hint="default" w:eastAsia="宋体"/>
                <w:b/>
                <w:bCs/>
                <w:color w:val="auto"/>
                <w:kern w:val="0"/>
                <w:lang w:val="en-US" w:eastAsia="zh-CN"/>
              </w:rPr>
            </w:pPr>
            <w:r>
              <w:rPr>
                <w:rFonts w:hint="eastAsia"/>
                <w:b/>
                <w:bCs/>
                <w:color w:val="auto"/>
                <w:kern w:val="0"/>
                <w:lang w:eastAsia="zh-CN"/>
              </w:rPr>
              <w:t>(</w:t>
            </w:r>
            <w:r>
              <w:rPr>
                <w:rFonts w:hint="eastAsia"/>
                <w:b/>
                <w:bCs/>
                <w:color w:val="auto"/>
                <w:kern w:val="0"/>
                <w:lang w:val="en-US" w:eastAsia="zh-CN"/>
              </w:rPr>
              <w:t>3</w:t>
            </w:r>
            <w:r>
              <w:rPr>
                <w:rFonts w:hint="eastAsia"/>
                <w:b/>
                <w:bCs/>
                <w:color w:val="auto"/>
                <w:kern w:val="0"/>
                <w:lang w:eastAsia="zh-CN"/>
              </w:rPr>
              <w:t>)</w:t>
            </w:r>
            <w:r>
              <w:rPr>
                <w:rFonts w:hint="eastAsia"/>
                <w:b/>
                <w:bCs/>
                <w:color w:val="auto"/>
                <w:kern w:val="0"/>
                <w:lang w:val="en-US" w:eastAsia="zh-CN"/>
              </w:rPr>
              <w:t xml:space="preserve"> 资源利用上线符合性</w:t>
            </w:r>
          </w:p>
          <w:p>
            <w:pPr>
              <w:autoSpaceDE w:val="0"/>
              <w:autoSpaceDN w:val="0"/>
              <w:spacing w:line="480" w:lineRule="exact"/>
              <w:rPr>
                <w:rFonts w:hint="default"/>
                <w:color w:val="auto"/>
                <w:kern w:val="0"/>
                <w:lang w:val="en-US"/>
              </w:rPr>
            </w:pPr>
            <w:r>
              <w:rPr>
                <w:rFonts w:hint="eastAsia"/>
                <w:color w:val="auto"/>
                <w:kern w:val="0"/>
                <w:lang w:val="en-US" w:eastAsia="zh-CN"/>
              </w:rPr>
              <w:t>项目位于安徽怀远经济开发区乳泉大道2号，项目用水主要为生活用水和循环冷却补水，耗水量约5940m</w:t>
            </w:r>
            <w:r>
              <w:rPr>
                <w:rFonts w:hint="eastAsia"/>
                <w:color w:val="auto"/>
                <w:kern w:val="0"/>
                <w:vertAlign w:val="superscript"/>
                <w:lang w:val="en-US" w:eastAsia="zh-CN"/>
              </w:rPr>
              <w:t>3</w:t>
            </w:r>
            <w:r>
              <w:rPr>
                <w:rFonts w:hint="eastAsia"/>
                <w:color w:val="auto"/>
                <w:kern w:val="0"/>
                <w:lang w:val="en-US" w:eastAsia="zh-CN"/>
              </w:rPr>
              <w:t>/a，取自开发区自来水管网，区域区域附近水系发达、水量充足，不会达到资源利用上线；本项目用电由市政电网提供，每年用电2200万hWh，不会达到供电量使用上线；天然气由开发区集中提供，不会达到上线；原料为市场采购，不会超出资源利用上线；项目土地性质为开发区规划的工业用地，土地利用不会突破区域土地资源上线。</w:t>
            </w:r>
          </w:p>
          <w:p>
            <w:pPr>
              <w:autoSpaceDE w:val="0"/>
              <w:autoSpaceDN w:val="0"/>
              <w:spacing w:line="480" w:lineRule="exact"/>
              <w:rPr>
                <w:rFonts w:hint="default" w:eastAsia="宋体"/>
                <w:b/>
                <w:bCs/>
                <w:color w:val="auto"/>
                <w:kern w:val="0"/>
                <w:lang w:val="en-US" w:eastAsia="zh-CN"/>
              </w:rPr>
            </w:pPr>
            <w:r>
              <w:rPr>
                <w:rFonts w:hint="eastAsia"/>
                <w:b/>
                <w:bCs/>
                <w:color w:val="auto"/>
                <w:kern w:val="0"/>
                <w:lang w:eastAsia="zh-CN"/>
              </w:rPr>
              <w:t>(</w:t>
            </w:r>
            <w:r>
              <w:rPr>
                <w:rFonts w:hint="eastAsia"/>
                <w:b/>
                <w:bCs/>
                <w:color w:val="auto"/>
                <w:kern w:val="0"/>
                <w:lang w:val="en-US" w:eastAsia="zh-CN"/>
              </w:rPr>
              <w:t>4</w:t>
            </w:r>
            <w:r>
              <w:rPr>
                <w:rFonts w:hint="eastAsia"/>
                <w:b/>
                <w:bCs/>
                <w:color w:val="auto"/>
                <w:kern w:val="0"/>
                <w:lang w:eastAsia="zh-CN"/>
              </w:rPr>
              <w:t>)</w:t>
            </w:r>
            <w:r>
              <w:rPr>
                <w:rFonts w:hint="eastAsia"/>
                <w:b/>
                <w:bCs/>
                <w:color w:val="auto"/>
                <w:kern w:val="0"/>
                <w:lang w:val="en-US" w:eastAsia="zh-CN"/>
              </w:rPr>
              <w:t xml:space="preserve"> 生态环境准入清单符合性</w:t>
            </w:r>
          </w:p>
          <w:p>
            <w:pPr>
              <w:autoSpaceDE w:val="0"/>
              <w:autoSpaceDN w:val="0"/>
              <w:spacing w:line="480" w:lineRule="exact"/>
              <w:rPr>
                <w:rFonts w:hint="default" w:eastAsia="宋体"/>
                <w:kern w:val="0"/>
                <w:lang w:val="en-US" w:eastAsia="zh-CN"/>
              </w:rPr>
            </w:pPr>
            <w:r>
              <w:rPr>
                <w:rFonts w:hint="eastAsia"/>
                <w:kern w:val="0"/>
                <w:lang w:val="en-US" w:eastAsia="zh-CN"/>
              </w:rPr>
              <w:t>项目位于安徽怀远经济开发区，对照《长江经济带战略环境评价 安徽省蚌埠市“三线一单”生态环境准入清单》对该开发区生态环境准入要求(表1-3)，项目符合生态环境准入要求。</w:t>
            </w:r>
          </w:p>
          <w:p>
            <w:pPr>
              <w:pStyle w:val="21"/>
              <w:bidi w:val="0"/>
              <w:rPr>
                <w:rFonts w:hint="default" w:eastAsia="宋体"/>
                <w:lang w:val="en-US" w:eastAsia="zh-CN"/>
              </w:rPr>
            </w:pPr>
            <w:r>
              <w:rPr>
                <w:rFonts w:hint="eastAsia"/>
                <w:lang w:val="en-US" w:eastAsia="zh-CN"/>
              </w:rPr>
              <w:t>表1-3  生态环境准入清单符合性</w:t>
            </w:r>
          </w:p>
          <w:tbl>
            <w:tblPr>
              <w:tblStyle w:val="1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660"/>
              <w:gridCol w:w="2294"/>
              <w:gridCol w:w="1787"/>
              <w:gridCol w:w="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2995" w:type="pct"/>
                  <w:gridSpan w:val="2"/>
                  <w:shd w:val="clear" w:color="auto" w:fill="auto"/>
                  <w:vAlign w:val="center"/>
                </w:tcPr>
                <w:p>
                  <w:pPr>
                    <w:pStyle w:val="19"/>
                    <w:bidi w:val="0"/>
                    <w:rPr>
                      <w:rFonts w:hint="eastAsia"/>
                      <w:b/>
                      <w:bCs/>
                      <w:color w:val="auto"/>
                    </w:rPr>
                  </w:pPr>
                  <w:r>
                    <w:rPr>
                      <w:rFonts w:hint="eastAsia"/>
                      <w:b/>
                      <w:bCs/>
                      <w:color w:val="auto"/>
                      <w:lang w:val="en-US" w:eastAsia="zh-CN"/>
                    </w:rPr>
                    <w:t>生态环境准入清单</w:t>
                  </w:r>
                </w:p>
              </w:tc>
              <w:tc>
                <w:tcPr>
                  <w:tcW w:w="1353" w:type="pct"/>
                  <w:shd w:val="clear" w:color="auto" w:fill="auto"/>
                  <w:vAlign w:val="center"/>
                </w:tcPr>
                <w:p>
                  <w:pPr>
                    <w:pStyle w:val="19"/>
                    <w:bidi w:val="0"/>
                    <w:rPr>
                      <w:rFonts w:hint="eastAsia"/>
                      <w:b/>
                      <w:bCs/>
                      <w:color w:val="auto"/>
                    </w:rPr>
                  </w:pPr>
                  <w:r>
                    <w:rPr>
                      <w:rFonts w:hint="eastAsia"/>
                      <w:b/>
                      <w:bCs/>
                      <w:color w:val="auto"/>
                      <w:lang w:val="en-US" w:eastAsia="zh-CN"/>
                    </w:rPr>
                    <w:t>项目情况</w:t>
                  </w:r>
                </w:p>
              </w:tc>
              <w:tc>
                <w:tcPr>
                  <w:tcW w:w="650" w:type="pct"/>
                  <w:shd w:val="clear" w:color="auto" w:fill="auto"/>
                  <w:vAlign w:val="center"/>
                </w:tcPr>
                <w:p>
                  <w:pPr>
                    <w:pStyle w:val="19"/>
                    <w:bidi w:val="0"/>
                    <w:rPr>
                      <w:rFonts w:hint="eastAsia"/>
                      <w:b/>
                      <w:bCs/>
                      <w:color w:val="auto"/>
                    </w:rPr>
                  </w:pPr>
                  <w:r>
                    <w:rPr>
                      <w:rFonts w:hint="eastAsia"/>
                      <w:b/>
                      <w:bCs/>
                      <w:color w:val="auto"/>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70" w:hRule="atLeast"/>
              </w:trPr>
              <w:tc>
                <w:tcPr>
                  <w:tcW w:w="1258" w:type="pct"/>
                  <w:vMerge w:val="restart"/>
                  <w:shd w:val="clear" w:color="auto" w:fill="auto"/>
                  <w:vAlign w:val="center"/>
                </w:tcPr>
                <w:p>
                  <w:pPr>
                    <w:pStyle w:val="19"/>
                    <w:bidi w:val="0"/>
                    <w:rPr>
                      <w:rFonts w:hint="eastAsia"/>
                      <w:color w:val="auto"/>
                    </w:rPr>
                  </w:pPr>
                  <w:r>
                    <w:rPr>
                      <w:rFonts w:hint="eastAsia"/>
                      <w:color w:val="auto"/>
                      <w:lang w:val="en-US" w:eastAsia="zh-CN"/>
                    </w:rPr>
                    <w:t>污染物排放管控</w:t>
                  </w:r>
                </w:p>
              </w:tc>
              <w:tc>
                <w:tcPr>
                  <w:tcW w:w="1737" w:type="pct"/>
                  <w:shd w:val="clear" w:color="auto" w:fill="auto"/>
                  <w:vAlign w:val="center"/>
                </w:tcPr>
                <w:p>
                  <w:pPr>
                    <w:pStyle w:val="19"/>
                    <w:bidi w:val="0"/>
                    <w:rPr>
                      <w:rFonts w:hint="default"/>
                      <w:color w:val="auto"/>
                    </w:rPr>
                  </w:pPr>
                  <w:r>
                    <w:rPr>
                      <w:rFonts w:hint="default"/>
                      <w:color w:val="auto"/>
                      <w:lang w:val="en-US" w:eastAsia="zh-CN"/>
                    </w:rPr>
                    <w:t>COD</w:t>
                  </w:r>
                  <w:r>
                    <w:rPr>
                      <w:rFonts w:hint="eastAsia"/>
                      <w:color w:val="auto"/>
                      <w:lang w:val="en-US" w:eastAsia="zh-CN"/>
                    </w:rPr>
                    <w:t>排放总量</w:t>
                  </w:r>
                  <w:r>
                    <w:rPr>
                      <w:rFonts w:hint="default"/>
                      <w:color w:val="auto"/>
                      <w:lang w:val="en-US" w:eastAsia="zh-CN"/>
                    </w:rPr>
                    <w:t>365.83t</w:t>
                  </w:r>
                </w:p>
              </w:tc>
              <w:tc>
                <w:tcPr>
                  <w:tcW w:w="1353" w:type="pct"/>
                  <w:vMerge w:val="restart"/>
                  <w:shd w:val="clear" w:color="auto" w:fill="auto"/>
                  <w:vAlign w:val="center"/>
                </w:tcPr>
                <w:p>
                  <w:pPr>
                    <w:pStyle w:val="19"/>
                    <w:bidi w:val="0"/>
                    <w:jc w:val="both"/>
                    <w:rPr>
                      <w:color w:val="auto"/>
                      <w:kern w:val="0"/>
                    </w:rPr>
                  </w:pPr>
                  <w:r>
                    <w:rPr>
                      <w:rFonts w:hint="eastAsia"/>
                      <w:color w:val="auto"/>
                      <w:lang w:val="en-US" w:eastAsia="zh-CN"/>
                    </w:rPr>
                    <w:t>生活污水经化粪池处理后，与循环冷却废水经由总排口排入</w:t>
                  </w:r>
                  <w:r>
                    <w:rPr>
                      <w:rFonts w:hint="eastAsia"/>
                      <w:color w:val="auto"/>
                      <w:kern w:val="0"/>
                    </w:rPr>
                    <w:t>怀远经济开发区污水处理厂</w:t>
                  </w:r>
                  <w:r>
                    <w:rPr>
                      <w:rFonts w:hint="eastAsia"/>
                      <w:color w:val="auto"/>
                      <w:kern w:val="0"/>
                      <w:lang w:val="en-US" w:eastAsia="zh-CN"/>
                    </w:rPr>
                    <w:t>一期工程集中处理，外排废水满足接管标准要求</w:t>
                  </w:r>
                  <w:r>
                    <w:rPr>
                      <w:rFonts w:hint="eastAsia"/>
                      <w:color w:val="auto"/>
                      <w:kern w:val="0"/>
                    </w:rPr>
                    <w:t>，不另行申请总量指标。</w:t>
                  </w:r>
                </w:p>
                <w:p>
                  <w:pPr>
                    <w:pStyle w:val="19"/>
                    <w:bidi w:val="0"/>
                    <w:jc w:val="both"/>
                    <w:rPr>
                      <w:rFonts w:hint="default" w:eastAsia="宋体"/>
                      <w:color w:val="auto"/>
                      <w:vertAlign w:val="baseline"/>
                      <w:lang w:val="en-US" w:eastAsia="zh-CN"/>
                    </w:rPr>
                  </w:pPr>
                  <w:r>
                    <w:rPr>
                      <w:rFonts w:hint="eastAsia"/>
                      <w:color w:val="auto"/>
                      <w:lang w:val="en-US" w:eastAsia="zh-CN"/>
                    </w:rPr>
                    <w:t>项目</w:t>
                  </w:r>
                  <w:r>
                    <w:rPr>
                      <w:rFonts w:hint="default"/>
                      <w:color w:val="auto"/>
                      <w:lang w:val="en-US" w:eastAsia="zh-CN"/>
                    </w:rPr>
                    <w:t>SO</w:t>
                  </w:r>
                  <w:r>
                    <w:rPr>
                      <w:rFonts w:hint="default"/>
                      <w:color w:val="auto"/>
                      <w:vertAlign w:val="subscript"/>
                      <w:lang w:val="en-US" w:eastAsia="zh-CN"/>
                    </w:rPr>
                    <w:t>2</w:t>
                  </w:r>
                  <w:r>
                    <w:rPr>
                      <w:rFonts w:hint="eastAsia"/>
                      <w:color w:val="auto"/>
                      <w:vertAlign w:val="baseline"/>
                      <w:lang w:val="en-US" w:eastAsia="zh-CN"/>
                    </w:rPr>
                    <w:t>倍量申请总量控制指标，不会新增区域排放总量</w:t>
                  </w:r>
                </w:p>
              </w:tc>
              <w:tc>
                <w:tcPr>
                  <w:tcW w:w="650" w:type="pct"/>
                  <w:vMerge w:val="restart"/>
                  <w:shd w:val="clear" w:color="auto" w:fill="auto"/>
                  <w:vAlign w:val="center"/>
                </w:tcPr>
                <w:p>
                  <w:pPr>
                    <w:pStyle w:val="19"/>
                    <w:bidi w:val="0"/>
                    <w:rPr>
                      <w:rFonts w:hint="eastAsia" w:eastAsia="宋体"/>
                      <w:color w:val="auto"/>
                      <w:lang w:val="en-US" w:eastAsia="zh-CN"/>
                    </w:rPr>
                  </w:pPr>
                  <w:r>
                    <w:rPr>
                      <w:rFonts w:hint="eastAsia"/>
                      <w:color w:val="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70" w:hRule="atLeast"/>
              </w:trPr>
              <w:tc>
                <w:tcPr>
                  <w:tcW w:w="1258" w:type="pct"/>
                  <w:vMerge w:val="continue"/>
                  <w:shd w:val="clear" w:color="auto" w:fill="auto"/>
                  <w:vAlign w:val="center"/>
                </w:tcPr>
                <w:p>
                  <w:pPr>
                    <w:pStyle w:val="19"/>
                    <w:bidi w:val="0"/>
                    <w:rPr>
                      <w:rFonts w:hint="eastAsia"/>
                      <w:color w:val="auto"/>
                    </w:rPr>
                  </w:pPr>
                </w:p>
              </w:tc>
              <w:tc>
                <w:tcPr>
                  <w:tcW w:w="1737" w:type="pct"/>
                  <w:shd w:val="clear" w:color="auto" w:fill="auto"/>
                  <w:vAlign w:val="center"/>
                </w:tcPr>
                <w:p>
                  <w:pPr>
                    <w:pStyle w:val="19"/>
                    <w:bidi w:val="0"/>
                    <w:rPr>
                      <w:rFonts w:hint="default"/>
                      <w:color w:val="auto"/>
                    </w:rPr>
                  </w:pPr>
                  <w:r>
                    <w:rPr>
                      <w:rFonts w:hint="default"/>
                      <w:color w:val="auto"/>
                      <w:lang w:val="en-US" w:eastAsia="zh-CN"/>
                    </w:rPr>
                    <w:t>NH3-N</w:t>
                  </w:r>
                  <w:r>
                    <w:rPr>
                      <w:rFonts w:hint="eastAsia"/>
                      <w:color w:val="auto"/>
                      <w:lang w:val="en-US" w:eastAsia="zh-CN"/>
                    </w:rPr>
                    <w:t>排放总量</w:t>
                  </w:r>
                  <w:r>
                    <w:rPr>
                      <w:rFonts w:hint="default"/>
                      <w:color w:val="auto"/>
                      <w:lang w:val="en-US" w:eastAsia="zh-CN"/>
                    </w:rPr>
                    <w:t>14.52t</w:t>
                  </w:r>
                </w:p>
              </w:tc>
              <w:tc>
                <w:tcPr>
                  <w:tcW w:w="1353" w:type="pct"/>
                  <w:vMerge w:val="continue"/>
                  <w:shd w:val="clear" w:color="auto" w:fill="auto"/>
                  <w:vAlign w:val="center"/>
                </w:tcPr>
                <w:p>
                  <w:pPr>
                    <w:pStyle w:val="19"/>
                    <w:bidi w:val="0"/>
                    <w:jc w:val="both"/>
                    <w:rPr>
                      <w:rFonts w:hint="default"/>
                      <w:color w:val="auto"/>
                    </w:rPr>
                  </w:pPr>
                </w:p>
              </w:tc>
              <w:tc>
                <w:tcPr>
                  <w:tcW w:w="650" w:type="pct"/>
                  <w:vMerge w:val="continue"/>
                  <w:shd w:val="clear" w:color="auto" w:fill="auto"/>
                  <w:vAlign w:val="center"/>
                </w:tcPr>
                <w:p>
                  <w:pPr>
                    <w:pStyle w:val="19"/>
                    <w:bidi w:val="0"/>
                    <w:rPr>
                      <w:rFonts w:hint="default"/>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70" w:hRule="atLeast"/>
              </w:trPr>
              <w:tc>
                <w:tcPr>
                  <w:tcW w:w="1258" w:type="pct"/>
                  <w:vMerge w:val="continue"/>
                  <w:shd w:val="clear" w:color="auto" w:fill="auto"/>
                  <w:vAlign w:val="center"/>
                </w:tcPr>
                <w:p>
                  <w:pPr>
                    <w:pStyle w:val="19"/>
                    <w:bidi w:val="0"/>
                    <w:rPr>
                      <w:rFonts w:hint="eastAsia"/>
                      <w:color w:val="auto"/>
                    </w:rPr>
                  </w:pPr>
                </w:p>
              </w:tc>
              <w:tc>
                <w:tcPr>
                  <w:tcW w:w="1737" w:type="pct"/>
                  <w:shd w:val="clear" w:color="auto" w:fill="auto"/>
                  <w:vAlign w:val="center"/>
                </w:tcPr>
                <w:p>
                  <w:pPr>
                    <w:pStyle w:val="19"/>
                    <w:bidi w:val="0"/>
                    <w:rPr>
                      <w:rFonts w:hint="default"/>
                      <w:color w:val="auto"/>
                    </w:rPr>
                  </w:pPr>
                  <w:r>
                    <w:rPr>
                      <w:rFonts w:hint="default"/>
                      <w:color w:val="auto"/>
                      <w:lang w:val="en-US" w:eastAsia="zh-CN"/>
                    </w:rPr>
                    <w:t>SO</w:t>
                  </w:r>
                  <w:r>
                    <w:rPr>
                      <w:rFonts w:hint="default"/>
                      <w:color w:val="auto"/>
                      <w:vertAlign w:val="subscript"/>
                      <w:lang w:val="en-US" w:eastAsia="zh-CN"/>
                    </w:rPr>
                    <w:t>2</w:t>
                  </w:r>
                  <w:r>
                    <w:rPr>
                      <w:rFonts w:hint="eastAsia"/>
                      <w:color w:val="auto"/>
                      <w:lang w:val="en-US" w:eastAsia="zh-CN"/>
                    </w:rPr>
                    <w:t>排放总量</w:t>
                  </w:r>
                  <w:r>
                    <w:rPr>
                      <w:rFonts w:hint="default"/>
                      <w:color w:val="auto"/>
                      <w:lang w:val="en-US" w:eastAsia="zh-CN"/>
                    </w:rPr>
                    <w:t>509.71t</w:t>
                  </w:r>
                </w:p>
              </w:tc>
              <w:tc>
                <w:tcPr>
                  <w:tcW w:w="1353" w:type="pct"/>
                  <w:vMerge w:val="continue"/>
                  <w:shd w:val="clear" w:color="auto" w:fill="auto"/>
                  <w:vAlign w:val="center"/>
                </w:tcPr>
                <w:p>
                  <w:pPr>
                    <w:pStyle w:val="19"/>
                    <w:bidi w:val="0"/>
                    <w:jc w:val="both"/>
                    <w:rPr>
                      <w:rFonts w:hint="default"/>
                      <w:color w:val="auto"/>
                    </w:rPr>
                  </w:pPr>
                </w:p>
              </w:tc>
              <w:tc>
                <w:tcPr>
                  <w:tcW w:w="650" w:type="pct"/>
                  <w:vMerge w:val="continue"/>
                  <w:shd w:val="clear" w:color="auto" w:fill="auto"/>
                  <w:vAlign w:val="center"/>
                </w:tcPr>
                <w:p>
                  <w:pPr>
                    <w:pStyle w:val="19"/>
                    <w:bidi w:val="0"/>
                    <w:rPr>
                      <w:rFonts w:hint="default"/>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rPr>
              <w:tc>
                <w:tcPr>
                  <w:tcW w:w="1258" w:type="pct"/>
                  <w:shd w:val="clear" w:color="auto" w:fill="auto"/>
                  <w:vAlign w:val="center"/>
                </w:tcPr>
                <w:p>
                  <w:pPr>
                    <w:pStyle w:val="19"/>
                    <w:bidi w:val="0"/>
                    <w:rPr>
                      <w:rFonts w:hint="eastAsia"/>
                      <w:color w:val="auto"/>
                    </w:rPr>
                  </w:pPr>
                  <w:r>
                    <w:rPr>
                      <w:rFonts w:hint="eastAsia"/>
                      <w:color w:val="auto"/>
                      <w:lang w:val="en-US" w:eastAsia="zh-CN"/>
                    </w:rPr>
                    <w:t>环境风险防控</w:t>
                  </w:r>
                </w:p>
              </w:tc>
              <w:tc>
                <w:tcPr>
                  <w:tcW w:w="1737" w:type="pct"/>
                  <w:shd w:val="clear" w:color="auto" w:fill="auto"/>
                  <w:vAlign w:val="center"/>
                </w:tcPr>
                <w:p>
                  <w:pPr>
                    <w:pStyle w:val="19"/>
                    <w:bidi w:val="0"/>
                    <w:rPr>
                      <w:rFonts w:hint="default"/>
                      <w:color w:val="auto"/>
                    </w:rPr>
                  </w:pPr>
                  <w:r>
                    <w:rPr>
                      <w:rFonts w:hint="default"/>
                      <w:color w:val="auto"/>
                      <w:lang w:val="en-US" w:eastAsia="zh-CN"/>
                    </w:rPr>
                    <w:t>/</w:t>
                  </w:r>
                </w:p>
              </w:tc>
              <w:tc>
                <w:tcPr>
                  <w:tcW w:w="1353" w:type="pct"/>
                  <w:shd w:val="clear" w:color="auto" w:fill="auto"/>
                  <w:vAlign w:val="center"/>
                </w:tcPr>
                <w:p>
                  <w:pPr>
                    <w:pStyle w:val="19"/>
                    <w:bidi w:val="0"/>
                    <w:jc w:val="both"/>
                    <w:rPr>
                      <w:rFonts w:hint="eastAsia" w:eastAsia="宋体"/>
                      <w:color w:val="auto"/>
                      <w:lang w:val="en-US" w:eastAsia="zh-CN"/>
                    </w:rPr>
                  </w:pPr>
                  <w:r>
                    <w:rPr>
                      <w:rFonts w:hint="eastAsia"/>
                      <w:color w:val="auto"/>
                      <w:lang w:val="en-US" w:eastAsia="zh-CN"/>
                    </w:rPr>
                    <w:t>/</w:t>
                  </w:r>
                </w:p>
              </w:tc>
              <w:tc>
                <w:tcPr>
                  <w:tcW w:w="650" w:type="pct"/>
                  <w:shd w:val="clear" w:color="auto" w:fill="auto"/>
                  <w:vAlign w:val="center"/>
                </w:tcPr>
                <w:p>
                  <w:pPr>
                    <w:pStyle w:val="19"/>
                    <w:bidi w:val="0"/>
                    <w:rPr>
                      <w:rFonts w:hint="eastAsia" w:eastAsia="宋体"/>
                      <w:color w:val="auto"/>
                      <w:lang w:val="en-US" w:eastAsia="zh-CN"/>
                    </w:rPr>
                  </w:pPr>
                  <w:r>
                    <w:rPr>
                      <w:rFonts w:hint="eastAsia"/>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8" w:type="pct"/>
                  <w:shd w:val="clear" w:color="auto" w:fill="auto"/>
                  <w:vAlign w:val="center"/>
                </w:tcPr>
                <w:p>
                  <w:pPr>
                    <w:pStyle w:val="19"/>
                    <w:bidi w:val="0"/>
                    <w:rPr>
                      <w:rFonts w:hint="eastAsia"/>
                      <w:color w:val="auto"/>
                    </w:rPr>
                  </w:pPr>
                  <w:r>
                    <w:rPr>
                      <w:rFonts w:hint="eastAsia"/>
                      <w:color w:val="auto"/>
                      <w:lang w:val="en-US" w:eastAsia="zh-CN"/>
                    </w:rPr>
                    <w:t>资源开发利用效率要求</w:t>
                  </w:r>
                </w:p>
              </w:tc>
              <w:tc>
                <w:tcPr>
                  <w:tcW w:w="1737" w:type="pct"/>
                  <w:shd w:val="clear" w:color="auto" w:fill="auto"/>
                  <w:vAlign w:val="center"/>
                </w:tcPr>
                <w:p>
                  <w:pPr>
                    <w:pStyle w:val="19"/>
                    <w:bidi w:val="0"/>
                    <w:rPr>
                      <w:rFonts w:hint="default"/>
                      <w:color w:val="auto"/>
                    </w:rPr>
                  </w:pPr>
                  <w:r>
                    <w:rPr>
                      <w:rFonts w:hint="default"/>
                      <w:color w:val="auto"/>
                      <w:lang w:val="en-US" w:eastAsia="zh-CN"/>
                    </w:rPr>
                    <w:t>/</w:t>
                  </w:r>
                </w:p>
              </w:tc>
              <w:tc>
                <w:tcPr>
                  <w:tcW w:w="1353" w:type="pct"/>
                  <w:shd w:val="clear" w:color="auto" w:fill="auto"/>
                  <w:vAlign w:val="center"/>
                </w:tcPr>
                <w:p>
                  <w:pPr>
                    <w:pStyle w:val="19"/>
                    <w:bidi w:val="0"/>
                    <w:jc w:val="both"/>
                    <w:rPr>
                      <w:rFonts w:hint="eastAsia" w:eastAsia="宋体"/>
                      <w:color w:val="auto"/>
                      <w:lang w:val="en-US" w:eastAsia="zh-CN"/>
                    </w:rPr>
                  </w:pPr>
                  <w:r>
                    <w:rPr>
                      <w:rFonts w:hint="eastAsia"/>
                      <w:color w:val="auto"/>
                      <w:lang w:val="en-US" w:eastAsia="zh-CN"/>
                    </w:rPr>
                    <w:t>/</w:t>
                  </w:r>
                </w:p>
              </w:tc>
              <w:tc>
                <w:tcPr>
                  <w:tcW w:w="650" w:type="pct"/>
                  <w:shd w:val="clear" w:color="auto" w:fill="auto"/>
                  <w:vAlign w:val="center"/>
                </w:tcPr>
                <w:p>
                  <w:pPr>
                    <w:pStyle w:val="19"/>
                    <w:bidi w:val="0"/>
                    <w:rPr>
                      <w:rFonts w:hint="eastAsia" w:eastAsia="宋体"/>
                      <w:color w:val="auto"/>
                      <w:lang w:val="en-US" w:eastAsia="zh-CN"/>
                    </w:rPr>
                  </w:pPr>
                  <w:r>
                    <w:rPr>
                      <w:rFonts w:hint="eastAsia"/>
                      <w:color w:val="auto"/>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50" w:hRule="atLeast"/>
              </w:trPr>
              <w:tc>
                <w:tcPr>
                  <w:tcW w:w="1258" w:type="pct"/>
                  <w:shd w:val="clear" w:color="auto" w:fill="auto"/>
                  <w:vAlign w:val="center"/>
                </w:tcPr>
                <w:p>
                  <w:pPr>
                    <w:pStyle w:val="19"/>
                    <w:bidi w:val="0"/>
                    <w:rPr>
                      <w:rFonts w:hint="eastAsia"/>
                      <w:color w:val="auto"/>
                    </w:rPr>
                  </w:pPr>
                  <w:r>
                    <w:rPr>
                      <w:rFonts w:hint="eastAsia"/>
                      <w:color w:val="auto"/>
                      <w:lang w:val="en-US" w:eastAsia="zh-CN"/>
                    </w:rPr>
                    <w:t>产业准入要求</w:t>
                  </w:r>
                </w:p>
              </w:tc>
              <w:tc>
                <w:tcPr>
                  <w:tcW w:w="1737" w:type="pct"/>
                  <w:shd w:val="clear" w:color="auto" w:fill="auto"/>
                  <w:vAlign w:val="center"/>
                </w:tcPr>
                <w:p>
                  <w:pPr>
                    <w:pStyle w:val="19"/>
                    <w:bidi w:val="0"/>
                    <w:rPr>
                      <w:rFonts w:hint="eastAsia"/>
                      <w:color w:val="auto"/>
                      <w:lang w:val="en-US" w:eastAsia="zh-CN"/>
                    </w:rPr>
                  </w:pPr>
                  <w:r>
                    <w:rPr>
                      <w:rFonts w:hint="eastAsia"/>
                      <w:color w:val="auto"/>
                      <w:lang w:val="en-US" w:eastAsia="zh-CN"/>
                    </w:rPr>
                    <w:t>限制入园项目：《产业结构调整指导目录》中限制类的项目；《外商投资产业指导目录》中限制引入项目；造纸类项目、印染类项目、火电类项目、石油化工类项目、钢铁制造类项目、糖类生产项目、食品加工类项目；严格限制重型机械制造、化工企业等三类工业入驻。</w:t>
                  </w:r>
                </w:p>
                <w:p>
                  <w:pPr>
                    <w:pStyle w:val="19"/>
                    <w:bidi w:val="0"/>
                    <w:rPr>
                      <w:rFonts w:hint="eastAsia"/>
                      <w:color w:val="auto"/>
                    </w:rPr>
                  </w:pPr>
                  <w:r>
                    <w:rPr>
                      <w:rFonts w:hint="eastAsia"/>
                      <w:color w:val="auto"/>
                      <w:lang w:val="en-US" w:eastAsia="zh-CN"/>
                    </w:rPr>
                    <w:t>禁止入园项目：禁止引入《产业结构调整指导目录》中淘汰类；禁止引入《外商投资产业指导目录》中禁止投资类。</w:t>
                  </w:r>
                </w:p>
              </w:tc>
              <w:tc>
                <w:tcPr>
                  <w:tcW w:w="1353" w:type="pct"/>
                  <w:shd w:val="clear" w:color="auto" w:fill="auto"/>
                  <w:vAlign w:val="top"/>
                </w:tcPr>
                <w:p>
                  <w:pPr>
                    <w:pStyle w:val="19"/>
                    <w:bidi w:val="0"/>
                    <w:jc w:val="both"/>
                    <w:rPr>
                      <w:rFonts w:hint="default"/>
                      <w:color w:val="auto"/>
                      <w:lang w:val="en-US"/>
                    </w:rPr>
                  </w:pPr>
                  <w:r>
                    <w:rPr>
                      <w:rFonts w:hint="eastAsia"/>
                      <w:color w:val="auto"/>
                      <w:kern w:val="0"/>
                      <w:lang w:val="en-US" w:eastAsia="zh-CN"/>
                    </w:rPr>
                    <w:t>项目年产3万吨/年特殊钢铸件，属于《国民经济行业分类》(GB/T 4754-2017)中“C3391 黑色金属铸造”，为开发区规划的“金属产品机械加工”范畴，不在限制和禁止入园项目范畴</w:t>
                  </w:r>
                </w:p>
              </w:tc>
              <w:tc>
                <w:tcPr>
                  <w:tcW w:w="650" w:type="pct"/>
                  <w:shd w:val="clear" w:color="auto" w:fill="auto"/>
                  <w:noWrap/>
                  <w:vAlign w:val="center"/>
                </w:tcPr>
                <w:p>
                  <w:pPr>
                    <w:pStyle w:val="19"/>
                    <w:bidi w:val="0"/>
                    <w:rPr>
                      <w:rFonts w:hint="eastAsia" w:eastAsia="宋体"/>
                      <w:color w:val="auto"/>
                      <w:lang w:val="en-US" w:eastAsia="zh-CN"/>
                    </w:rPr>
                  </w:pPr>
                  <w:r>
                    <w:rPr>
                      <w:rFonts w:hint="eastAsia"/>
                      <w:color w:val="auto"/>
                      <w:lang w:val="en-US" w:eastAsia="zh-CN"/>
                    </w:rPr>
                    <w:t>符合</w:t>
                  </w:r>
                </w:p>
              </w:tc>
            </w:tr>
          </w:tbl>
          <w:p>
            <w:pPr>
              <w:pStyle w:val="19"/>
              <w:bidi w:val="0"/>
            </w:pPr>
          </w:p>
          <w:p>
            <w:pPr>
              <w:bidi w:val="0"/>
            </w:pPr>
          </w:p>
          <w:p>
            <w:pPr>
              <w:bidi w:val="0"/>
              <w:rPr>
                <w:rFonts w:hint="eastAsia"/>
                <w:lang w:val="en-US" w:eastAsia="zh-CN"/>
              </w:rPr>
            </w:pPr>
          </w:p>
          <w:p>
            <w:pPr>
              <w:bidi w:val="0"/>
            </w:pPr>
          </w:p>
          <w:p>
            <w:pPr>
              <w:bidi w:val="0"/>
            </w:pPr>
          </w:p>
          <w:p>
            <w:pPr>
              <w:bidi w:val="0"/>
            </w:pPr>
          </w:p>
          <w:p>
            <w:pPr>
              <w:bidi w:val="0"/>
            </w:pPr>
          </w:p>
        </w:tc>
      </w:tr>
    </w:tbl>
    <w:p>
      <w:pPr>
        <w:spacing w:line="480" w:lineRule="exact"/>
        <w:ind w:firstLine="0" w:firstLineChars="0"/>
        <w:jc w:val="center"/>
        <w:sectPr>
          <w:headerReference r:id="rId11" w:type="default"/>
          <w:footerReference r:id="rId12" w:type="default"/>
          <w:pgSz w:w="11906" w:h="16838"/>
          <w:pgMar w:top="1418" w:right="1418" w:bottom="1418" w:left="1418" w:header="851" w:footer="851" w:gutter="0"/>
          <w:pgNumType w:start="1"/>
          <w:cols w:space="425" w:num="1"/>
          <w:docGrid w:type="lines" w:linePitch="326" w:charSpace="0"/>
        </w:sectPr>
      </w:pPr>
    </w:p>
    <w:p>
      <w:pPr>
        <w:widowControl/>
        <w:spacing w:line="480" w:lineRule="exact"/>
        <w:ind w:firstLine="0" w:firstLineChars="0"/>
        <w:outlineLvl w:val="0"/>
        <w:rPr>
          <w:rFonts w:eastAsia="黑体"/>
          <w:snapToGrid w:val="0"/>
          <w:kern w:val="0"/>
          <w:sz w:val="30"/>
          <w:szCs w:val="30"/>
        </w:rPr>
      </w:pPr>
      <w:r>
        <w:rPr>
          <w:rFonts w:eastAsia="黑体"/>
          <w:snapToGrid w:val="0"/>
          <w:kern w:val="0"/>
          <w:sz w:val="30"/>
          <w:szCs w:val="30"/>
        </w:rPr>
        <w:t>二、建设项目工程分析</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8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45" w:hRule="atLeast"/>
          <w:jc w:val="center"/>
        </w:trPr>
        <w:tc>
          <w:tcPr>
            <w:tcW w:w="251" w:type="pct"/>
          </w:tcPr>
          <w:p>
            <w:pPr>
              <w:widowControl/>
              <w:spacing w:line="480" w:lineRule="exact"/>
              <w:ind w:firstLine="0" w:firstLineChars="0"/>
              <w:jc w:val="center"/>
              <w:rPr>
                <w:b/>
                <w:bCs/>
                <w:kern w:val="0"/>
              </w:rPr>
            </w:pPr>
            <w:r>
              <w:rPr>
                <w:b/>
                <w:bCs/>
                <w:kern w:val="0"/>
              </w:rPr>
              <w:t>建设内容</w:t>
            </w:r>
          </w:p>
        </w:tc>
        <w:tc>
          <w:tcPr>
            <w:tcW w:w="4748" w:type="pct"/>
          </w:tcPr>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b/>
              </w:rPr>
            </w:pPr>
            <w:r>
              <w:rPr>
                <w:rFonts w:hint="eastAsia"/>
                <w:b/>
              </w:rPr>
              <w:t>1、项目概况</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项目名称：3万吨/年特殊钢铸件项目</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建设单位：安徽泰昌特殊合金制造有限公司</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项目性质：新建</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行业类别：C3391 黑色金属铸造</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建设地点：安徽省蚌埠市怀远县经济开发区乳泉大道2号，中心地理坐标为117度15分34.204秒，32度58分48.767秒。项目具体地理位置见附图1和附图2。</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投资总额：项目总投资</w:t>
            </w:r>
            <w:r>
              <w:rPr>
                <w:bCs/>
                <w:color w:val="auto"/>
              </w:rPr>
              <w:t>17539</w:t>
            </w:r>
            <w:r>
              <w:rPr>
                <w:rFonts w:hint="eastAsia"/>
                <w:bCs/>
                <w:color w:val="auto"/>
              </w:rPr>
              <w:t>万元，其中环保投资</w:t>
            </w:r>
            <w:r>
              <w:rPr>
                <w:rFonts w:hint="eastAsia"/>
                <w:bCs/>
                <w:color w:val="auto"/>
                <w:lang w:val="en-US" w:eastAsia="zh-CN"/>
              </w:rPr>
              <w:t>480</w:t>
            </w:r>
            <w:r>
              <w:rPr>
                <w:rFonts w:hint="eastAsia"/>
                <w:bCs/>
                <w:color w:val="auto"/>
              </w:rPr>
              <w:t>万元，占总投资的</w:t>
            </w:r>
            <w:r>
              <w:rPr>
                <w:rFonts w:hint="eastAsia"/>
                <w:bCs/>
                <w:color w:val="auto"/>
                <w:lang w:val="en-US" w:eastAsia="zh-CN"/>
              </w:rPr>
              <w:t>2.74</w:t>
            </w:r>
            <w:r>
              <w:rPr>
                <w:bCs/>
                <w:color w:val="auto"/>
              </w:rPr>
              <w:t>%</w:t>
            </w:r>
            <w:r>
              <w:rPr>
                <w:rFonts w:hint="eastAsia"/>
                <w:bCs/>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val="0"/>
                <w:color w:val="auto"/>
                <w:lang w:val="en-US" w:eastAsia="zh-CN"/>
              </w:rPr>
            </w:pPr>
            <w:r>
              <w:rPr>
                <w:rFonts w:hint="eastAsia"/>
                <w:b/>
                <w:bCs w:val="0"/>
                <w:color w:val="auto"/>
                <w:lang w:eastAsia="zh-CN"/>
              </w:rPr>
              <w:t>(</w:t>
            </w:r>
            <w:r>
              <w:rPr>
                <w:rFonts w:hint="eastAsia"/>
                <w:b/>
                <w:bCs w:val="0"/>
                <w:color w:val="auto"/>
                <w:lang w:val="en-US" w:eastAsia="zh-CN"/>
              </w:rPr>
              <w:t>1</w:t>
            </w:r>
            <w:r>
              <w:rPr>
                <w:rFonts w:hint="eastAsia"/>
                <w:b/>
                <w:bCs w:val="0"/>
                <w:color w:val="auto"/>
                <w:lang w:eastAsia="zh-CN"/>
              </w:rPr>
              <w:t>)</w:t>
            </w:r>
            <w:r>
              <w:rPr>
                <w:rFonts w:hint="eastAsia"/>
                <w:b/>
                <w:bCs w:val="0"/>
                <w:color w:val="auto"/>
                <w:lang w:val="en-US" w:eastAsia="zh-CN"/>
              </w:rPr>
              <w:t xml:space="preserve"> 项目环评管理类别判定</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Cs/>
                <w:lang w:val="en-US" w:eastAsia="zh-CN"/>
              </w:rPr>
            </w:pPr>
            <w:r>
              <w:rPr>
                <w:rFonts w:hint="eastAsia"/>
                <w:bCs/>
                <w:lang w:val="en-US" w:eastAsia="zh-CN"/>
              </w:rPr>
              <w:t>项目外购废钢经过精炼后进行高性能热作模具、高性能冷作模具、镜面塑料模具、时效硬化模具、冷轧辊、石油阀箱以及其他锻件的生产。项目配套建设精炼设备，处置能力与企业具有的铸造能力相匹配，仅为后续铸件产品质量提供保障，钢水全部用于铸件生产，不外售。从主要原辅材料和产品方案角度来看，项目为含冶炼工序的铸锻项目，属于</w:t>
            </w:r>
            <w:r>
              <w:rPr>
                <w:color w:val="auto"/>
                <w:kern w:val="0"/>
              </w:rPr>
              <w:t>《国民经济行业分类》</w:t>
            </w:r>
            <w:r>
              <w:rPr>
                <w:rFonts w:hint="eastAsia"/>
                <w:color w:val="auto"/>
                <w:kern w:val="0"/>
                <w:lang w:eastAsia="zh-CN"/>
              </w:rPr>
              <w:t>(</w:t>
            </w:r>
            <w:r>
              <w:rPr>
                <w:color w:val="auto"/>
                <w:kern w:val="0"/>
              </w:rPr>
              <w:t>2017年版</w:t>
            </w:r>
            <w:r>
              <w:rPr>
                <w:rFonts w:hint="eastAsia"/>
                <w:color w:val="auto"/>
                <w:kern w:val="0"/>
                <w:lang w:eastAsia="zh-CN"/>
              </w:rPr>
              <w:t>)</w:t>
            </w:r>
            <w:r>
              <w:rPr>
                <w:rFonts w:hint="eastAsia"/>
                <w:b w:val="0"/>
                <w:bCs w:val="0"/>
                <w:color w:val="auto"/>
                <w:kern w:val="0"/>
                <w:lang w:val="en-US" w:eastAsia="zh-CN"/>
              </w:rPr>
              <w:t>中的“C3391 黑色金属铸造”。</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bCs/>
                <w:lang w:val="en-US" w:eastAsia="zh-CN"/>
              </w:rPr>
            </w:pPr>
            <w:r>
              <w:rPr>
                <w:rFonts w:hint="eastAsia"/>
                <w:bCs/>
              </w:rPr>
              <w:t>根据《建设项目环境影响评价分类管理名录</w:t>
            </w:r>
            <w:r>
              <w:rPr>
                <w:rFonts w:hint="eastAsia"/>
                <w:bCs/>
                <w:lang w:eastAsia="zh-CN"/>
              </w:rPr>
              <w:t>(</w:t>
            </w:r>
            <w:r>
              <w:rPr>
                <w:rFonts w:hint="eastAsia"/>
                <w:bCs/>
              </w:rPr>
              <w:t>2021年版</w:t>
            </w:r>
            <w:r>
              <w:rPr>
                <w:rFonts w:hint="eastAsia"/>
                <w:bCs/>
                <w:lang w:eastAsia="zh-CN"/>
              </w:rPr>
              <w:t>)</w:t>
            </w:r>
            <w:r>
              <w:rPr>
                <w:rFonts w:hint="eastAsia"/>
                <w:bCs/>
              </w:rPr>
              <w:t>》</w:t>
            </w:r>
            <w:r>
              <w:rPr>
                <w:rFonts w:hint="eastAsia"/>
                <w:bCs/>
                <w:lang w:eastAsia="zh-CN"/>
              </w:rPr>
              <w:t>，</w:t>
            </w:r>
            <w:r>
              <w:rPr>
                <w:rFonts w:hint="eastAsia"/>
                <w:bCs/>
                <w:lang w:val="en-US" w:eastAsia="zh-CN"/>
              </w:rPr>
              <w:t>名录中“三十、金属制品业 33”之下的“68、铸造及其他金属制品制造 339”报告书项为：黑色金属铸造年产10万吨及以上的；有色金属铸造年产10万吨及以上的；报告表项为：其他(仅分割、焊接、组装的除外)。项目建成后年产3万吨特殊钢铸件，属于其他范畴，需要编制环境影响报告表。</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eastAsia="宋体"/>
                <w:b/>
                <w:bCs w:val="0"/>
                <w:lang w:eastAsia="zh-CN"/>
              </w:rPr>
            </w:pPr>
            <w:r>
              <w:rPr>
                <w:rFonts w:hint="eastAsia"/>
                <w:b/>
                <w:bCs w:val="0"/>
                <w:lang w:eastAsia="zh-CN"/>
              </w:rPr>
              <w:t>(</w:t>
            </w:r>
            <w:r>
              <w:rPr>
                <w:rFonts w:hint="eastAsia"/>
                <w:b/>
                <w:bCs w:val="0"/>
                <w:lang w:val="en-US" w:eastAsia="zh-CN"/>
              </w:rPr>
              <w:t>2</w:t>
            </w:r>
            <w:r>
              <w:rPr>
                <w:rFonts w:hint="eastAsia"/>
                <w:b/>
                <w:bCs w:val="0"/>
                <w:lang w:eastAsia="zh-CN"/>
              </w:rPr>
              <w:t>)</w:t>
            </w:r>
            <w:r>
              <w:rPr>
                <w:rFonts w:hint="eastAsia"/>
                <w:b/>
                <w:bCs w:val="0"/>
                <w:lang w:val="en-US" w:eastAsia="zh-CN"/>
              </w:rPr>
              <w:t xml:space="preserve"> </w:t>
            </w:r>
            <w:r>
              <w:rPr>
                <w:rFonts w:hint="eastAsia"/>
                <w:b/>
                <w:bCs w:val="0"/>
                <w:lang w:eastAsia="zh-CN"/>
              </w:rPr>
              <w:t>项目排污许可管理类别判定</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lang w:val="en-US" w:eastAsia="zh-CN"/>
              </w:rPr>
            </w:pPr>
            <w:r>
              <w:rPr>
                <w:rFonts w:hint="eastAsia"/>
                <w:b w:val="0"/>
                <w:bCs w:val="0"/>
                <w:color w:val="auto"/>
                <w:kern w:val="0"/>
                <w:lang w:val="en-US" w:eastAsia="zh-CN"/>
              </w:rPr>
              <w:t>项目国民经济行业类别为：C3391 黑色金属铸造。</w:t>
            </w:r>
            <w:r>
              <w:rPr>
                <w:bCs/>
                <w:color w:val="auto"/>
                <w:kern w:val="0"/>
              </w:rPr>
              <w:t>根据《固定污染源排污许可分类管理名录</w:t>
            </w:r>
            <w:r>
              <w:rPr>
                <w:rFonts w:hint="eastAsia"/>
                <w:bCs/>
                <w:color w:val="auto"/>
                <w:kern w:val="0"/>
                <w:lang w:eastAsia="zh-CN"/>
              </w:rPr>
              <w:t>(</w:t>
            </w:r>
            <w:r>
              <w:rPr>
                <w:bCs/>
                <w:color w:val="auto"/>
                <w:kern w:val="0"/>
              </w:rPr>
              <w:t>2019年版</w:t>
            </w:r>
            <w:r>
              <w:rPr>
                <w:rFonts w:hint="eastAsia"/>
                <w:bCs/>
                <w:color w:val="auto"/>
                <w:kern w:val="0"/>
                <w:lang w:eastAsia="zh-CN"/>
              </w:rPr>
              <w:t>)</w:t>
            </w:r>
            <w:r>
              <w:rPr>
                <w:bCs/>
                <w:color w:val="auto"/>
                <w:kern w:val="0"/>
              </w:rPr>
              <w:t>》规定，</w:t>
            </w:r>
            <w:r>
              <w:rPr>
                <w:rFonts w:hint="eastAsia"/>
                <w:bCs/>
                <w:color w:val="auto"/>
                <w:kern w:val="0"/>
                <w:lang w:val="en-US" w:eastAsia="zh-CN"/>
              </w:rPr>
              <w:t>名录中</w:t>
            </w:r>
            <w:r>
              <w:rPr>
                <w:rFonts w:hint="eastAsia"/>
                <w:color w:val="auto"/>
                <w:lang w:val="en-US" w:eastAsia="zh-CN"/>
              </w:rPr>
              <w:t>“二十八、金属制品业 33”之下的“82、铸造及其他金属制品制造 339”重点管理项为：黑色金属铸造 3391(使用冲天炉的)，有色金属铸造 3392(生产铅基及铅青铜铸件的)；简化管理项为：除重点管理以外的黑色金属铸造3391、有色金属铸造3392。项目属于黑色金属铸造，但不使用冲天炉，因此排污许可管理类别为简化管理。</w:t>
            </w:r>
          </w:p>
          <w:p>
            <w:pPr>
              <w:bidi w:val="0"/>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b/>
              </w:rPr>
            </w:pPr>
            <w:r>
              <w:rPr>
                <w:rFonts w:hint="eastAsia"/>
                <w:b/>
              </w:rPr>
              <w:t>2、项目组成</w:t>
            </w:r>
          </w:p>
          <w:p>
            <w:pPr>
              <w:spacing w:line="480" w:lineRule="exact"/>
              <w:rPr>
                <w:bCs/>
              </w:rPr>
            </w:pPr>
            <w:r>
              <w:rPr>
                <w:rFonts w:hint="eastAsia"/>
                <w:bCs/>
              </w:rPr>
              <w:t>项目组成情况见表2</w:t>
            </w:r>
            <w:r>
              <w:rPr>
                <w:bCs/>
              </w:rPr>
              <w:t>-1</w:t>
            </w:r>
            <w:r>
              <w:rPr>
                <w:rFonts w:hint="eastAsia"/>
                <w:bCs/>
              </w:rPr>
              <w:t>。</w:t>
            </w:r>
          </w:p>
          <w:p>
            <w:pPr>
              <w:pStyle w:val="21"/>
            </w:pPr>
            <w:r>
              <w:rPr>
                <w:rFonts w:hint="eastAsia"/>
              </w:rPr>
              <w:t>表2</w:t>
            </w:r>
            <w:r>
              <w:t xml:space="preserve">-1  </w:t>
            </w:r>
            <w:r>
              <w:rPr>
                <w:rFonts w:hint="eastAsia"/>
              </w:rPr>
              <w:t>项目组成内容一览表</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0"/>
              <w:gridCol w:w="1328"/>
              <w:gridCol w:w="5342"/>
              <w:gridCol w:w="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pct"/>
                  <w:tcBorders>
                    <w:top w:val="single" w:color="auto" w:sz="4" w:space="0"/>
                    <w:bottom w:val="single" w:color="auto" w:sz="4" w:space="0"/>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b/>
                      <w:color w:val="auto"/>
                    </w:rPr>
                  </w:pPr>
                  <w:r>
                    <w:rPr>
                      <w:rFonts w:hint="eastAsia"/>
                      <w:b/>
                      <w:color w:val="auto"/>
                    </w:rPr>
                    <w:t>类别</w:t>
                  </w:r>
                </w:p>
              </w:tc>
              <w:tc>
                <w:tcPr>
                  <w:tcW w:w="772" w:type="pct"/>
                  <w:tcBorders>
                    <w:top w:val="single" w:color="auto" w:sz="4" w:space="0"/>
                    <w:bottom w:val="single" w:color="auto" w:sz="4" w:space="0"/>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b/>
                      <w:color w:val="auto"/>
                    </w:rPr>
                  </w:pPr>
                  <w:r>
                    <w:rPr>
                      <w:rFonts w:hint="eastAsia"/>
                      <w:b/>
                      <w:color w:val="auto"/>
                    </w:rPr>
                    <w:t>项目名称</w:t>
                  </w:r>
                </w:p>
              </w:tc>
              <w:tc>
                <w:tcPr>
                  <w:tcW w:w="3105" w:type="pct"/>
                  <w:tcBorders>
                    <w:top w:val="single" w:color="auto" w:sz="4" w:space="0"/>
                    <w:bottom w:val="single" w:color="auto" w:sz="4" w:space="0"/>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b/>
                      <w:color w:val="auto"/>
                    </w:rPr>
                  </w:pPr>
                  <w:r>
                    <w:rPr>
                      <w:rFonts w:hint="eastAsia"/>
                      <w:b/>
                      <w:color w:val="auto"/>
                    </w:rPr>
                    <w:t>主要建设内容及规模</w:t>
                  </w:r>
                </w:p>
              </w:tc>
              <w:tc>
                <w:tcPr>
                  <w:tcW w:w="407" w:type="pct"/>
                  <w:tcBorders>
                    <w:top w:val="single" w:color="auto" w:sz="4" w:space="0"/>
                    <w:bottom w:val="single" w:color="auto" w:sz="4" w:space="0"/>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b/>
                      <w:color w:val="auto"/>
                    </w:rPr>
                  </w:pPr>
                  <w:r>
                    <w:rPr>
                      <w:rFonts w:hint="eastAsia"/>
                      <w:b/>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r>
                    <w:rPr>
                      <w:rFonts w:hint="eastAsia"/>
                      <w:color w:val="auto"/>
                    </w:rPr>
                    <w:t>主体工程</w:t>
                  </w: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生产车间</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jc w:val="both"/>
                    <w:textAlignment w:val="auto"/>
                    <w:rPr>
                      <w:rFonts w:hint="default" w:eastAsia="宋体"/>
                      <w:color w:val="auto"/>
                      <w:lang w:val="en-US" w:eastAsia="zh-CN"/>
                    </w:rPr>
                  </w:pPr>
                  <w:r>
                    <w:rPr>
                      <w:rFonts w:hint="eastAsia"/>
                      <w:color w:val="auto"/>
                      <w:lang w:val="en-US" w:eastAsia="zh-CN"/>
                    </w:rPr>
                    <w:t>布置1台公称容量50t电弧炉、1台公称容量30tLF炉、1台公称容量30tAOD炉、1台公称容量30tVOD炉、1台公称容量5t合金熔融炉；4台热处理炉、2套10工位浇铸、1套锻压机和1台快锻机等设备</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1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r>
                    <w:rPr>
                      <w:rFonts w:hint="eastAsia"/>
                      <w:color w:val="auto"/>
                    </w:rPr>
                    <w:t>辅助工程</w:t>
                  </w: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办公楼</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vertAlign w:val="baseline"/>
                      <w:lang w:val="en-US" w:eastAsia="zh-CN"/>
                    </w:rPr>
                  </w:pPr>
                  <w:r>
                    <w:rPr>
                      <w:rFonts w:hint="eastAsia"/>
                      <w:color w:val="auto"/>
                      <w:lang w:val="en-US" w:eastAsia="zh-CN"/>
                    </w:rPr>
                    <w:t>1座3F建筑，</w:t>
                  </w:r>
                  <w:r>
                    <w:rPr>
                      <w:rFonts w:hint="eastAsia"/>
                      <w:color w:val="auto"/>
                      <w:vertAlign w:val="baseline"/>
                      <w:lang w:val="en-US" w:eastAsia="zh-CN"/>
                    </w:rPr>
                    <w:t>用于员工办公</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储运工程</w:t>
                  </w: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原料车间</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rPr>
                    <w:t>建筑面积5900m</w:t>
                  </w:r>
                  <w:r>
                    <w:rPr>
                      <w:rFonts w:hint="eastAsia"/>
                      <w:color w:val="auto"/>
                      <w:vertAlign w:val="superscript"/>
                    </w:rPr>
                    <w:t>2</w:t>
                  </w:r>
                  <w:r>
                    <w:rPr>
                      <w:rFonts w:hint="eastAsia"/>
                      <w:color w:val="auto"/>
                    </w:rPr>
                    <w:t>，</w:t>
                  </w:r>
                  <w:r>
                    <w:rPr>
                      <w:rFonts w:hint="eastAsia"/>
                      <w:color w:val="auto"/>
                      <w:lang w:val="en-US" w:eastAsia="zh-CN"/>
                    </w:rPr>
                    <w:t>用于废钢、铁合金等原辅料贮存</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产品库</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r>
                    <w:rPr>
                      <w:rFonts w:hint="eastAsia"/>
                      <w:color w:val="auto"/>
                    </w:rPr>
                    <w:t>建筑面积</w:t>
                  </w:r>
                  <w:r>
                    <w:rPr>
                      <w:rFonts w:hint="eastAsia"/>
                      <w:color w:val="auto"/>
                      <w:lang w:val="en-US" w:eastAsia="zh-CN"/>
                    </w:rPr>
                    <w:t>1400</w:t>
                  </w:r>
                  <w:r>
                    <w:rPr>
                      <w:rFonts w:hint="eastAsia"/>
                      <w:color w:val="auto"/>
                    </w:rPr>
                    <w:t>m</w:t>
                  </w:r>
                  <w:r>
                    <w:rPr>
                      <w:rFonts w:hint="eastAsia"/>
                      <w:color w:val="auto"/>
                      <w:vertAlign w:val="superscript"/>
                    </w:rPr>
                    <w:t>2</w:t>
                  </w:r>
                  <w:r>
                    <w:rPr>
                      <w:rFonts w:hint="eastAsia"/>
                      <w:color w:val="auto"/>
                    </w:rPr>
                    <w:t>，</w:t>
                  </w:r>
                  <w:r>
                    <w:rPr>
                      <w:rFonts w:hint="eastAsia"/>
                      <w:color w:val="auto"/>
                      <w:lang w:val="en-US" w:eastAsia="zh-CN"/>
                    </w:rPr>
                    <w:t>用于铸件贮存</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r>
                    <w:rPr>
                      <w:rFonts w:hint="eastAsia"/>
                      <w:color w:val="auto"/>
                    </w:rPr>
                    <w:t>公用工程</w:t>
                  </w: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供电工程</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由开发区变电所供给，厂内</w:t>
                  </w:r>
                  <w:r>
                    <w:rPr>
                      <w:rFonts w:hint="eastAsia"/>
                      <w:bCs/>
                      <w:color w:val="auto"/>
                    </w:rPr>
                    <w:t>采用放射与链式相结合方式供电</w:t>
                  </w:r>
                  <w:r>
                    <w:rPr>
                      <w:rFonts w:hint="eastAsia"/>
                      <w:bCs/>
                      <w:color w:val="auto"/>
                      <w:lang w:eastAsia="zh-CN"/>
                    </w:rPr>
                    <w:t>，</w:t>
                  </w:r>
                  <w:r>
                    <w:rPr>
                      <w:rFonts w:hint="eastAsia"/>
                      <w:color w:val="auto"/>
                      <w:sz w:val="21"/>
                      <w:szCs w:val="21"/>
                      <w:highlight w:val="none"/>
                    </w:rPr>
                    <w:t>年用电量约</w:t>
                  </w:r>
                  <w:r>
                    <w:rPr>
                      <w:rFonts w:hint="eastAsia"/>
                      <w:color w:val="auto"/>
                      <w:sz w:val="21"/>
                      <w:szCs w:val="21"/>
                      <w:highlight w:val="none"/>
                      <w:lang w:val="en-US" w:eastAsia="zh-CN"/>
                    </w:rPr>
                    <w:t>2200</w:t>
                  </w:r>
                  <w:r>
                    <w:rPr>
                      <w:color w:val="auto"/>
                      <w:sz w:val="21"/>
                      <w:szCs w:val="21"/>
                      <w:highlight w:val="none"/>
                    </w:rPr>
                    <w:t>×10</w:t>
                  </w:r>
                  <w:r>
                    <w:rPr>
                      <w:rFonts w:hint="eastAsia"/>
                      <w:color w:val="auto"/>
                      <w:sz w:val="21"/>
                      <w:szCs w:val="21"/>
                      <w:highlight w:val="none"/>
                      <w:vertAlign w:val="superscript"/>
                    </w:rPr>
                    <w:t>4</w:t>
                  </w:r>
                  <w:r>
                    <w:rPr>
                      <w:color w:val="auto"/>
                      <w:sz w:val="21"/>
                      <w:szCs w:val="21"/>
                      <w:highlight w:val="none"/>
                    </w:rPr>
                    <w:t>kWh</w:t>
                  </w:r>
                  <w:r>
                    <w:rPr>
                      <w:rFonts w:hint="eastAsia"/>
                      <w:color w:val="auto"/>
                      <w:sz w:val="21"/>
                      <w:szCs w:val="21"/>
                      <w:highlight w:val="none"/>
                      <w:lang w:val="en-US" w:eastAsia="zh-CN"/>
                    </w:rPr>
                    <w:t>/a</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15"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供水工程</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default" w:eastAsia="宋体"/>
                      <w:color w:val="auto"/>
                      <w:lang w:val="en-US" w:eastAsia="zh-CN"/>
                    </w:rPr>
                    <w:t>生产用水主要为循环冷却水</w:t>
                  </w:r>
                  <w:r>
                    <w:rPr>
                      <w:rFonts w:hint="eastAsia"/>
                      <w:color w:val="auto"/>
                      <w:lang w:val="en-US" w:eastAsia="zh-CN"/>
                    </w:rPr>
                    <w:t>(</w:t>
                  </w:r>
                  <w:r>
                    <w:rPr>
                      <w:rFonts w:hint="eastAsia" w:ascii="Times New Roman" w:hAnsi="Times New Roman" w:cs="Times New Roman"/>
                      <w:bCs/>
                      <w:color w:val="auto"/>
                      <w:lang w:val="en-US" w:eastAsia="zh-CN"/>
                    </w:rPr>
                    <w:t>5040</w:t>
                  </w:r>
                  <w:r>
                    <w:rPr>
                      <w:rFonts w:hint="default" w:ascii="Times New Roman" w:hAnsi="Times New Roman" w:cs="Times New Roman"/>
                      <w:bCs/>
                      <w:color w:val="auto"/>
                      <w:lang w:val="en-US" w:eastAsia="zh-CN"/>
                    </w:rPr>
                    <w:t>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r>
                    <w:rPr>
                      <w:rFonts w:hint="eastAsia"/>
                      <w:color w:val="auto"/>
                      <w:lang w:val="en-US" w:eastAsia="zh-CN"/>
                    </w:rPr>
                    <w:t>)，与生活用水(</w:t>
                  </w:r>
                  <w:r>
                    <w:rPr>
                      <w:rFonts w:hint="eastAsia" w:ascii="Times New Roman" w:hAnsi="Times New Roman" w:cs="Times New Roman"/>
                      <w:bCs/>
                      <w:color w:val="auto"/>
                      <w:lang w:val="en-US" w:eastAsia="zh-CN"/>
                    </w:rPr>
                    <w:t>900</w:t>
                  </w:r>
                  <w:r>
                    <w:rPr>
                      <w:rFonts w:hint="default" w:ascii="Times New Roman" w:hAnsi="Times New Roman" w:cs="Times New Roman"/>
                      <w:bCs/>
                      <w:color w:val="auto"/>
                      <w:lang w:val="en-US" w:eastAsia="zh-CN"/>
                    </w:rPr>
                    <w:t>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r>
                    <w:rPr>
                      <w:rFonts w:hint="eastAsia"/>
                      <w:color w:val="auto"/>
                      <w:lang w:val="en-US" w:eastAsia="zh-CN"/>
                    </w:rPr>
                    <w:t>)用水均由开发区管网供给</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15"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排水工程</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r>
                    <w:rPr>
                      <w:rFonts w:hint="eastAsia"/>
                      <w:bCs/>
                      <w:color w:val="auto"/>
                    </w:rPr>
                    <w:t>根据“雨污分流、清污分流、分质处理、一水多用”的原则建设排水系统</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15"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color w:val="auto"/>
                      <w:lang w:val="en-US" w:eastAsia="zh-CN"/>
                    </w:rPr>
                  </w:pPr>
                  <w:r>
                    <w:rPr>
                      <w:rFonts w:hint="eastAsia"/>
                      <w:color w:val="auto"/>
                      <w:lang w:val="en-US" w:eastAsia="zh-CN"/>
                    </w:rPr>
                    <w:t>供气工程</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rPr>
                    <w:t>天然气由开发区燃气管网供给</w:t>
                  </w:r>
                  <w:r>
                    <w:rPr>
                      <w:rFonts w:hint="eastAsia"/>
                      <w:color w:val="auto"/>
                      <w:lang w:eastAsia="zh-CN"/>
                    </w:rPr>
                    <w:t>，</w:t>
                  </w:r>
                  <w:r>
                    <w:rPr>
                      <w:rFonts w:hint="eastAsia"/>
                      <w:color w:val="auto"/>
                      <w:lang w:val="en-US" w:eastAsia="zh-CN"/>
                    </w:rPr>
                    <w:t>年用量约</w:t>
                  </w:r>
                  <w:r>
                    <w:rPr>
                      <w:rFonts w:hint="eastAsia"/>
                      <w:color w:val="auto"/>
                      <w:sz w:val="21"/>
                      <w:szCs w:val="21"/>
                      <w:highlight w:val="none"/>
                      <w:lang w:val="en-US" w:eastAsia="zh-CN"/>
                    </w:rPr>
                    <w:t>108</w:t>
                  </w:r>
                  <w:r>
                    <w:rPr>
                      <w:color w:val="auto"/>
                      <w:sz w:val="21"/>
                      <w:szCs w:val="21"/>
                      <w:highlight w:val="none"/>
                    </w:rPr>
                    <w:t>×10</w:t>
                  </w:r>
                  <w:r>
                    <w:rPr>
                      <w:rFonts w:hint="eastAsia"/>
                      <w:color w:val="auto"/>
                      <w:sz w:val="21"/>
                      <w:szCs w:val="21"/>
                      <w:highlight w:val="none"/>
                      <w:vertAlign w:val="superscript"/>
                    </w:rPr>
                    <w:t>4</w:t>
                  </w:r>
                  <w:r>
                    <w:rPr>
                      <w:rFonts w:hint="eastAsia"/>
                      <w:color w:val="auto"/>
                      <w:sz w:val="21"/>
                      <w:szCs w:val="21"/>
                      <w:highlight w:val="none"/>
                      <w:vertAlign w:val="baseli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/a；氮气、氧气、氩气外购，厂区不设置制备系统</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消防工程</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r>
                    <w:rPr>
                      <w:rFonts w:hint="eastAsia"/>
                      <w:color w:val="auto"/>
                    </w:rPr>
                    <w:t>根据规范要求设置室内外消火栓系统，灭火器系统</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r>
                    <w:rPr>
                      <w:rFonts w:hint="eastAsia"/>
                      <w:color w:val="auto"/>
                    </w:rPr>
                    <w:t>环保工程</w:t>
                  </w: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废气处理</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jc w:val="both"/>
                    <w:textAlignment w:val="auto"/>
                    <w:rPr>
                      <w:rFonts w:hint="default" w:eastAsia="宋体"/>
                      <w:color w:val="auto"/>
                      <w:sz w:val="21"/>
                      <w:szCs w:val="21"/>
                      <w:lang w:val="en-US" w:eastAsia="zh-CN"/>
                    </w:rPr>
                  </w:pPr>
                  <w:r>
                    <w:rPr>
                      <w:rFonts w:hint="eastAsia"/>
                      <w:color w:val="auto"/>
                      <w:sz w:val="21"/>
                      <w:szCs w:val="21"/>
                      <w:lang w:val="en-US" w:eastAsia="zh-CN"/>
                    </w:rPr>
                    <w:t>电弧炉、AOD炉共用1套天车可通过式屋顶罩捕集系统(</w:t>
                  </w:r>
                  <w:r>
                    <w:rPr>
                      <w:rFonts w:hint="eastAsia" w:ascii="Times New Roman" w:hAnsi="Times New Roman" w:cs="Times New Roman"/>
                      <w:color w:val="auto"/>
                      <w:sz w:val="21"/>
                      <w:szCs w:val="21"/>
                      <w:lang w:val="en-US" w:eastAsia="zh-CN"/>
                    </w:rPr>
                    <w:t>捕集率9</w:t>
                  </w:r>
                  <w:r>
                    <w:rPr>
                      <w:rFonts w:hint="eastAsia" w:cs="Times New Roman"/>
                      <w:color w:val="auto"/>
                      <w:sz w:val="21"/>
                      <w:szCs w:val="21"/>
                      <w:lang w:val="en-US" w:eastAsia="zh-CN"/>
                    </w:rPr>
                    <w:t>0</w:t>
                  </w:r>
                  <w:r>
                    <w:rPr>
                      <w:rFonts w:hint="eastAsia" w:ascii="Times New Roman" w:hAnsi="Times New Roman" w:cs="Times New Roman"/>
                      <w:color w:val="auto"/>
                      <w:sz w:val="21"/>
                      <w:szCs w:val="21"/>
                      <w:lang w:val="en-US" w:eastAsia="zh-CN"/>
                    </w:rPr>
                    <w:t>%</w:t>
                  </w:r>
                  <w:r>
                    <w:rPr>
                      <w:rFonts w:hint="eastAsia"/>
                      <w:color w:val="auto"/>
                      <w:sz w:val="21"/>
                      <w:szCs w:val="21"/>
                      <w:lang w:val="en-US" w:eastAsia="zh-CN"/>
                    </w:rPr>
                    <w:t>)</w:t>
                  </w:r>
                  <w:r>
                    <w:rPr>
                      <w:rFonts w:hint="eastAsia" w:ascii="Times New Roman" w:hAnsi="Times New Roman" w:cs="Times New Roman"/>
                      <w:color w:val="auto"/>
                      <w:sz w:val="21"/>
                      <w:szCs w:val="21"/>
                      <w:lang w:val="en-US" w:eastAsia="zh-CN"/>
                    </w:rPr>
                    <w:t>，</w:t>
                  </w:r>
                  <w:r>
                    <w:rPr>
                      <w:rFonts w:hint="eastAsia"/>
                      <w:color w:val="auto"/>
                      <w:sz w:val="21"/>
                      <w:szCs w:val="21"/>
                      <w:lang w:val="en-US" w:eastAsia="zh-CN"/>
                    </w:rPr>
                    <w:t>LF炉、VOD炉及合金熔融炉共用1套天车可通过式屋顶罩捕集(</w:t>
                  </w:r>
                  <w:r>
                    <w:rPr>
                      <w:rFonts w:hint="eastAsia" w:ascii="Times New Roman" w:hAnsi="Times New Roman" w:cs="Times New Roman"/>
                      <w:color w:val="auto"/>
                      <w:sz w:val="21"/>
                      <w:szCs w:val="21"/>
                      <w:lang w:val="en-US" w:eastAsia="zh-CN"/>
                    </w:rPr>
                    <w:t>捕集率9</w:t>
                  </w:r>
                  <w:r>
                    <w:rPr>
                      <w:rFonts w:hint="eastAsia" w:cs="Times New Roman"/>
                      <w:color w:val="auto"/>
                      <w:sz w:val="21"/>
                      <w:szCs w:val="21"/>
                      <w:lang w:val="en-US" w:eastAsia="zh-CN"/>
                    </w:rPr>
                    <w:t>0</w:t>
                  </w:r>
                  <w:r>
                    <w:rPr>
                      <w:rFonts w:hint="eastAsia" w:ascii="Times New Roman" w:hAnsi="Times New Roman" w:cs="Times New Roman"/>
                      <w:color w:val="auto"/>
                      <w:sz w:val="21"/>
                      <w:szCs w:val="21"/>
                      <w:lang w:val="en-US" w:eastAsia="zh-CN"/>
                    </w:rPr>
                    <w:t>%</w:t>
                  </w:r>
                  <w:r>
                    <w:rPr>
                      <w:rFonts w:hint="eastAsia"/>
                      <w:color w:val="auto"/>
                      <w:sz w:val="21"/>
                      <w:szCs w:val="21"/>
                      <w:lang w:val="en-US" w:eastAsia="zh-CN"/>
                    </w:rPr>
                    <w:t>)</w:t>
                  </w:r>
                  <w:r>
                    <w:rPr>
                      <w:rFonts w:hint="eastAsia" w:ascii="Times New Roman" w:hAnsi="Times New Roman" w:cs="Times New Roman"/>
                      <w:color w:val="auto"/>
                      <w:sz w:val="21"/>
                      <w:szCs w:val="21"/>
                      <w:lang w:val="en-US" w:eastAsia="zh-CN"/>
                    </w:rPr>
                    <w:t>，</w:t>
                  </w:r>
                  <w:r>
                    <w:rPr>
                      <w:rFonts w:hint="eastAsia" w:ascii="Times New Roman" w:hAnsi="Times New Roman" w:cs="Times New Roman"/>
                      <w:color w:val="auto"/>
                      <w:sz w:val="21"/>
                      <w:szCs w:val="21"/>
                    </w:rPr>
                    <w:t>浇注废气单独采用</w:t>
                  </w:r>
                  <w:r>
                    <w:rPr>
                      <w:rFonts w:hint="eastAsia"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rPr>
                    <w:t>套屋顶罩捕集</w:t>
                  </w:r>
                  <w:r>
                    <w:rPr>
                      <w:rFonts w:hint="eastAsia"/>
                      <w:color w:val="auto"/>
                      <w:sz w:val="21"/>
                      <w:szCs w:val="21"/>
                      <w:lang w:val="en-US" w:eastAsia="zh-CN"/>
                    </w:rPr>
                    <w:t>(</w:t>
                  </w:r>
                  <w:r>
                    <w:rPr>
                      <w:rFonts w:hint="eastAsia" w:ascii="Times New Roman" w:hAnsi="Times New Roman" w:cs="Times New Roman"/>
                      <w:color w:val="auto"/>
                      <w:sz w:val="21"/>
                      <w:szCs w:val="21"/>
                      <w:lang w:val="en-US" w:eastAsia="zh-CN"/>
                    </w:rPr>
                    <w:t>捕集率9</w:t>
                  </w:r>
                  <w:r>
                    <w:rPr>
                      <w:rFonts w:hint="eastAsia" w:cs="Times New Roman"/>
                      <w:color w:val="auto"/>
                      <w:sz w:val="21"/>
                      <w:szCs w:val="21"/>
                      <w:lang w:val="en-US" w:eastAsia="zh-CN"/>
                    </w:rPr>
                    <w:t>0</w:t>
                  </w:r>
                  <w:r>
                    <w:rPr>
                      <w:rFonts w:hint="eastAsia" w:ascii="Times New Roman" w:hAnsi="Times New Roman" w:cs="Times New Roman"/>
                      <w:color w:val="auto"/>
                      <w:sz w:val="21"/>
                      <w:szCs w:val="21"/>
                      <w:lang w:val="en-US" w:eastAsia="zh-CN"/>
                    </w:rPr>
                    <w:t>%</w:t>
                  </w:r>
                  <w:r>
                    <w:rPr>
                      <w:rFonts w:hint="eastAsia"/>
                      <w:color w:val="auto"/>
                      <w:sz w:val="21"/>
                      <w:szCs w:val="21"/>
                      <w:lang w:val="en-US" w:eastAsia="zh-CN"/>
                    </w:rPr>
                    <w:t>)</w:t>
                  </w:r>
                  <w:r>
                    <w:rPr>
                      <w:rFonts w:hint="eastAsia" w:ascii="Times New Roman" w:hAnsi="Times New Roman" w:cs="Times New Roman"/>
                      <w:color w:val="auto"/>
                      <w:sz w:val="21"/>
                      <w:szCs w:val="21"/>
                      <w:lang w:val="en-US" w:eastAsia="zh-CN"/>
                    </w:rPr>
                    <w:t>。捕集到的废气送至袋式除尘器除尘处理，除尘效率9</w:t>
                  </w:r>
                  <w:r>
                    <w:rPr>
                      <w:rFonts w:hint="eastAsia" w:cs="Times New Roman"/>
                      <w:color w:val="auto"/>
                      <w:sz w:val="21"/>
                      <w:szCs w:val="21"/>
                      <w:lang w:val="en-US" w:eastAsia="zh-CN"/>
                    </w:rPr>
                    <w:t>8</w:t>
                  </w:r>
                  <w:r>
                    <w:rPr>
                      <w:rFonts w:hint="eastAsia" w:ascii="Times New Roman" w:hAnsi="Times New Roman" w:cs="Times New Roman"/>
                      <w:color w:val="auto"/>
                      <w:sz w:val="21"/>
                      <w:szCs w:val="21"/>
                      <w:lang w:val="en-US" w:eastAsia="zh-CN"/>
                    </w:rPr>
                    <w:t>%，处理后的废气通过1根高15m、内径2.6m排气筒</w:t>
                  </w:r>
                  <w:r>
                    <w:rPr>
                      <w:rFonts w:hint="eastAsia" w:cs="Times New Roman"/>
                      <w:color w:val="auto"/>
                      <w:sz w:val="21"/>
                      <w:szCs w:val="21"/>
                      <w:lang w:val="en-US" w:eastAsia="zh-CN"/>
                    </w:rPr>
                    <w:t>(</w:t>
                  </w:r>
                  <w:r>
                    <w:rPr>
                      <w:rFonts w:hint="eastAsia" w:ascii="Times New Roman" w:hAnsi="Times New Roman" w:cs="Times New Roman"/>
                      <w:color w:val="auto"/>
                      <w:sz w:val="21"/>
                      <w:szCs w:val="21"/>
                      <w:lang w:val="en-US" w:eastAsia="zh-CN"/>
                    </w:rPr>
                    <w:t>DA001</w:t>
                  </w:r>
                  <w:r>
                    <w:rPr>
                      <w:rFonts w:hint="eastAsia" w:cs="Times New Roman"/>
                      <w:color w:val="auto"/>
                      <w:sz w:val="21"/>
                      <w:szCs w:val="21"/>
                      <w:lang w:val="en-US" w:eastAsia="zh-CN"/>
                    </w:rPr>
                    <w:t>)</w:t>
                  </w:r>
                  <w:r>
                    <w:rPr>
                      <w:rFonts w:hint="eastAsia" w:ascii="Times New Roman" w:hAnsi="Times New Roman" w:cs="Times New Roman"/>
                      <w:color w:val="auto"/>
                      <w:sz w:val="21"/>
                      <w:szCs w:val="21"/>
                      <w:lang w:val="en-US" w:eastAsia="zh-CN"/>
                    </w:rPr>
                    <w:t>排放。</w:t>
                  </w:r>
                </w:p>
                <w:p>
                  <w:pPr>
                    <w:pStyle w:val="19"/>
                    <w:keepNext w:val="0"/>
                    <w:keepLines w:val="0"/>
                    <w:pageBreakBefore w:val="0"/>
                    <w:widowControl w:val="0"/>
                    <w:kinsoku/>
                    <w:wordWrap/>
                    <w:overflowPunct/>
                    <w:topLinePunct w:val="0"/>
                    <w:autoSpaceDE/>
                    <w:autoSpaceDN/>
                    <w:bidi w:val="0"/>
                    <w:adjustRightInd/>
                    <w:snapToGrid/>
                    <w:spacing w:line="420" w:lineRule="exact"/>
                    <w:jc w:val="both"/>
                    <w:textAlignment w:val="auto"/>
                    <w:rPr>
                      <w:color w:val="auto"/>
                    </w:rPr>
                  </w:pPr>
                  <w:r>
                    <w:rPr>
                      <w:rFonts w:hint="eastAsia"/>
                      <w:color w:val="auto"/>
                      <w:sz w:val="21"/>
                      <w:szCs w:val="21"/>
                      <w:lang w:val="en-US" w:eastAsia="zh-CN"/>
                    </w:rPr>
                    <w:t>4台燃气式台车热处理炉，均采用天然气作为燃料，热处理炉采用低氮燃烧技术，4台热处理炉废气合用1跟高15m、</w:t>
                  </w:r>
                  <w:r>
                    <w:rPr>
                      <w:rFonts w:hint="eastAsia" w:ascii="Times New Roman" w:hAnsi="Times New Roman" w:cs="Times New Roman"/>
                      <w:color w:val="auto"/>
                      <w:sz w:val="21"/>
                      <w:szCs w:val="21"/>
                      <w:lang w:val="en-US" w:eastAsia="zh-CN"/>
                    </w:rPr>
                    <w:t>内径1.0m排气筒</w:t>
                  </w:r>
                  <w:r>
                    <w:rPr>
                      <w:rFonts w:hint="eastAsia" w:cs="Times New Roman"/>
                      <w:color w:val="auto"/>
                      <w:sz w:val="21"/>
                      <w:szCs w:val="21"/>
                      <w:lang w:val="en-US" w:eastAsia="zh-CN"/>
                    </w:rPr>
                    <w:t>(</w:t>
                  </w:r>
                  <w:r>
                    <w:rPr>
                      <w:rFonts w:hint="eastAsia" w:ascii="Times New Roman" w:hAnsi="Times New Roman" w:cs="Times New Roman"/>
                      <w:color w:val="auto"/>
                      <w:sz w:val="21"/>
                      <w:szCs w:val="21"/>
                      <w:lang w:val="en-US" w:eastAsia="zh-CN"/>
                    </w:rPr>
                    <w:t>DA002</w:t>
                  </w:r>
                  <w:r>
                    <w:rPr>
                      <w:rFonts w:hint="eastAsia" w:cs="Times New Roman"/>
                      <w:color w:val="auto"/>
                      <w:sz w:val="21"/>
                      <w:szCs w:val="21"/>
                      <w:lang w:val="en-US" w:eastAsia="zh-CN"/>
                    </w:rPr>
                    <w:t>)</w:t>
                  </w:r>
                  <w:r>
                    <w:rPr>
                      <w:rFonts w:hint="eastAsia" w:ascii="Times New Roman" w:hAnsi="Times New Roman" w:cs="Times New Roman"/>
                      <w:color w:val="auto"/>
                      <w:sz w:val="21"/>
                      <w:szCs w:val="21"/>
                      <w:lang w:val="en-US" w:eastAsia="zh-CN"/>
                    </w:rPr>
                    <w:t>排放。</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15"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废水处理</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jc w:val="both"/>
                    <w:textAlignment w:val="auto"/>
                    <w:rPr>
                      <w:color w:val="auto"/>
                    </w:rPr>
                  </w:pPr>
                  <w:r>
                    <w:rPr>
                      <w:rFonts w:hint="eastAsia"/>
                      <w:color w:val="auto"/>
                      <w:lang w:val="en-US" w:eastAsia="zh-CN"/>
                    </w:rPr>
                    <w:t>生活污水(</w:t>
                  </w:r>
                  <w:r>
                    <w:rPr>
                      <w:rFonts w:hint="default" w:ascii="Times New Roman" w:hAnsi="Times New Roman" w:cs="Times New Roman"/>
                      <w:bCs/>
                      <w:color w:val="auto"/>
                      <w:lang w:val="en-US" w:eastAsia="zh-CN"/>
                    </w:rPr>
                    <w:t>765m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r>
                    <w:rPr>
                      <w:rFonts w:hint="eastAsia"/>
                      <w:color w:val="auto"/>
                      <w:lang w:val="en-US" w:eastAsia="zh-CN"/>
                    </w:rPr>
                    <w:t>)经化粪池处理后，与循环冷却废水(</w:t>
                  </w:r>
                  <w:r>
                    <w:rPr>
                      <w:rFonts w:hint="default" w:ascii="Times New Roman" w:hAnsi="Times New Roman" w:cs="Times New Roman"/>
                      <w:bCs/>
                      <w:color w:val="auto"/>
                      <w:lang w:val="en-US" w:eastAsia="zh-CN"/>
                    </w:rPr>
                    <w:t>7</w:t>
                  </w:r>
                  <w:r>
                    <w:rPr>
                      <w:rFonts w:hint="eastAsia" w:ascii="Times New Roman" w:hAnsi="Times New Roman" w:cs="Times New Roman"/>
                      <w:bCs/>
                      <w:color w:val="auto"/>
                      <w:lang w:val="en-US" w:eastAsia="zh-CN"/>
                    </w:rPr>
                    <w:t>20</w:t>
                  </w:r>
                  <w:r>
                    <w:rPr>
                      <w:rFonts w:hint="default" w:ascii="Times New Roman" w:hAnsi="Times New Roman" w:cs="Times New Roman"/>
                      <w:bCs/>
                      <w:color w:val="auto"/>
                      <w:lang w:val="en-US" w:eastAsia="zh-CN"/>
                    </w:rPr>
                    <w:t>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r>
                    <w:rPr>
                      <w:rFonts w:hint="eastAsia"/>
                      <w:color w:val="auto"/>
                      <w:lang w:val="en-US" w:eastAsia="zh-CN"/>
                    </w:rPr>
                    <w:t>)经由总排口排入</w:t>
                  </w:r>
                  <w:r>
                    <w:rPr>
                      <w:rFonts w:hint="eastAsia"/>
                      <w:color w:val="auto"/>
                      <w:kern w:val="0"/>
                    </w:rPr>
                    <w:t>怀远经济开发区污水处理厂</w:t>
                  </w:r>
                  <w:r>
                    <w:rPr>
                      <w:rFonts w:hint="eastAsia"/>
                      <w:color w:val="auto"/>
                      <w:kern w:val="0"/>
                      <w:lang w:val="en-US" w:eastAsia="zh-CN"/>
                    </w:rPr>
                    <w:t>(一期)集中处理</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部分新建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15"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噪声治理</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jc w:val="both"/>
                    <w:textAlignment w:val="auto"/>
                    <w:rPr>
                      <w:color w:val="auto"/>
                    </w:rPr>
                  </w:pPr>
                  <w:r>
                    <w:rPr>
                      <w:rFonts w:hint="eastAsia"/>
                      <w:color w:val="auto"/>
                      <w:sz w:val="21"/>
                      <w:szCs w:val="21"/>
                    </w:rPr>
                    <w:t>采用消声、隔声、基础减振、降噪措施，如对胶带机通廊进行封闭，除尘风机口设消声器，风机机壳设隔声层；水泵采用减振、柔性接管等消声、隔声措施。</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eastAsia="宋体"/>
                      <w:color w:val="auto"/>
                      <w:lang w:val="en-US" w:eastAsia="zh-CN"/>
                    </w:rPr>
                  </w:pPr>
                  <w:r>
                    <w:rPr>
                      <w:rFonts w:hint="eastAsia"/>
                      <w:color w:val="auto"/>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15"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color w:val="auto"/>
                    </w:rPr>
                  </w:pPr>
                </w:p>
              </w:tc>
              <w:tc>
                <w:tcPr>
                  <w:tcW w:w="7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固废处置</w:t>
                  </w:r>
                </w:p>
              </w:tc>
              <w:tc>
                <w:tcPr>
                  <w:tcW w:w="310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jc w:val="both"/>
                    <w:textAlignment w:val="auto"/>
                    <w:rPr>
                      <w:rFonts w:hint="default" w:eastAsia="宋体"/>
                      <w:color w:val="auto"/>
                      <w:lang w:val="en-US" w:eastAsia="zh-CN"/>
                    </w:rPr>
                  </w:pPr>
                  <w:r>
                    <w:rPr>
                      <w:rFonts w:hint="eastAsia"/>
                      <w:color w:val="auto"/>
                      <w:lang w:val="en-US" w:eastAsia="zh-CN"/>
                    </w:rPr>
                    <w:t>生活垃圾收集后由环卫部门定期清运处置；冶炼废渣外售综合利用；钢渣作为原料回电弧炉冶炼；废耐火材料由厂家回收利用；除尘灰、废机油委托有资质单位处置，本次同步</w:t>
                  </w:r>
                  <w:r>
                    <w:t>按照</w:t>
                  </w:r>
                  <w:r>
                    <w:rPr>
                      <w:color w:val="auto"/>
                    </w:rPr>
                    <w:t>《危险废物贮存污染控制标准》</w:t>
                  </w:r>
                  <w:r>
                    <w:rPr>
                      <w:rFonts w:hint="eastAsia"/>
                      <w:color w:val="auto"/>
                      <w:lang w:eastAsia="zh-CN"/>
                    </w:rPr>
                    <w:t>(</w:t>
                  </w:r>
                  <w:r>
                    <w:rPr>
                      <w:color w:val="auto"/>
                    </w:rPr>
                    <w:t>GB</w:t>
                  </w:r>
                  <w:r>
                    <w:rPr>
                      <w:rFonts w:hint="eastAsia"/>
                      <w:color w:val="auto"/>
                      <w:lang w:val="en-US" w:eastAsia="zh-CN"/>
                    </w:rPr>
                    <w:t xml:space="preserve"> </w:t>
                  </w:r>
                  <w:r>
                    <w:rPr>
                      <w:color w:val="auto"/>
                    </w:rPr>
                    <w:t>18597-</w:t>
                  </w:r>
                  <w:r>
                    <w:rPr>
                      <w:rFonts w:hint="eastAsia"/>
                      <w:color w:val="auto"/>
                      <w:lang w:val="en-US" w:eastAsia="zh-CN"/>
                    </w:rPr>
                    <w:t xml:space="preserve"> </w:t>
                  </w:r>
                  <w:r>
                    <w:rPr>
                      <w:color w:val="auto"/>
                    </w:rPr>
                    <w:t>20</w:t>
                  </w:r>
                  <w:r>
                    <w:rPr>
                      <w:rFonts w:hint="eastAsia"/>
                      <w:color w:val="auto"/>
                      <w:lang w:val="en-US" w:eastAsia="zh-CN"/>
                    </w:rPr>
                    <w:t>23</w:t>
                  </w:r>
                  <w:r>
                    <w:rPr>
                      <w:rFonts w:hint="eastAsia"/>
                      <w:color w:val="auto"/>
                      <w:lang w:eastAsia="zh-CN"/>
                    </w:rPr>
                    <w:t>)</w:t>
                  </w:r>
                  <w:r>
                    <w:t>的相关要求</w:t>
                  </w:r>
                  <w:r>
                    <w:rPr>
                      <w:rFonts w:hint="eastAsia"/>
                      <w:lang w:val="en-US" w:eastAsia="zh-CN"/>
                    </w:rPr>
                    <w:t>改造</w:t>
                  </w:r>
                  <w:r>
                    <w:t>危险废物暂存</w:t>
                  </w:r>
                  <w:r>
                    <w:rPr>
                      <w:rFonts w:hint="eastAsia"/>
                    </w:rPr>
                    <w:t>间</w:t>
                  </w:r>
                  <w:r>
                    <w:rPr>
                      <w:rFonts w:hint="eastAsia"/>
                      <w:lang w:val="en-US" w:eastAsia="zh-CN"/>
                    </w:rPr>
                    <w:t>(约50m</w:t>
                  </w:r>
                  <w:r>
                    <w:rPr>
                      <w:rFonts w:hint="eastAsia"/>
                      <w:vertAlign w:val="superscript"/>
                      <w:lang w:val="en-US" w:eastAsia="zh-CN"/>
                    </w:rPr>
                    <w:t>2</w:t>
                  </w:r>
                  <w:r>
                    <w:rPr>
                      <w:rFonts w:hint="eastAsia"/>
                      <w:lang w:val="en-US" w:eastAsia="zh-CN"/>
                    </w:rPr>
                    <w:t>)</w:t>
                  </w:r>
                </w:p>
              </w:tc>
              <w:tc>
                <w:tcPr>
                  <w:tcW w:w="40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eastAsia="宋体"/>
                      <w:color w:val="auto"/>
                      <w:lang w:val="en-US" w:eastAsia="zh-CN"/>
                    </w:rPr>
                  </w:pPr>
                  <w:r>
                    <w:rPr>
                      <w:rFonts w:hint="eastAsia"/>
                      <w:color w:val="auto"/>
                      <w:lang w:val="en-US" w:eastAsia="zh-CN"/>
                    </w:rPr>
                    <w:t>部分改建</w:t>
                  </w:r>
                </w:p>
              </w:tc>
            </w:tr>
          </w:tbl>
          <w:p>
            <w:pPr>
              <w:bidi w:val="0"/>
            </w:pPr>
          </w:p>
          <w:p>
            <w:pPr>
              <w:bidi w:val="0"/>
              <w:rPr>
                <w:rFonts w:hint="eastAsia"/>
                <w:lang w:val="en-US" w:eastAsia="zh-CN"/>
              </w:rPr>
            </w:pPr>
            <w:r>
              <w:rPr>
                <w:rFonts w:hint="eastAsia"/>
                <w:lang w:val="en-US" w:eastAsia="zh-CN"/>
              </w:rPr>
              <w:t>项目主要公辅工程依托工程可行性分析见下表2-2。</w:t>
            </w:r>
          </w:p>
          <w:p>
            <w:pPr>
              <w:pStyle w:val="21"/>
              <w:bidi w:val="0"/>
              <w:rPr>
                <w:rFonts w:hint="eastAsia"/>
                <w:lang w:val="en-US" w:eastAsia="zh-CN"/>
              </w:rPr>
            </w:pPr>
            <w:r>
              <w:rPr>
                <w:rFonts w:hint="eastAsia"/>
                <w:lang w:val="en-US" w:eastAsia="zh-CN"/>
              </w:rPr>
              <w:t>表2-2  项目依托可行性分析一览表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5"/>
              <w:gridCol w:w="6083"/>
              <w:gridCol w:w="12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265" w:type="dxa"/>
                  <w:shd w:val="clear" w:color="auto" w:fill="auto"/>
                  <w:vAlign w:val="center"/>
                </w:tcPr>
                <w:p>
                  <w:pPr>
                    <w:pStyle w:val="19"/>
                    <w:bidi w:val="0"/>
                    <w:rPr>
                      <w:rFonts w:hint="default"/>
                      <w:b/>
                      <w:bCs/>
                      <w:color w:val="auto"/>
                      <w:vertAlign w:val="baseline"/>
                      <w:lang w:val="en-US" w:eastAsia="zh-CN"/>
                    </w:rPr>
                  </w:pPr>
                  <w:r>
                    <w:rPr>
                      <w:rFonts w:hint="eastAsia"/>
                      <w:b/>
                      <w:bCs/>
                      <w:color w:val="auto"/>
                      <w:vertAlign w:val="baseline"/>
                      <w:lang w:val="en-US" w:eastAsia="zh-CN"/>
                    </w:rPr>
                    <w:t>依托工程</w:t>
                  </w:r>
                </w:p>
              </w:tc>
              <w:tc>
                <w:tcPr>
                  <w:tcW w:w="6083" w:type="dxa"/>
                  <w:shd w:val="clear" w:color="auto" w:fill="auto"/>
                  <w:vAlign w:val="center"/>
                </w:tcPr>
                <w:p>
                  <w:pPr>
                    <w:pStyle w:val="19"/>
                    <w:bidi w:val="0"/>
                    <w:rPr>
                      <w:rFonts w:hint="default"/>
                      <w:b/>
                      <w:bCs/>
                      <w:color w:val="auto"/>
                      <w:vertAlign w:val="baseline"/>
                      <w:lang w:val="en-US" w:eastAsia="zh-CN"/>
                    </w:rPr>
                  </w:pPr>
                  <w:r>
                    <w:rPr>
                      <w:rFonts w:hint="eastAsia"/>
                      <w:b/>
                      <w:bCs/>
                      <w:color w:val="auto"/>
                      <w:vertAlign w:val="baseline"/>
                      <w:lang w:val="en-US" w:eastAsia="zh-CN"/>
                    </w:rPr>
                    <w:t>依托情况</w:t>
                  </w:r>
                </w:p>
              </w:tc>
              <w:tc>
                <w:tcPr>
                  <w:tcW w:w="1246" w:type="dxa"/>
                  <w:shd w:val="clear" w:color="auto" w:fill="auto"/>
                  <w:vAlign w:val="center"/>
                </w:tcPr>
                <w:p>
                  <w:pPr>
                    <w:pStyle w:val="19"/>
                    <w:bidi w:val="0"/>
                    <w:rPr>
                      <w:rFonts w:hint="default"/>
                      <w:b/>
                      <w:bCs/>
                      <w:color w:val="auto"/>
                      <w:vertAlign w:val="baseline"/>
                      <w:lang w:val="en-US" w:eastAsia="zh-CN"/>
                    </w:rPr>
                  </w:pPr>
                  <w:r>
                    <w:rPr>
                      <w:rFonts w:hint="eastAsia"/>
                      <w:b/>
                      <w:bCs/>
                      <w:color w:val="auto"/>
                      <w:vertAlign w:val="baseline"/>
                      <w:lang w:val="en-US" w:eastAsia="zh-CN"/>
                    </w:rPr>
                    <w:t>可行性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5" w:type="dxa"/>
                  <w:shd w:val="clear" w:color="auto" w:fill="auto"/>
                  <w:vAlign w:val="center"/>
                </w:tcPr>
                <w:p>
                  <w:pPr>
                    <w:pStyle w:val="19"/>
                    <w:bidi w:val="0"/>
                    <w:rPr>
                      <w:rFonts w:hint="default"/>
                      <w:b w:val="0"/>
                      <w:bCs w:val="0"/>
                      <w:color w:val="auto"/>
                      <w:vertAlign w:val="baseline"/>
                      <w:lang w:val="en-US" w:eastAsia="zh-CN"/>
                    </w:rPr>
                  </w:pPr>
                  <w:r>
                    <w:rPr>
                      <w:rFonts w:hint="eastAsia"/>
                      <w:b w:val="0"/>
                      <w:bCs w:val="0"/>
                      <w:color w:val="auto"/>
                      <w:vertAlign w:val="baseline"/>
                      <w:lang w:val="en-US" w:eastAsia="zh-CN"/>
                    </w:rPr>
                    <w:t>储运工程</w:t>
                  </w:r>
                </w:p>
              </w:tc>
              <w:tc>
                <w:tcPr>
                  <w:tcW w:w="6083" w:type="dxa"/>
                  <w:shd w:val="clear" w:color="auto" w:fill="auto"/>
                  <w:vAlign w:val="center"/>
                </w:tcPr>
                <w:p>
                  <w:pPr>
                    <w:pStyle w:val="19"/>
                    <w:bidi w:val="0"/>
                    <w:rPr>
                      <w:rFonts w:hint="default" w:eastAsia="宋体"/>
                      <w:b w:val="0"/>
                      <w:bCs w:val="0"/>
                      <w:color w:val="auto"/>
                      <w:vertAlign w:val="baseline"/>
                      <w:lang w:val="en-US" w:eastAsia="zh-CN"/>
                    </w:rPr>
                  </w:pPr>
                  <w:r>
                    <w:rPr>
                      <w:rFonts w:hint="eastAsia"/>
                      <w:b w:val="0"/>
                      <w:bCs w:val="0"/>
                      <w:color w:val="auto"/>
                      <w:vertAlign w:val="baseline"/>
                      <w:lang w:val="en-US" w:eastAsia="zh-CN"/>
                    </w:rPr>
                    <w:t>已建成原料车间、产品库，面积分别为</w:t>
                  </w:r>
                  <w:r>
                    <w:rPr>
                      <w:rFonts w:hint="eastAsia"/>
                      <w:color w:val="auto"/>
                    </w:rPr>
                    <w:t>5900m</w:t>
                  </w:r>
                  <w:r>
                    <w:rPr>
                      <w:rFonts w:hint="eastAsia"/>
                      <w:color w:val="auto"/>
                      <w:vertAlign w:val="superscript"/>
                    </w:rPr>
                    <w:t>2</w:t>
                  </w:r>
                  <w:r>
                    <w:rPr>
                      <w:rFonts w:hint="eastAsia"/>
                      <w:color w:val="auto"/>
                      <w:vertAlign w:val="baseline"/>
                      <w:lang w:eastAsia="zh-CN"/>
                    </w:rPr>
                    <w:t>、</w:t>
                  </w:r>
                  <w:r>
                    <w:rPr>
                      <w:rFonts w:hint="eastAsia"/>
                      <w:color w:val="auto"/>
                      <w:lang w:val="en-US" w:eastAsia="zh-CN"/>
                    </w:rPr>
                    <w:t>1400</w:t>
                  </w:r>
                  <w:r>
                    <w:rPr>
                      <w:rFonts w:hint="eastAsia"/>
                      <w:color w:val="auto"/>
                    </w:rPr>
                    <w:t>m</w:t>
                  </w:r>
                  <w:r>
                    <w:rPr>
                      <w:rFonts w:hint="eastAsia"/>
                      <w:color w:val="auto"/>
                      <w:vertAlign w:val="superscript"/>
                    </w:rPr>
                    <w:t>2</w:t>
                  </w:r>
                  <w:r>
                    <w:rPr>
                      <w:rFonts w:hint="eastAsia"/>
                      <w:color w:val="auto"/>
                      <w:vertAlign w:val="baseline"/>
                      <w:lang w:val="en-US" w:eastAsia="zh-CN"/>
                    </w:rPr>
                    <w:t>可满足原料和产品存储需求</w:t>
                  </w:r>
                </w:p>
              </w:tc>
              <w:tc>
                <w:tcPr>
                  <w:tcW w:w="1246" w:type="dxa"/>
                  <w:shd w:val="clear" w:color="auto" w:fill="auto"/>
                  <w:vAlign w:val="center"/>
                </w:tcPr>
                <w:p>
                  <w:pPr>
                    <w:pStyle w:val="19"/>
                    <w:bidi w:val="0"/>
                    <w:rPr>
                      <w:rFonts w:hint="default"/>
                      <w:b w:val="0"/>
                      <w:bCs w:val="0"/>
                      <w:color w:val="auto"/>
                      <w:vertAlign w:val="baseline"/>
                      <w:lang w:val="en-US" w:eastAsia="zh-CN"/>
                    </w:rPr>
                  </w:pPr>
                  <w:r>
                    <w:rPr>
                      <w:rFonts w:hint="eastAsia"/>
                      <w:b w:val="0"/>
                      <w:bCs w:val="0"/>
                      <w:color w:val="auto"/>
                      <w:vertAlign w:val="baseline"/>
                      <w:lang w:val="en-US" w:eastAsia="zh-CN"/>
                    </w:rPr>
                    <w:t>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1265"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供电系统</w:t>
                  </w:r>
                </w:p>
              </w:tc>
              <w:tc>
                <w:tcPr>
                  <w:tcW w:w="6083" w:type="dxa"/>
                  <w:shd w:val="clear" w:color="auto" w:fill="auto"/>
                  <w:vAlign w:val="center"/>
                </w:tcPr>
                <w:p>
                  <w:pPr>
                    <w:pStyle w:val="19"/>
                    <w:bidi w:val="0"/>
                    <w:rPr>
                      <w:rFonts w:hint="default"/>
                      <w:color w:val="auto"/>
                      <w:lang w:val="en-US" w:eastAsia="zh-CN"/>
                    </w:rPr>
                  </w:pPr>
                  <w:r>
                    <w:rPr>
                      <w:rFonts w:hint="eastAsia"/>
                      <w:color w:val="auto"/>
                      <w:lang w:val="en-US" w:eastAsia="zh-CN"/>
                    </w:rPr>
                    <w:t>园区现有供电系统完好，由市政供电管网供给，本项目年用电量约</w:t>
                  </w:r>
                  <w:r>
                    <w:rPr>
                      <w:rFonts w:hint="eastAsia"/>
                      <w:color w:val="auto"/>
                      <w:sz w:val="21"/>
                      <w:szCs w:val="21"/>
                      <w:highlight w:val="none"/>
                      <w:lang w:val="en-US" w:eastAsia="zh-CN"/>
                    </w:rPr>
                    <w:t>2200</w:t>
                  </w:r>
                  <w:r>
                    <w:rPr>
                      <w:color w:val="auto"/>
                      <w:sz w:val="21"/>
                      <w:szCs w:val="21"/>
                      <w:highlight w:val="none"/>
                    </w:rPr>
                    <w:t>×10</w:t>
                  </w:r>
                  <w:r>
                    <w:rPr>
                      <w:rFonts w:hint="eastAsia"/>
                      <w:color w:val="auto"/>
                      <w:sz w:val="21"/>
                      <w:szCs w:val="21"/>
                      <w:highlight w:val="none"/>
                      <w:vertAlign w:val="superscript"/>
                    </w:rPr>
                    <w:t>4</w:t>
                  </w:r>
                  <w:r>
                    <w:rPr>
                      <w:color w:val="auto"/>
                      <w:sz w:val="21"/>
                      <w:szCs w:val="21"/>
                      <w:highlight w:val="none"/>
                    </w:rPr>
                    <w:t>kWh</w:t>
                  </w:r>
                  <w:r>
                    <w:rPr>
                      <w:rFonts w:hint="eastAsia"/>
                      <w:color w:val="auto"/>
                      <w:sz w:val="21"/>
                      <w:szCs w:val="21"/>
                      <w:highlight w:val="none"/>
                      <w:lang w:val="en-US" w:eastAsia="zh-CN"/>
                    </w:rPr>
                    <w:t>/a</w:t>
                  </w:r>
                  <w:r>
                    <w:rPr>
                      <w:rFonts w:hint="eastAsia"/>
                      <w:color w:val="auto"/>
                      <w:lang w:val="en-US" w:eastAsia="zh-CN"/>
                    </w:rPr>
                    <w:t>，依托园区现有供电设施能够满足本项目需求</w:t>
                  </w:r>
                </w:p>
              </w:tc>
              <w:tc>
                <w:tcPr>
                  <w:tcW w:w="1246"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5"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供水系统</w:t>
                  </w:r>
                </w:p>
              </w:tc>
              <w:tc>
                <w:tcPr>
                  <w:tcW w:w="6083" w:type="dxa"/>
                  <w:shd w:val="clear" w:color="auto" w:fill="auto"/>
                  <w:vAlign w:val="center"/>
                </w:tcPr>
                <w:p>
                  <w:pPr>
                    <w:pStyle w:val="19"/>
                    <w:bidi w:val="0"/>
                    <w:rPr>
                      <w:rFonts w:hint="default"/>
                      <w:color w:val="auto"/>
                      <w:lang w:val="en-US" w:eastAsia="zh-CN"/>
                    </w:rPr>
                  </w:pPr>
                  <w:r>
                    <w:rPr>
                      <w:rFonts w:hint="eastAsia"/>
                      <w:color w:val="auto"/>
                      <w:lang w:val="en-US" w:eastAsia="zh-CN"/>
                    </w:rPr>
                    <w:t>供水由园区自来水公司供给，本项目日用水量约19.8m³，年用水量5940m³，依托园区现有供水设施能够满足本项目需求</w:t>
                  </w:r>
                </w:p>
              </w:tc>
              <w:tc>
                <w:tcPr>
                  <w:tcW w:w="1246"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依托可行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65"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排水系统</w:t>
                  </w:r>
                </w:p>
              </w:tc>
              <w:tc>
                <w:tcPr>
                  <w:tcW w:w="6083" w:type="dxa"/>
                  <w:shd w:val="clear" w:color="auto" w:fill="auto"/>
                  <w:vAlign w:val="center"/>
                </w:tcPr>
                <w:p>
                  <w:pPr>
                    <w:pStyle w:val="19"/>
                    <w:bidi w:val="0"/>
                    <w:rPr>
                      <w:rFonts w:hint="default"/>
                      <w:color w:val="auto"/>
                      <w:lang w:val="en-US" w:eastAsia="zh-CN"/>
                    </w:rPr>
                  </w:pPr>
                  <w:r>
                    <w:rPr>
                      <w:rFonts w:hint="eastAsia"/>
                      <w:color w:val="auto"/>
                      <w:lang w:val="en-US" w:eastAsia="zh-CN"/>
                    </w:rPr>
                    <w:t>依托厂区现有的雨、污水管网，不新增雨污水管网，满足本项目需求</w:t>
                  </w:r>
                </w:p>
              </w:tc>
              <w:tc>
                <w:tcPr>
                  <w:tcW w:w="1246"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依托可行</w:t>
                  </w:r>
                </w:p>
              </w:tc>
            </w:tr>
          </w:tbl>
          <w:p>
            <w:pPr>
              <w:bidi w:val="0"/>
            </w:pPr>
          </w:p>
          <w:p>
            <w:pPr>
              <w:spacing w:line="480" w:lineRule="exact"/>
              <w:ind w:left="0" w:leftChars="0" w:firstLine="0" w:firstLineChars="0"/>
              <w:rPr>
                <w:b/>
              </w:rPr>
            </w:pPr>
            <w:r>
              <w:rPr>
                <w:b/>
              </w:rPr>
              <w:t>3</w:t>
            </w:r>
            <w:r>
              <w:rPr>
                <w:rFonts w:hint="eastAsia"/>
                <w:b/>
              </w:rPr>
              <w:t>、产品及产能</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rPr>
            </w:pPr>
            <w:r>
              <w:rPr>
                <w:rFonts w:hint="eastAsia"/>
                <w:bCs/>
              </w:rPr>
              <w:t>项目建成后年产3万吨特殊钢铸件。具体产品及产能见下表2</w:t>
            </w:r>
            <w:r>
              <w:rPr>
                <w:bCs/>
              </w:rPr>
              <w:t>-</w:t>
            </w:r>
            <w:r>
              <w:rPr>
                <w:rFonts w:hint="eastAsia"/>
                <w:bCs/>
                <w:lang w:val="en-US" w:eastAsia="zh-CN"/>
              </w:rPr>
              <w:t>3</w:t>
            </w:r>
            <w:r>
              <w:rPr>
                <w:rFonts w:hint="eastAsia"/>
                <w:bCs/>
              </w:rPr>
              <w:t>。</w:t>
            </w:r>
          </w:p>
          <w:p>
            <w:pPr>
              <w:pStyle w:val="21"/>
            </w:pPr>
            <w:r>
              <w:rPr>
                <w:rFonts w:hint="eastAsia"/>
              </w:rPr>
              <w:t>表2</w:t>
            </w:r>
            <w:r>
              <w:t>-</w:t>
            </w:r>
            <w:r>
              <w:rPr>
                <w:rFonts w:hint="eastAsia"/>
                <w:lang w:val="en-US" w:eastAsia="zh-CN"/>
              </w:rPr>
              <w:t>3</w:t>
            </w:r>
            <w:r>
              <w:t xml:space="preserve">  </w:t>
            </w:r>
            <w:r>
              <w:rPr>
                <w:rFonts w:hint="eastAsia"/>
              </w:rPr>
              <w:t>项目产品及产能一览</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1"/>
              <w:gridCol w:w="2999"/>
              <w:gridCol w:w="1900"/>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pPr>
                    <w:pStyle w:val="19"/>
                    <w:jc w:val="both"/>
                    <w:rPr>
                      <w:b/>
                      <w:bCs/>
                    </w:rPr>
                  </w:pPr>
                  <w:r>
                    <w:rPr>
                      <w:b/>
                      <w:bCs/>
                    </w:rPr>
                    <w:t>序号</w:t>
                  </w:r>
                </w:p>
              </w:tc>
              <w:tc>
                <w:tcPr>
                  <w:tcW w:w="1743" w:type="pct"/>
                  <w:vAlign w:val="center"/>
                </w:tcPr>
                <w:p>
                  <w:pPr>
                    <w:pStyle w:val="19"/>
                    <w:jc w:val="both"/>
                    <w:rPr>
                      <w:b/>
                      <w:bCs/>
                    </w:rPr>
                  </w:pPr>
                  <w:r>
                    <w:rPr>
                      <w:b/>
                      <w:bCs/>
                    </w:rPr>
                    <w:t>产品名称</w:t>
                  </w:r>
                </w:p>
              </w:tc>
              <w:tc>
                <w:tcPr>
                  <w:tcW w:w="1104" w:type="pct"/>
                </w:tcPr>
                <w:p>
                  <w:pPr>
                    <w:pStyle w:val="19"/>
                    <w:jc w:val="both"/>
                    <w:rPr>
                      <w:b/>
                      <w:bCs/>
                    </w:rPr>
                  </w:pPr>
                  <w:r>
                    <w:rPr>
                      <w:rFonts w:hint="eastAsia"/>
                      <w:b/>
                      <w:bCs/>
                    </w:rPr>
                    <w:t>单位</w:t>
                  </w:r>
                </w:p>
              </w:tc>
              <w:tc>
                <w:tcPr>
                  <w:tcW w:w="1104" w:type="pct"/>
                  <w:vAlign w:val="center"/>
                </w:tcPr>
                <w:p>
                  <w:pPr>
                    <w:pStyle w:val="19"/>
                    <w:jc w:val="both"/>
                    <w:rPr>
                      <w:b/>
                      <w:bCs/>
                    </w:rPr>
                  </w:pPr>
                  <w:r>
                    <w:rPr>
                      <w:rFonts w:hint="eastAsia"/>
                      <w:b/>
                      <w:bCs/>
                    </w:rPr>
                    <w:t>设计产能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pPr>
                    <w:pStyle w:val="19"/>
                    <w:jc w:val="both"/>
                  </w:pPr>
                  <w:r>
                    <w:rPr>
                      <w:rFonts w:hint="eastAsia"/>
                    </w:rPr>
                    <w:t>1</w:t>
                  </w:r>
                </w:p>
              </w:tc>
              <w:tc>
                <w:tcPr>
                  <w:tcW w:w="1743" w:type="pct"/>
                  <w:vAlign w:val="center"/>
                </w:tcPr>
                <w:p>
                  <w:pPr>
                    <w:pStyle w:val="19"/>
                    <w:jc w:val="both"/>
                  </w:pPr>
                  <w:r>
                    <w:rPr>
                      <w:rFonts w:hint="eastAsia"/>
                    </w:rPr>
                    <w:t>高性能</w:t>
                  </w:r>
                  <w:r>
                    <w:t>热作模具</w:t>
                  </w:r>
                </w:p>
              </w:tc>
              <w:tc>
                <w:tcPr>
                  <w:tcW w:w="1104" w:type="pct"/>
                </w:tcPr>
                <w:p>
                  <w:pPr>
                    <w:pStyle w:val="19"/>
                    <w:jc w:val="both"/>
                  </w:pPr>
                  <w:r>
                    <w:rPr>
                      <w:rFonts w:hint="eastAsia"/>
                    </w:rPr>
                    <w:t>t/a</w:t>
                  </w:r>
                </w:p>
              </w:tc>
              <w:tc>
                <w:tcPr>
                  <w:tcW w:w="1104" w:type="pct"/>
                  <w:vAlign w:val="center"/>
                </w:tcPr>
                <w:p>
                  <w:pPr>
                    <w:pStyle w:val="19"/>
                    <w:jc w:val="both"/>
                  </w:pPr>
                  <w:r>
                    <w:t>10200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pPr>
                    <w:pStyle w:val="19"/>
                    <w:jc w:val="both"/>
                  </w:pPr>
                  <w:r>
                    <w:rPr>
                      <w:rFonts w:hint="eastAsia"/>
                    </w:rPr>
                    <w:t>2</w:t>
                  </w:r>
                </w:p>
              </w:tc>
              <w:tc>
                <w:tcPr>
                  <w:tcW w:w="1743" w:type="pct"/>
                  <w:vAlign w:val="center"/>
                </w:tcPr>
                <w:p>
                  <w:pPr>
                    <w:pStyle w:val="19"/>
                    <w:jc w:val="both"/>
                  </w:pPr>
                  <w:r>
                    <w:rPr>
                      <w:rFonts w:hint="eastAsia"/>
                    </w:rPr>
                    <w:t>高性能</w:t>
                  </w:r>
                  <w:r>
                    <w:t>冷作模具</w:t>
                  </w:r>
                </w:p>
              </w:tc>
              <w:tc>
                <w:tcPr>
                  <w:tcW w:w="1104" w:type="pct"/>
                </w:tcPr>
                <w:p>
                  <w:pPr>
                    <w:pStyle w:val="19"/>
                    <w:jc w:val="both"/>
                  </w:pPr>
                  <w:r>
                    <w:rPr>
                      <w:rFonts w:hint="eastAsia"/>
                    </w:rPr>
                    <w:t>t/a</w:t>
                  </w:r>
                </w:p>
              </w:tc>
              <w:tc>
                <w:tcPr>
                  <w:tcW w:w="1104" w:type="pct"/>
                  <w:vAlign w:val="center"/>
                </w:tcPr>
                <w:p>
                  <w:pPr>
                    <w:pStyle w:val="19"/>
                    <w:jc w:val="both"/>
                  </w:pPr>
                  <w:r>
                    <w:t>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pPr>
                    <w:pStyle w:val="19"/>
                    <w:jc w:val="both"/>
                  </w:pPr>
                  <w:r>
                    <w:rPr>
                      <w:rFonts w:hint="eastAsia"/>
                    </w:rPr>
                    <w:t>3</w:t>
                  </w:r>
                </w:p>
              </w:tc>
              <w:tc>
                <w:tcPr>
                  <w:tcW w:w="1743" w:type="pct"/>
                  <w:vAlign w:val="center"/>
                </w:tcPr>
                <w:p>
                  <w:pPr>
                    <w:pStyle w:val="19"/>
                    <w:jc w:val="both"/>
                  </w:pPr>
                  <w:r>
                    <w:rPr>
                      <w:rFonts w:hint="eastAsia"/>
                    </w:rPr>
                    <w:t>镜面</w:t>
                  </w:r>
                  <w:r>
                    <w:t>塑料模具</w:t>
                  </w:r>
                </w:p>
              </w:tc>
              <w:tc>
                <w:tcPr>
                  <w:tcW w:w="1104" w:type="pct"/>
                </w:tcPr>
                <w:p>
                  <w:pPr>
                    <w:pStyle w:val="19"/>
                    <w:jc w:val="both"/>
                  </w:pPr>
                  <w:r>
                    <w:rPr>
                      <w:rFonts w:hint="eastAsia"/>
                    </w:rPr>
                    <w:t>t/a</w:t>
                  </w:r>
                </w:p>
              </w:tc>
              <w:tc>
                <w:tcPr>
                  <w:tcW w:w="1104" w:type="pct"/>
                  <w:vAlign w:val="center"/>
                </w:tcPr>
                <w:p>
                  <w:pPr>
                    <w:pStyle w:val="19"/>
                    <w:jc w:val="both"/>
                  </w:pPr>
                  <w:r>
                    <w:t>1800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pPr>
                    <w:pStyle w:val="19"/>
                    <w:jc w:val="both"/>
                  </w:pPr>
                  <w:r>
                    <w:rPr>
                      <w:rFonts w:hint="eastAsia"/>
                    </w:rPr>
                    <w:t>4</w:t>
                  </w:r>
                </w:p>
              </w:tc>
              <w:tc>
                <w:tcPr>
                  <w:tcW w:w="1743" w:type="pct"/>
                  <w:vAlign w:val="center"/>
                </w:tcPr>
                <w:p>
                  <w:pPr>
                    <w:pStyle w:val="19"/>
                    <w:jc w:val="both"/>
                  </w:pPr>
                  <w:r>
                    <w:t>时效硬化模具</w:t>
                  </w:r>
                </w:p>
              </w:tc>
              <w:tc>
                <w:tcPr>
                  <w:tcW w:w="1104" w:type="pct"/>
                </w:tcPr>
                <w:p>
                  <w:pPr>
                    <w:pStyle w:val="19"/>
                    <w:jc w:val="both"/>
                  </w:pPr>
                  <w:r>
                    <w:rPr>
                      <w:rFonts w:hint="eastAsia"/>
                    </w:rPr>
                    <w:t>t/a</w:t>
                  </w:r>
                </w:p>
              </w:tc>
              <w:tc>
                <w:tcPr>
                  <w:tcW w:w="1104" w:type="pct"/>
                  <w:vAlign w:val="center"/>
                </w:tcPr>
                <w:p>
                  <w:pPr>
                    <w:pStyle w:val="19"/>
                    <w:jc w:val="both"/>
                  </w:pPr>
                  <w:r>
                    <w:rPr>
                      <w:rFonts w:hint="eastAsia"/>
                    </w:rPr>
                    <w:t>1</w:t>
                  </w:r>
                  <w: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pPr>
                    <w:pStyle w:val="19"/>
                    <w:jc w:val="both"/>
                  </w:pPr>
                  <w:r>
                    <w:rPr>
                      <w:rFonts w:hint="eastAsia"/>
                    </w:rPr>
                    <w:t>5</w:t>
                  </w:r>
                </w:p>
              </w:tc>
              <w:tc>
                <w:tcPr>
                  <w:tcW w:w="1743" w:type="pct"/>
                  <w:vAlign w:val="center"/>
                </w:tcPr>
                <w:p>
                  <w:pPr>
                    <w:pStyle w:val="19"/>
                    <w:jc w:val="both"/>
                  </w:pPr>
                  <w:r>
                    <w:t>冷轧辊</w:t>
                  </w:r>
                </w:p>
              </w:tc>
              <w:tc>
                <w:tcPr>
                  <w:tcW w:w="1104" w:type="pct"/>
                </w:tcPr>
                <w:p>
                  <w:pPr>
                    <w:pStyle w:val="19"/>
                    <w:jc w:val="both"/>
                  </w:pPr>
                  <w:r>
                    <w:rPr>
                      <w:rFonts w:hint="eastAsia"/>
                    </w:rPr>
                    <w:t>t/a</w:t>
                  </w:r>
                </w:p>
              </w:tc>
              <w:tc>
                <w:tcPr>
                  <w:tcW w:w="1104" w:type="pct"/>
                  <w:vAlign w:val="center"/>
                </w:tcPr>
                <w:p>
                  <w:pPr>
                    <w:pStyle w:val="19"/>
                    <w:jc w:val="both"/>
                  </w:pPr>
                  <w:r>
                    <w:rPr>
                      <w:rFonts w:hint="eastAsia"/>
                    </w:rPr>
                    <w:t>4</w:t>
                  </w:r>
                  <w: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pPr>
                    <w:pStyle w:val="19"/>
                    <w:jc w:val="both"/>
                  </w:pPr>
                  <w:r>
                    <w:rPr>
                      <w:rFonts w:hint="eastAsia"/>
                    </w:rPr>
                    <w:t>6</w:t>
                  </w:r>
                </w:p>
              </w:tc>
              <w:tc>
                <w:tcPr>
                  <w:tcW w:w="1743" w:type="pct"/>
                  <w:vAlign w:val="center"/>
                </w:tcPr>
                <w:p>
                  <w:pPr>
                    <w:pStyle w:val="19"/>
                    <w:jc w:val="both"/>
                  </w:pPr>
                  <w:r>
                    <w:t>石油阀箱</w:t>
                  </w:r>
                </w:p>
              </w:tc>
              <w:tc>
                <w:tcPr>
                  <w:tcW w:w="1104" w:type="pct"/>
                </w:tcPr>
                <w:p>
                  <w:pPr>
                    <w:pStyle w:val="19"/>
                    <w:jc w:val="both"/>
                  </w:pPr>
                  <w:r>
                    <w:rPr>
                      <w:rFonts w:hint="eastAsia"/>
                    </w:rPr>
                    <w:t>t/a</w:t>
                  </w:r>
                </w:p>
              </w:tc>
              <w:tc>
                <w:tcPr>
                  <w:tcW w:w="1104" w:type="pct"/>
                  <w:vAlign w:val="center"/>
                </w:tcPr>
                <w:p>
                  <w:pPr>
                    <w:pStyle w:val="19"/>
                    <w:jc w:val="both"/>
                  </w:pPr>
                  <w:r>
                    <w:rPr>
                      <w:rFonts w:hint="eastAsia"/>
                    </w:rPr>
                    <w:t>1</w:t>
                  </w:r>
                  <w: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pPr>
                    <w:pStyle w:val="19"/>
                    <w:jc w:val="both"/>
                  </w:pPr>
                  <w:r>
                    <w:rPr>
                      <w:rFonts w:hint="eastAsia"/>
                    </w:rPr>
                    <w:t>7</w:t>
                  </w:r>
                </w:p>
              </w:tc>
              <w:tc>
                <w:tcPr>
                  <w:tcW w:w="1743" w:type="pct"/>
                  <w:vAlign w:val="center"/>
                </w:tcPr>
                <w:p>
                  <w:pPr>
                    <w:pStyle w:val="19"/>
                    <w:jc w:val="both"/>
                  </w:pPr>
                  <w:r>
                    <w:t>其他锻件</w:t>
                  </w:r>
                </w:p>
              </w:tc>
              <w:tc>
                <w:tcPr>
                  <w:tcW w:w="1104" w:type="pct"/>
                </w:tcPr>
                <w:p>
                  <w:pPr>
                    <w:pStyle w:val="19"/>
                    <w:jc w:val="both"/>
                  </w:pPr>
                  <w:r>
                    <w:rPr>
                      <w:rFonts w:hint="eastAsia"/>
                    </w:rPr>
                    <w:t>t/a</w:t>
                  </w:r>
                </w:p>
              </w:tc>
              <w:tc>
                <w:tcPr>
                  <w:tcW w:w="1104" w:type="pct"/>
                  <w:vAlign w:val="center"/>
                </w:tcPr>
                <w:p>
                  <w:pPr>
                    <w:pStyle w:val="19"/>
                    <w:jc w:val="both"/>
                  </w:pPr>
                  <w:r>
                    <w:rPr>
                      <w:rFonts w:hint="eastAsia"/>
                    </w:rPr>
                    <w:t>7</w:t>
                  </w:r>
                  <w: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90" w:type="pct"/>
                  <w:gridSpan w:val="2"/>
                  <w:vAlign w:val="center"/>
                </w:tcPr>
                <w:p>
                  <w:pPr>
                    <w:pStyle w:val="19"/>
                    <w:jc w:val="both"/>
                  </w:pPr>
                  <w:r>
                    <w:t>合计</w:t>
                  </w:r>
                </w:p>
              </w:tc>
              <w:tc>
                <w:tcPr>
                  <w:tcW w:w="1104" w:type="pct"/>
                </w:tcPr>
                <w:p>
                  <w:pPr>
                    <w:pStyle w:val="19"/>
                    <w:jc w:val="both"/>
                  </w:pPr>
                  <w:r>
                    <w:rPr>
                      <w:rFonts w:hint="eastAsia"/>
                    </w:rPr>
                    <w:t>t/a</w:t>
                  </w:r>
                </w:p>
              </w:tc>
              <w:tc>
                <w:tcPr>
                  <w:tcW w:w="1104" w:type="pct"/>
                  <w:vAlign w:val="center"/>
                </w:tcPr>
                <w:p>
                  <w:pPr>
                    <w:pStyle w:val="19"/>
                    <w:jc w:val="both"/>
                  </w:pPr>
                  <w:r>
                    <w:rPr>
                      <w:rFonts w:hint="eastAsia"/>
                    </w:rPr>
                    <w:t>3</w:t>
                  </w:r>
                  <w:r>
                    <w:t>0000</w:t>
                  </w:r>
                </w:p>
              </w:tc>
            </w:tr>
          </w:tbl>
          <w:p>
            <w:pPr>
              <w:spacing w:line="480" w:lineRule="exact"/>
              <w:rPr>
                <w:bCs/>
              </w:rPr>
            </w:pPr>
          </w:p>
          <w:p>
            <w:pPr>
              <w:spacing w:line="480" w:lineRule="exact"/>
              <w:ind w:left="0" w:leftChars="0" w:firstLine="0" w:firstLineChars="0"/>
              <w:rPr>
                <w:b/>
              </w:rPr>
            </w:pPr>
            <w:r>
              <w:rPr>
                <w:rFonts w:hint="eastAsia"/>
                <w:b/>
              </w:rPr>
              <w:t>4、主要生产设施及参数</w:t>
            </w:r>
          </w:p>
          <w:p>
            <w:pPr>
              <w:spacing w:line="480" w:lineRule="exact"/>
              <w:rPr>
                <w:bCs/>
              </w:rPr>
            </w:pPr>
            <w:r>
              <w:rPr>
                <w:rFonts w:hint="eastAsia"/>
                <w:bCs/>
              </w:rPr>
              <w:t>项目主要生产设施及参数见表2</w:t>
            </w:r>
            <w:r>
              <w:rPr>
                <w:bCs/>
              </w:rPr>
              <w:t>-</w:t>
            </w:r>
            <w:r>
              <w:rPr>
                <w:rFonts w:hint="eastAsia"/>
                <w:bCs/>
                <w:lang w:val="en-US" w:eastAsia="zh-CN"/>
              </w:rPr>
              <w:t>4</w:t>
            </w:r>
            <w:r>
              <w:rPr>
                <w:rFonts w:hint="eastAsia"/>
                <w:bCs/>
              </w:rPr>
              <w:t>。</w:t>
            </w:r>
          </w:p>
          <w:p>
            <w:pPr>
              <w:pStyle w:val="21"/>
            </w:pPr>
            <w:r>
              <w:rPr>
                <w:rFonts w:hint="eastAsia"/>
              </w:rPr>
              <w:t>表2</w:t>
            </w:r>
            <w:r>
              <w:t>-</w:t>
            </w:r>
            <w:r>
              <w:rPr>
                <w:rFonts w:hint="eastAsia"/>
                <w:lang w:val="en-US" w:eastAsia="zh-CN"/>
              </w:rPr>
              <w:t>4</w:t>
            </w:r>
            <w:r>
              <w:t xml:space="preserve">  </w:t>
            </w:r>
            <w:r>
              <w:rPr>
                <w:rFonts w:hint="eastAsia"/>
              </w:rPr>
              <w:t>主要生产设施一览</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2202"/>
              <w:gridCol w:w="3696"/>
              <w:gridCol w:w="1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pct"/>
                  <w:tcBorders>
                    <w:top w:val="single" w:color="auto" w:sz="4" w:space="0"/>
                    <w:bottom w:val="single" w:color="auto" w:sz="4" w:space="0"/>
                  </w:tcBorders>
                  <w:shd w:val="clear" w:color="auto" w:fill="auto"/>
                  <w:vAlign w:val="center"/>
                </w:tcPr>
                <w:p>
                  <w:pPr>
                    <w:pStyle w:val="19"/>
                    <w:rPr>
                      <w:b/>
                      <w:sz w:val="21"/>
                      <w:szCs w:val="21"/>
                    </w:rPr>
                  </w:pPr>
                  <w:r>
                    <w:rPr>
                      <w:rFonts w:hint="eastAsia"/>
                      <w:b/>
                      <w:sz w:val="21"/>
                      <w:szCs w:val="21"/>
                    </w:rPr>
                    <w:t>序号</w:t>
                  </w:r>
                </w:p>
              </w:tc>
              <w:tc>
                <w:tcPr>
                  <w:tcW w:w="1280" w:type="pct"/>
                  <w:tcBorders>
                    <w:top w:val="single" w:color="auto" w:sz="4" w:space="0"/>
                    <w:bottom w:val="single" w:color="auto" w:sz="4" w:space="0"/>
                  </w:tcBorders>
                  <w:shd w:val="clear" w:color="auto" w:fill="auto"/>
                  <w:vAlign w:val="center"/>
                </w:tcPr>
                <w:p>
                  <w:pPr>
                    <w:pStyle w:val="19"/>
                    <w:rPr>
                      <w:b/>
                      <w:sz w:val="21"/>
                      <w:szCs w:val="21"/>
                    </w:rPr>
                  </w:pPr>
                  <w:r>
                    <w:rPr>
                      <w:rFonts w:hint="eastAsia"/>
                      <w:b/>
                      <w:sz w:val="21"/>
                      <w:szCs w:val="21"/>
                    </w:rPr>
                    <w:t>设备名称</w:t>
                  </w:r>
                </w:p>
              </w:tc>
              <w:tc>
                <w:tcPr>
                  <w:tcW w:w="2149" w:type="pct"/>
                  <w:tcBorders>
                    <w:top w:val="single" w:color="auto" w:sz="4" w:space="0"/>
                    <w:bottom w:val="single" w:color="auto" w:sz="4" w:space="0"/>
                  </w:tcBorders>
                  <w:shd w:val="clear" w:color="auto" w:fill="auto"/>
                  <w:vAlign w:val="center"/>
                </w:tcPr>
                <w:p>
                  <w:pPr>
                    <w:pStyle w:val="19"/>
                    <w:rPr>
                      <w:b/>
                      <w:sz w:val="21"/>
                      <w:szCs w:val="21"/>
                    </w:rPr>
                  </w:pPr>
                  <w:r>
                    <w:rPr>
                      <w:rFonts w:hint="eastAsia"/>
                      <w:b/>
                      <w:sz w:val="21"/>
                      <w:szCs w:val="21"/>
                    </w:rPr>
                    <w:t>规格型号</w:t>
                  </w:r>
                </w:p>
              </w:tc>
              <w:tc>
                <w:tcPr>
                  <w:tcW w:w="1111" w:type="pct"/>
                  <w:tcBorders>
                    <w:top w:val="single" w:color="auto" w:sz="4" w:space="0"/>
                    <w:bottom w:val="single" w:color="auto" w:sz="4" w:space="0"/>
                  </w:tcBorders>
                  <w:shd w:val="clear" w:color="auto" w:fill="auto"/>
                  <w:vAlign w:val="center"/>
                </w:tcPr>
                <w:p>
                  <w:pPr>
                    <w:pStyle w:val="19"/>
                    <w:rPr>
                      <w:rFonts w:hint="eastAsia" w:eastAsia="宋体"/>
                      <w:b/>
                      <w:sz w:val="21"/>
                      <w:szCs w:val="21"/>
                      <w:lang w:eastAsia="zh-CN"/>
                    </w:rPr>
                  </w:pPr>
                  <w:r>
                    <w:rPr>
                      <w:rFonts w:hint="eastAsia"/>
                      <w:b/>
                      <w:sz w:val="21"/>
                      <w:szCs w:val="21"/>
                    </w:rPr>
                    <w:t>数量</w:t>
                  </w:r>
                  <w:r>
                    <w:rPr>
                      <w:rFonts w:hint="eastAsia"/>
                      <w:b/>
                      <w:sz w:val="21"/>
                      <w:szCs w:val="21"/>
                      <w:lang w:eastAsia="zh-CN"/>
                    </w:rPr>
                    <w:t>(</w:t>
                  </w:r>
                  <w:r>
                    <w:rPr>
                      <w:rFonts w:hint="eastAsia"/>
                      <w:b/>
                      <w:sz w:val="21"/>
                      <w:szCs w:val="21"/>
                    </w:rPr>
                    <w:t>台/套</w:t>
                  </w:r>
                  <w:r>
                    <w:rPr>
                      <w:rFonts w:hint="eastAsia"/>
                      <w:b/>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1</w:t>
                  </w:r>
                </w:p>
              </w:tc>
              <w:tc>
                <w:tcPr>
                  <w:tcW w:w="128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lang w:val="en-US" w:eastAsia="zh-CN"/>
                    </w:rPr>
                    <w:t>电弧</w:t>
                  </w:r>
                  <w:r>
                    <w:rPr>
                      <w:rFonts w:hint="eastAsia"/>
                      <w:sz w:val="21"/>
                      <w:szCs w:val="21"/>
                    </w:rPr>
                    <w:t>炉</w:t>
                  </w:r>
                </w:p>
              </w:tc>
              <w:tc>
                <w:tcPr>
                  <w:tcW w:w="2149"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公称容量5</w:t>
                  </w:r>
                  <w:r>
                    <w:rPr>
                      <w:sz w:val="21"/>
                      <w:szCs w:val="21"/>
                    </w:rPr>
                    <w:t>0</w:t>
                  </w:r>
                  <w:r>
                    <w:rPr>
                      <w:rFonts w:hint="eastAsia"/>
                      <w:sz w:val="21"/>
                      <w:szCs w:val="21"/>
                    </w:rPr>
                    <w:t>t</w:t>
                  </w:r>
                </w:p>
              </w:tc>
              <w:tc>
                <w:tcPr>
                  <w:tcW w:w="1111"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2</w:t>
                  </w:r>
                </w:p>
              </w:tc>
              <w:tc>
                <w:tcPr>
                  <w:tcW w:w="128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LF炉</w:t>
                  </w:r>
                </w:p>
              </w:tc>
              <w:tc>
                <w:tcPr>
                  <w:tcW w:w="2149"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公称容量</w:t>
                  </w:r>
                  <w:r>
                    <w:rPr>
                      <w:sz w:val="21"/>
                      <w:szCs w:val="21"/>
                    </w:rPr>
                    <w:t>30</w:t>
                  </w:r>
                  <w:r>
                    <w:rPr>
                      <w:rFonts w:hint="eastAsia"/>
                      <w:sz w:val="21"/>
                      <w:szCs w:val="21"/>
                    </w:rPr>
                    <w:t>t</w:t>
                  </w:r>
                </w:p>
              </w:tc>
              <w:tc>
                <w:tcPr>
                  <w:tcW w:w="1111"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3</w:t>
                  </w:r>
                </w:p>
              </w:tc>
              <w:tc>
                <w:tcPr>
                  <w:tcW w:w="128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AOD炉</w:t>
                  </w:r>
                </w:p>
              </w:tc>
              <w:tc>
                <w:tcPr>
                  <w:tcW w:w="2149"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公称容量3</w:t>
                  </w:r>
                  <w:r>
                    <w:rPr>
                      <w:sz w:val="21"/>
                      <w:szCs w:val="21"/>
                    </w:rPr>
                    <w:t>0</w:t>
                  </w:r>
                  <w:r>
                    <w:rPr>
                      <w:rFonts w:hint="eastAsia"/>
                      <w:sz w:val="21"/>
                      <w:szCs w:val="21"/>
                    </w:rPr>
                    <w:t>t</w:t>
                  </w:r>
                </w:p>
              </w:tc>
              <w:tc>
                <w:tcPr>
                  <w:tcW w:w="1111"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4</w:t>
                  </w:r>
                </w:p>
              </w:tc>
              <w:tc>
                <w:tcPr>
                  <w:tcW w:w="128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VOD炉</w:t>
                  </w:r>
                </w:p>
              </w:tc>
              <w:tc>
                <w:tcPr>
                  <w:tcW w:w="2149"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公称容量</w:t>
                  </w:r>
                  <w:r>
                    <w:rPr>
                      <w:sz w:val="21"/>
                      <w:szCs w:val="21"/>
                    </w:rPr>
                    <w:t>30</w:t>
                  </w:r>
                  <w:r>
                    <w:rPr>
                      <w:rFonts w:hint="eastAsia"/>
                      <w:sz w:val="21"/>
                      <w:szCs w:val="21"/>
                    </w:rPr>
                    <w:t>t</w:t>
                  </w:r>
                </w:p>
              </w:tc>
              <w:tc>
                <w:tcPr>
                  <w:tcW w:w="1111"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46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5</w:t>
                  </w:r>
                </w:p>
              </w:tc>
              <w:tc>
                <w:tcPr>
                  <w:tcW w:w="1280" w:type="pct"/>
                  <w:tcBorders>
                    <w:top w:val="single" w:color="auto" w:sz="4" w:space="0"/>
                    <w:bottom w:val="single" w:color="auto" w:sz="4" w:space="0"/>
                  </w:tcBorders>
                  <w:shd w:val="clear" w:color="auto" w:fill="auto"/>
                  <w:vAlign w:val="center"/>
                </w:tcPr>
                <w:p>
                  <w:pPr>
                    <w:pStyle w:val="19"/>
                    <w:rPr>
                      <w:rFonts w:hint="eastAsia" w:eastAsia="宋体"/>
                      <w:sz w:val="21"/>
                      <w:szCs w:val="21"/>
                      <w:lang w:eastAsia="zh-CN"/>
                    </w:rPr>
                  </w:pPr>
                  <w:r>
                    <w:rPr>
                      <w:rFonts w:hint="eastAsia"/>
                      <w:sz w:val="21"/>
                      <w:szCs w:val="21"/>
                      <w:lang w:eastAsia="zh-CN"/>
                    </w:rPr>
                    <w:t>合金熔融炉</w:t>
                  </w:r>
                </w:p>
              </w:tc>
              <w:tc>
                <w:tcPr>
                  <w:tcW w:w="2149"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公称容量5t</w:t>
                  </w:r>
                </w:p>
              </w:tc>
              <w:tc>
                <w:tcPr>
                  <w:tcW w:w="1111"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6</w:t>
                  </w:r>
                </w:p>
              </w:tc>
              <w:tc>
                <w:tcPr>
                  <w:tcW w:w="128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lang w:val="en-US" w:eastAsia="zh-CN"/>
                    </w:rPr>
                    <w:t>热处理</w:t>
                  </w:r>
                  <w:r>
                    <w:rPr>
                      <w:rFonts w:hint="eastAsia"/>
                      <w:sz w:val="21"/>
                      <w:szCs w:val="21"/>
                    </w:rPr>
                    <w:t>炉</w:t>
                  </w:r>
                </w:p>
              </w:tc>
              <w:tc>
                <w:tcPr>
                  <w:tcW w:w="2149" w:type="pct"/>
                  <w:tcBorders>
                    <w:top w:val="single" w:color="auto" w:sz="4" w:space="0"/>
                    <w:bottom w:val="single" w:color="auto" w:sz="4" w:space="0"/>
                  </w:tcBorders>
                  <w:shd w:val="clear" w:color="auto" w:fill="auto"/>
                  <w:vAlign w:val="center"/>
                </w:tcPr>
                <w:p>
                  <w:pPr>
                    <w:pStyle w:val="19"/>
                    <w:rPr>
                      <w:sz w:val="21"/>
                      <w:szCs w:val="21"/>
                    </w:rPr>
                  </w:pPr>
                  <w:r>
                    <w:rPr>
                      <w:sz w:val="21"/>
                      <w:szCs w:val="21"/>
                    </w:rPr>
                    <w:t>燃气式台车</w:t>
                  </w:r>
                  <w:r>
                    <w:rPr>
                      <w:rFonts w:hint="eastAsia"/>
                      <w:sz w:val="21"/>
                      <w:szCs w:val="21"/>
                      <w:lang w:val="en-US" w:eastAsia="zh-CN"/>
                    </w:rPr>
                    <w:t>热处理</w:t>
                  </w:r>
                  <w:r>
                    <w:rPr>
                      <w:rFonts w:hint="eastAsia"/>
                      <w:sz w:val="21"/>
                      <w:szCs w:val="21"/>
                    </w:rPr>
                    <w:t>炉</w:t>
                  </w:r>
                  <w:r>
                    <w:rPr>
                      <w:sz w:val="21"/>
                      <w:szCs w:val="21"/>
                    </w:rPr>
                    <w:t>，4×5×2.2m</w:t>
                  </w:r>
                </w:p>
              </w:tc>
              <w:tc>
                <w:tcPr>
                  <w:tcW w:w="1111" w:type="pct"/>
                  <w:tcBorders>
                    <w:top w:val="single" w:color="auto" w:sz="4" w:space="0"/>
                    <w:bottom w:val="single" w:color="auto" w:sz="4" w:space="0"/>
                  </w:tcBorders>
                  <w:shd w:val="clear" w:color="auto" w:fill="auto"/>
                  <w:vAlign w:val="center"/>
                </w:tcPr>
                <w:p>
                  <w:pPr>
                    <w:pStyle w:val="19"/>
                    <w:rPr>
                      <w:sz w:val="21"/>
                      <w:szCs w:val="21"/>
                    </w:rPr>
                  </w:pPr>
                  <w:r>
                    <w:rPr>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7</w:t>
                  </w:r>
                </w:p>
              </w:tc>
              <w:tc>
                <w:tcPr>
                  <w:tcW w:w="128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lang w:val="en-US" w:eastAsia="zh-CN"/>
                    </w:rPr>
                    <w:t>浇</w:t>
                  </w:r>
                  <w:r>
                    <w:rPr>
                      <w:sz w:val="21"/>
                      <w:szCs w:val="21"/>
                    </w:rPr>
                    <w:t>铸</w:t>
                  </w:r>
                </w:p>
              </w:tc>
              <w:tc>
                <w:tcPr>
                  <w:tcW w:w="2149"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1</w:t>
                  </w:r>
                  <w:r>
                    <w:rPr>
                      <w:sz w:val="21"/>
                      <w:szCs w:val="21"/>
                    </w:rPr>
                    <w:t>0工位</w:t>
                  </w:r>
                </w:p>
              </w:tc>
              <w:tc>
                <w:tcPr>
                  <w:tcW w:w="1111"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8</w:t>
                  </w:r>
                </w:p>
              </w:tc>
              <w:tc>
                <w:tcPr>
                  <w:tcW w:w="1280"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锻压机</w:t>
                  </w:r>
                </w:p>
              </w:tc>
              <w:tc>
                <w:tcPr>
                  <w:tcW w:w="2149" w:type="pct"/>
                  <w:tcBorders>
                    <w:top w:val="single" w:color="auto" w:sz="4" w:space="0"/>
                    <w:bottom w:val="single" w:color="auto" w:sz="4" w:space="0"/>
                  </w:tcBorders>
                  <w:shd w:val="clear" w:color="auto" w:fill="auto"/>
                  <w:vAlign w:val="center"/>
                </w:tcPr>
                <w:p>
                  <w:pPr>
                    <w:pStyle w:val="19"/>
                    <w:rPr>
                      <w:sz w:val="21"/>
                      <w:szCs w:val="21"/>
                    </w:rPr>
                  </w:pPr>
                  <w:r>
                    <w:rPr>
                      <w:sz w:val="21"/>
                      <w:szCs w:val="21"/>
                    </w:rPr>
                    <w:t>5000</w:t>
                  </w:r>
                  <w:r>
                    <w:rPr>
                      <w:rFonts w:hint="eastAsia"/>
                      <w:sz w:val="21"/>
                      <w:szCs w:val="21"/>
                    </w:rPr>
                    <w:t>t</w:t>
                  </w:r>
                </w:p>
              </w:tc>
              <w:tc>
                <w:tcPr>
                  <w:tcW w:w="1111" w:type="pct"/>
                  <w:tcBorders>
                    <w:top w:val="single" w:color="auto" w:sz="4" w:space="0"/>
                    <w:bottom w:val="single" w:color="auto" w:sz="4" w:space="0"/>
                  </w:tcBorders>
                  <w:shd w:val="clear" w:color="auto" w:fill="auto"/>
                  <w:vAlign w:val="center"/>
                </w:tcPr>
                <w:p>
                  <w:pPr>
                    <w:pStyle w:val="19"/>
                    <w:rPr>
                      <w:sz w:val="21"/>
                      <w:szCs w:val="21"/>
                    </w:rPr>
                  </w:pPr>
                  <w:r>
                    <w:rPr>
                      <w:rFonts w:hint="eastAsia"/>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0" w:type="pct"/>
                  <w:tcBorders>
                    <w:top w:val="single" w:color="auto" w:sz="4" w:space="0"/>
                  </w:tcBorders>
                  <w:shd w:val="clear" w:color="auto" w:fill="auto"/>
                  <w:vAlign w:val="center"/>
                </w:tcPr>
                <w:p>
                  <w:pPr>
                    <w:pStyle w:val="19"/>
                    <w:rPr>
                      <w:sz w:val="21"/>
                      <w:szCs w:val="21"/>
                    </w:rPr>
                  </w:pPr>
                  <w:r>
                    <w:rPr>
                      <w:rFonts w:hint="eastAsia"/>
                      <w:sz w:val="21"/>
                      <w:szCs w:val="21"/>
                    </w:rPr>
                    <w:t>9</w:t>
                  </w:r>
                </w:p>
              </w:tc>
              <w:tc>
                <w:tcPr>
                  <w:tcW w:w="1280" w:type="pct"/>
                  <w:tcBorders>
                    <w:top w:val="single" w:color="auto" w:sz="4" w:space="0"/>
                  </w:tcBorders>
                  <w:shd w:val="clear" w:color="auto" w:fill="auto"/>
                  <w:vAlign w:val="center"/>
                </w:tcPr>
                <w:p>
                  <w:pPr>
                    <w:pStyle w:val="19"/>
                    <w:rPr>
                      <w:sz w:val="21"/>
                      <w:szCs w:val="21"/>
                    </w:rPr>
                  </w:pPr>
                  <w:r>
                    <w:rPr>
                      <w:rFonts w:hint="eastAsia"/>
                      <w:sz w:val="21"/>
                      <w:szCs w:val="21"/>
                    </w:rPr>
                    <w:t>快锻机</w:t>
                  </w:r>
                </w:p>
              </w:tc>
              <w:tc>
                <w:tcPr>
                  <w:tcW w:w="2149" w:type="pct"/>
                  <w:tcBorders>
                    <w:top w:val="single" w:color="auto" w:sz="4" w:space="0"/>
                  </w:tcBorders>
                  <w:shd w:val="clear" w:color="auto" w:fill="auto"/>
                  <w:vAlign w:val="center"/>
                </w:tcPr>
                <w:p>
                  <w:pPr>
                    <w:pStyle w:val="19"/>
                    <w:rPr>
                      <w:sz w:val="21"/>
                      <w:szCs w:val="21"/>
                    </w:rPr>
                  </w:pPr>
                  <w:r>
                    <w:rPr>
                      <w:sz w:val="21"/>
                      <w:szCs w:val="21"/>
                    </w:rPr>
                    <w:t>1</w:t>
                  </w:r>
                  <w:r>
                    <w:rPr>
                      <w:rFonts w:hint="eastAsia"/>
                      <w:sz w:val="21"/>
                      <w:szCs w:val="21"/>
                    </w:rPr>
                    <w:t>8t</w:t>
                  </w:r>
                </w:p>
              </w:tc>
              <w:tc>
                <w:tcPr>
                  <w:tcW w:w="1111" w:type="pct"/>
                  <w:tcBorders>
                    <w:top w:val="single" w:color="auto" w:sz="4" w:space="0"/>
                  </w:tcBorders>
                  <w:shd w:val="clear" w:color="auto" w:fill="auto"/>
                  <w:vAlign w:val="center"/>
                </w:tcPr>
                <w:p>
                  <w:pPr>
                    <w:pStyle w:val="19"/>
                    <w:rPr>
                      <w:sz w:val="21"/>
                      <w:szCs w:val="21"/>
                    </w:rPr>
                  </w:pPr>
                  <w:r>
                    <w:rPr>
                      <w:rFonts w:hint="eastAsia"/>
                      <w:sz w:val="21"/>
                      <w:szCs w:val="21"/>
                    </w:rPr>
                    <w:t>1</w:t>
                  </w:r>
                </w:p>
              </w:tc>
            </w:tr>
          </w:tbl>
          <w:p>
            <w:pPr>
              <w:spacing w:line="480" w:lineRule="exact"/>
              <w:rPr>
                <w:bCs/>
              </w:rPr>
            </w:pPr>
          </w:p>
          <w:p>
            <w:pPr>
              <w:spacing w:line="480" w:lineRule="exact"/>
              <w:rPr>
                <w:bCs/>
              </w:rPr>
            </w:pPr>
            <w:r>
              <w:rPr>
                <w:rFonts w:hint="eastAsia"/>
                <w:bCs/>
              </w:rPr>
              <w:t>主要生产设施与产能匹配性分析：</w:t>
            </w:r>
          </w:p>
          <w:p>
            <w:pPr>
              <w:spacing w:line="480" w:lineRule="exact"/>
              <w:ind w:firstLine="482"/>
              <w:rPr>
                <w:bCs/>
              </w:rPr>
            </w:pPr>
            <w:r>
              <w:rPr>
                <w:rFonts w:hint="eastAsia"/>
                <w:b/>
              </w:rPr>
              <w:t>电弧炉：</w:t>
            </w:r>
            <w:r>
              <w:rPr>
                <w:rFonts w:hint="eastAsia"/>
                <w:bCs/>
              </w:rPr>
              <w:t>项目废钢年消耗量约33000t</w:t>
            </w:r>
            <w:r>
              <w:rPr>
                <w:bCs/>
              </w:rPr>
              <w:t>/</w:t>
            </w:r>
            <w:r>
              <w:rPr>
                <w:rFonts w:hint="eastAsia"/>
                <w:bCs/>
              </w:rPr>
              <w:t>a</w:t>
            </w:r>
            <w:r>
              <w:rPr>
                <w:rFonts w:hint="eastAsia"/>
                <w:bCs/>
                <w:lang w:eastAsia="zh-CN"/>
              </w:rPr>
              <w:t>(</w:t>
            </w:r>
            <w:r>
              <w:rPr>
                <w:rFonts w:hint="eastAsia"/>
                <w:bCs/>
              </w:rPr>
              <w:t>烧损率按10%</w:t>
            </w:r>
            <w:r>
              <w:rPr>
                <w:rFonts w:hint="eastAsia"/>
                <w:bCs/>
                <w:lang w:val="en-US" w:eastAsia="zh-CN"/>
              </w:rPr>
              <w:t>计</w:t>
            </w:r>
            <w:r>
              <w:rPr>
                <w:rFonts w:hint="eastAsia"/>
                <w:bCs/>
                <w:lang w:eastAsia="zh-CN"/>
              </w:rPr>
              <w:t>)</w:t>
            </w:r>
            <w:r>
              <w:rPr>
                <w:rFonts w:hint="eastAsia"/>
                <w:bCs/>
              </w:rPr>
              <w:t>，年运行300d，每天需熔炼废钢110t。电弧炉炉容为50t，平均入炉料为40t/炉，每炉熔化时间4h，则电弧炉每天工作12</w:t>
            </w:r>
            <w:r>
              <w:rPr>
                <w:rFonts w:hint="eastAsia"/>
                <w:bCs/>
                <w:lang w:val="en-US" w:eastAsia="zh-CN"/>
              </w:rPr>
              <w:t>h</w:t>
            </w:r>
            <w:r>
              <w:rPr>
                <w:rFonts w:hint="eastAsia"/>
                <w:bCs/>
              </w:rPr>
              <w:t>即可达产。</w:t>
            </w:r>
          </w:p>
          <w:p>
            <w:pPr>
              <w:spacing w:line="480" w:lineRule="exact"/>
              <w:ind w:firstLine="482"/>
              <w:rPr>
                <w:rFonts w:hint="eastAsia"/>
                <w:bCs/>
                <w:color w:val="auto"/>
              </w:rPr>
            </w:pPr>
            <w:r>
              <w:rPr>
                <w:rFonts w:hint="eastAsia"/>
                <w:b/>
                <w:color w:val="auto"/>
              </w:rPr>
              <w:t>AOD炉：</w:t>
            </w:r>
            <w:r>
              <w:rPr>
                <w:rFonts w:hint="eastAsia"/>
                <w:bCs/>
                <w:color w:val="auto"/>
              </w:rPr>
              <w:t>项目年产30000t</w:t>
            </w:r>
            <w:r>
              <w:rPr>
                <w:rFonts w:hint="eastAsia"/>
                <w:bCs/>
                <w:color w:val="auto"/>
                <w:lang w:val="en-US" w:eastAsia="zh-CN"/>
              </w:rPr>
              <w:t>特殊钢</w:t>
            </w:r>
            <w:r>
              <w:rPr>
                <w:rFonts w:hint="eastAsia"/>
                <w:bCs/>
                <w:color w:val="auto"/>
              </w:rPr>
              <w:t>铸件，</w:t>
            </w:r>
            <w:r>
              <w:rPr>
                <w:rFonts w:hint="eastAsia"/>
                <w:bCs/>
                <w:color w:val="auto"/>
                <w:lang w:val="en-US" w:eastAsia="zh-CN"/>
              </w:rPr>
              <w:t>全部需要</w:t>
            </w:r>
            <w:r>
              <w:rPr>
                <w:rFonts w:hint="eastAsia"/>
                <w:bCs/>
                <w:color w:val="auto"/>
              </w:rPr>
              <w:t>经AOD炉脱硫除磷</w:t>
            </w:r>
            <w:r>
              <w:rPr>
                <w:rFonts w:hint="eastAsia"/>
                <w:bCs/>
                <w:color w:val="auto"/>
                <w:lang w:eastAsia="zh-CN"/>
              </w:rPr>
              <w:t>，</w:t>
            </w:r>
            <w:r>
              <w:rPr>
                <w:rFonts w:hint="eastAsia"/>
                <w:bCs/>
                <w:color w:val="auto"/>
              </w:rPr>
              <w:t>年</w:t>
            </w:r>
            <w:r>
              <w:rPr>
                <w:rFonts w:hint="eastAsia"/>
                <w:bCs/>
                <w:color w:val="auto"/>
                <w:lang w:val="en-US" w:eastAsia="zh-CN"/>
              </w:rPr>
              <w:t>运行</w:t>
            </w:r>
            <w:r>
              <w:rPr>
                <w:rFonts w:hint="eastAsia"/>
                <w:bCs/>
                <w:color w:val="auto"/>
              </w:rPr>
              <w:t>300d，每天需处理84t合金。AOD炉容为30t，每炉熔化时间3h，则</w:t>
            </w:r>
            <w:r>
              <w:rPr>
                <w:rFonts w:hint="eastAsia"/>
                <w:bCs/>
                <w:color w:val="auto"/>
                <w:lang w:val="en-US" w:eastAsia="zh-CN"/>
              </w:rPr>
              <w:t>AOD</w:t>
            </w:r>
            <w:r>
              <w:rPr>
                <w:rFonts w:hint="eastAsia"/>
                <w:bCs/>
                <w:color w:val="auto"/>
              </w:rPr>
              <w:t>炉每天工作9</w:t>
            </w:r>
            <w:r>
              <w:rPr>
                <w:rFonts w:hint="eastAsia"/>
                <w:bCs/>
                <w:color w:val="auto"/>
                <w:lang w:val="en-US" w:eastAsia="zh-CN"/>
              </w:rPr>
              <w:t>h</w:t>
            </w:r>
            <w:r>
              <w:rPr>
                <w:rFonts w:hint="eastAsia"/>
                <w:bCs/>
                <w:color w:val="auto"/>
              </w:rPr>
              <w:t>即可达产。</w:t>
            </w:r>
          </w:p>
          <w:p>
            <w:pPr>
              <w:spacing w:line="480" w:lineRule="exact"/>
              <w:ind w:firstLine="482"/>
              <w:rPr>
                <w:bCs/>
              </w:rPr>
            </w:pPr>
            <w:r>
              <w:rPr>
                <w:rFonts w:hint="eastAsia"/>
                <w:b/>
              </w:rPr>
              <w:t>LF炉：</w:t>
            </w:r>
            <w:r>
              <w:rPr>
                <w:rFonts w:hint="eastAsia"/>
                <w:bCs/>
              </w:rPr>
              <w:t>项目年产30000t</w:t>
            </w:r>
            <w:r>
              <w:rPr>
                <w:rFonts w:hint="eastAsia"/>
                <w:bCs/>
                <w:color w:val="auto"/>
                <w:lang w:val="en-US" w:eastAsia="zh-CN"/>
              </w:rPr>
              <w:t>特殊钢</w:t>
            </w:r>
            <w:r>
              <w:rPr>
                <w:rFonts w:hint="eastAsia"/>
                <w:bCs/>
                <w:color w:val="auto"/>
              </w:rPr>
              <w:t>铸件</w:t>
            </w:r>
            <w:r>
              <w:rPr>
                <w:rFonts w:hint="eastAsia"/>
                <w:bCs/>
              </w:rPr>
              <w:t>，</w:t>
            </w:r>
            <w:r>
              <w:rPr>
                <w:rFonts w:hint="eastAsia"/>
                <w:bCs/>
                <w:lang w:val="en-US" w:eastAsia="zh-CN"/>
              </w:rPr>
              <w:t>约15000t</w:t>
            </w:r>
            <w:r>
              <w:rPr>
                <w:rFonts w:hint="eastAsia"/>
                <w:bCs/>
              </w:rPr>
              <w:t>需要</w:t>
            </w:r>
            <w:r>
              <w:rPr>
                <w:rFonts w:hint="eastAsia"/>
                <w:bCs/>
                <w:lang w:val="en-US" w:eastAsia="zh-CN"/>
              </w:rPr>
              <w:t>LF炉</w:t>
            </w:r>
            <w:r>
              <w:rPr>
                <w:rFonts w:hint="eastAsia"/>
                <w:bCs/>
              </w:rPr>
              <w:t>精炼。项目年工作300d，每天需精炼钢水100t。项目配套1座LF炉，处理能力为30t，单炉钢处理时间2.5h，则LF炉每天工作10</w:t>
            </w:r>
            <w:r>
              <w:rPr>
                <w:rFonts w:hint="eastAsia"/>
                <w:bCs/>
                <w:lang w:val="en-US" w:eastAsia="zh-CN"/>
              </w:rPr>
              <w:t>h</w:t>
            </w:r>
            <w:r>
              <w:rPr>
                <w:rFonts w:hint="eastAsia"/>
                <w:bCs/>
              </w:rPr>
              <w:t>即可达产。</w:t>
            </w:r>
          </w:p>
          <w:p>
            <w:pPr>
              <w:spacing w:line="480" w:lineRule="exact"/>
              <w:ind w:firstLine="482"/>
              <w:rPr>
                <w:bCs/>
              </w:rPr>
            </w:pPr>
            <w:r>
              <w:rPr>
                <w:rFonts w:hint="eastAsia"/>
                <w:b/>
              </w:rPr>
              <w:t>VOD炉：</w:t>
            </w:r>
            <w:r>
              <w:rPr>
                <w:rFonts w:hint="eastAsia"/>
                <w:bCs/>
              </w:rPr>
              <w:t>项目年产30000t铸件，</w:t>
            </w:r>
            <w:r>
              <w:rPr>
                <w:rFonts w:hint="eastAsia"/>
                <w:bCs/>
                <w:lang w:val="en-US" w:eastAsia="zh-CN"/>
              </w:rPr>
              <w:t>约15000t</w:t>
            </w:r>
            <w:r>
              <w:rPr>
                <w:rFonts w:hint="eastAsia"/>
                <w:bCs/>
              </w:rPr>
              <w:t>需要</w:t>
            </w:r>
            <w:r>
              <w:rPr>
                <w:rFonts w:hint="eastAsia"/>
                <w:bCs/>
                <w:lang w:val="en-US" w:eastAsia="zh-CN"/>
              </w:rPr>
              <w:t>VOD炉</w:t>
            </w:r>
            <w:r>
              <w:rPr>
                <w:rFonts w:hint="eastAsia"/>
                <w:bCs/>
              </w:rPr>
              <w:t>真空脱气。项目年工作300d，每天需精炼钢水100t。项目配套1座VOD炉，处理能力为30</w:t>
            </w:r>
            <w:r>
              <w:rPr>
                <w:rFonts w:hint="eastAsia"/>
                <w:bCs/>
                <w:lang w:val="en-US" w:eastAsia="zh-CN"/>
              </w:rPr>
              <w:t>t</w:t>
            </w:r>
            <w:r>
              <w:rPr>
                <w:rFonts w:hint="eastAsia"/>
                <w:bCs/>
              </w:rPr>
              <w:t>，单炉钢处理时间2h，则VOD炉每天工作8</w:t>
            </w:r>
            <w:r>
              <w:rPr>
                <w:rFonts w:hint="eastAsia"/>
                <w:bCs/>
                <w:lang w:val="en-US" w:eastAsia="zh-CN"/>
              </w:rPr>
              <w:t>h</w:t>
            </w:r>
            <w:r>
              <w:rPr>
                <w:rFonts w:hint="eastAsia"/>
                <w:bCs/>
              </w:rPr>
              <w:t>即可达产。</w:t>
            </w:r>
          </w:p>
          <w:p>
            <w:pPr>
              <w:spacing w:line="480" w:lineRule="exact"/>
              <w:ind w:firstLine="482"/>
              <w:rPr>
                <w:bCs/>
              </w:rPr>
            </w:pPr>
            <w:r>
              <w:rPr>
                <w:rFonts w:hint="eastAsia"/>
                <w:b/>
                <w:lang w:eastAsia="zh-CN"/>
              </w:rPr>
              <w:t>合金熔融炉</w:t>
            </w:r>
            <w:r>
              <w:rPr>
                <w:rFonts w:hint="eastAsia"/>
                <w:b/>
              </w:rPr>
              <w:t>：</w:t>
            </w:r>
            <w:r>
              <w:rPr>
                <w:rFonts w:hint="eastAsia"/>
                <w:bCs/>
              </w:rPr>
              <w:t>用于熔化合金原料，合金原料年使用量为</w:t>
            </w:r>
            <w:r>
              <w:rPr>
                <w:bCs/>
              </w:rPr>
              <w:t>375</w:t>
            </w:r>
            <w:r>
              <w:rPr>
                <w:rFonts w:hint="eastAsia"/>
                <w:bCs/>
              </w:rPr>
              <w:t>0t</w:t>
            </w:r>
            <w:r>
              <w:rPr>
                <w:rFonts w:hint="eastAsia"/>
                <w:bCs/>
                <w:lang w:eastAsia="zh-CN"/>
              </w:rPr>
              <w:t>(</w:t>
            </w:r>
            <w:r>
              <w:rPr>
                <w:rFonts w:hint="eastAsia"/>
                <w:bCs/>
              </w:rPr>
              <w:t>烧损率按0.05%</w:t>
            </w:r>
            <w:r>
              <w:rPr>
                <w:rFonts w:hint="eastAsia"/>
                <w:bCs/>
                <w:lang w:val="en-US" w:eastAsia="zh-CN"/>
              </w:rPr>
              <w:t>计</w:t>
            </w:r>
            <w:r>
              <w:rPr>
                <w:rFonts w:hint="eastAsia"/>
                <w:bCs/>
                <w:lang w:eastAsia="zh-CN"/>
              </w:rPr>
              <w:t>)</w:t>
            </w:r>
            <w:r>
              <w:rPr>
                <w:rFonts w:hint="eastAsia"/>
                <w:bCs/>
              </w:rPr>
              <w:t>，项目年工作300</w:t>
            </w:r>
            <w:r>
              <w:rPr>
                <w:rFonts w:hint="eastAsia"/>
                <w:bCs/>
                <w:lang w:val="en-US" w:eastAsia="zh-CN"/>
              </w:rPr>
              <w:t>d</w:t>
            </w:r>
            <w:r>
              <w:rPr>
                <w:rFonts w:hint="eastAsia"/>
                <w:bCs/>
              </w:rPr>
              <w:t>，每天需熔炼合金约13t。</w:t>
            </w:r>
            <w:r>
              <w:rPr>
                <w:rFonts w:hint="eastAsia"/>
                <w:bCs/>
                <w:lang w:eastAsia="zh-CN"/>
              </w:rPr>
              <w:t>合金熔融炉</w:t>
            </w:r>
            <w:r>
              <w:rPr>
                <w:rFonts w:hint="eastAsia"/>
                <w:bCs/>
              </w:rPr>
              <w:t>炉容为5t，每炉平均熔化时间3h，则</w:t>
            </w:r>
            <w:r>
              <w:rPr>
                <w:rFonts w:hint="eastAsia"/>
                <w:bCs/>
                <w:lang w:eastAsia="zh-CN"/>
              </w:rPr>
              <w:t>合金熔融炉</w:t>
            </w:r>
            <w:r>
              <w:rPr>
                <w:rFonts w:hint="eastAsia"/>
                <w:bCs/>
              </w:rPr>
              <w:t>每天工作9</w:t>
            </w:r>
            <w:r>
              <w:rPr>
                <w:rFonts w:hint="eastAsia"/>
                <w:bCs/>
                <w:lang w:val="en-US" w:eastAsia="zh-CN"/>
              </w:rPr>
              <w:t>h</w:t>
            </w:r>
            <w:r>
              <w:rPr>
                <w:rFonts w:hint="eastAsia"/>
                <w:bCs/>
              </w:rPr>
              <w:t>即可达产。</w:t>
            </w:r>
          </w:p>
          <w:p>
            <w:pPr>
              <w:spacing w:line="480" w:lineRule="exact"/>
              <w:rPr>
                <w:bCs/>
              </w:rPr>
            </w:pPr>
          </w:p>
          <w:p>
            <w:pPr>
              <w:spacing w:line="480" w:lineRule="exact"/>
              <w:ind w:left="0" w:leftChars="0" w:firstLine="0" w:firstLineChars="0"/>
              <w:rPr>
                <w:b/>
              </w:rPr>
            </w:pPr>
            <w:r>
              <w:rPr>
                <w:b/>
              </w:rPr>
              <w:t>5</w:t>
            </w:r>
            <w:r>
              <w:rPr>
                <w:rFonts w:hint="eastAsia"/>
                <w:b/>
              </w:rPr>
              <w:t>、主要原辅材料及能资源</w:t>
            </w:r>
          </w:p>
          <w:p>
            <w:pPr>
              <w:spacing w:line="480" w:lineRule="exact"/>
              <w:ind w:firstLine="482"/>
              <w:rPr>
                <w:b/>
              </w:rPr>
            </w:pPr>
            <w:r>
              <w:rPr>
                <w:rFonts w:hint="eastAsia"/>
                <w:b/>
                <w:lang w:eastAsia="zh-CN"/>
              </w:rPr>
              <w:t>(</w:t>
            </w:r>
            <w:r>
              <w:rPr>
                <w:rFonts w:hint="eastAsia"/>
                <w:b/>
              </w:rPr>
              <w:t>1</w:t>
            </w:r>
            <w:r>
              <w:rPr>
                <w:rFonts w:hint="eastAsia"/>
                <w:b/>
                <w:lang w:eastAsia="zh-CN"/>
              </w:rPr>
              <w:t>)</w:t>
            </w:r>
            <w:r>
              <w:rPr>
                <w:rFonts w:hint="eastAsia"/>
                <w:b/>
                <w:lang w:val="en-US" w:eastAsia="zh-CN"/>
              </w:rPr>
              <w:t xml:space="preserve"> </w:t>
            </w:r>
            <w:r>
              <w:rPr>
                <w:rFonts w:hint="eastAsia"/>
                <w:b/>
              </w:rPr>
              <w:t>消耗情况</w:t>
            </w:r>
          </w:p>
          <w:p>
            <w:pPr>
              <w:spacing w:line="480" w:lineRule="exact"/>
              <w:rPr>
                <w:bCs/>
              </w:rPr>
            </w:pPr>
            <w:r>
              <w:rPr>
                <w:rFonts w:hint="eastAsia"/>
                <w:bCs/>
              </w:rPr>
              <w:t>项目原辅材料及能资源消耗情况见表2</w:t>
            </w:r>
            <w:r>
              <w:rPr>
                <w:bCs/>
              </w:rPr>
              <w:t>-</w:t>
            </w:r>
            <w:r>
              <w:rPr>
                <w:rFonts w:hint="eastAsia"/>
                <w:bCs/>
                <w:lang w:val="en-US" w:eastAsia="zh-CN"/>
              </w:rPr>
              <w:t>5</w:t>
            </w:r>
            <w:r>
              <w:rPr>
                <w:rFonts w:hint="eastAsia"/>
                <w:bCs/>
              </w:rPr>
              <w:t>。</w:t>
            </w:r>
          </w:p>
          <w:p>
            <w:pPr>
              <w:pStyle w:val="21"/>
            </w:pPr>
            <w:r>
              <w:rPr>
                <w:rFonts w:hint="eastAsia"/>
              </w:rPr>
              <w:t>表2</w:t>
            </w:r>
            <w:r>
              <w:t>-</w:t>
            </w:r>
            <w:r>
              <w:rPr>
                <w:rFonts w:hint="eastAsia"/>
                <w:lang w:val="en-US" w:eastAsia="zh-CN"/>
              </w:rPr>
              <w:t>5</w:t>
            </w:r>
            <w:r>
              <w:t xml:space="preserve">  </w:t>
            </w:r>
            <w:r>
              <w:rPr>
                <w:rFonts w:hint="eastAsia"/>
              </w:rPr>
              <w:t>项目原辅材料及燃料消耗情况</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1133"/>
              <w:gridCol w:w="1262"/>
              <w:gridCol w:w="1189"/>
              <w:gridCol w:w="1366"/>
              <w:gridCol w:w="1139"/>
              <w:gridCol w:w="1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tcBorders>
                    <w:top w:val="single" w:color="auto" w:sz="4" w:space="0"/>
                    <w:bottom w:val="single" w:color="auto" w:sz="4" w:space="0"/>
                    <w:insideH w:val="single" w:sz="4" w:space="0"/>
                  </w:tcBorders>
                  <w:shd w:val="clear" w:color="auto" w:fill="auto"/>
                  <w:vAlign w:val="center"/>
                </w:tcPr>
                <w:p>
                  <w:pPr>
                    <w:pStyle w:val="19"/>
                    <w:rPr>
                      <w:b/>
                    </w:rPr>
                  </w:pPr>
                  <w:r>
                    <w:rPr>
                      <w:rFonts w:hint="eastAsia"/>
                      <w:b/>
                    </w:rPr>
                    <w:t>序号</w:t>
                  </w:r>
                </w:p>
              </w:tc>
              <w:tc>
                <w:tcPr>
                  <w:tcW w:w="659" w:type="pct"/>
                  <w:tcBorders>
                    <w:top w:val="single" w:color="auto" w:sz="4" w:space="0"/>
                    <w:bottom w:val="single" w:color="auto" w:sz="4" w:space="0"/>
                    <w:insideH w:val="single" w:sz="4" w:space="0"/>
                  </w:tcBorders>
                  <w:shd w:val="clear" w:color="auto" w:fill="auto"/>
                  <w:vAlign w:val="center"/>
                </w:tcPr>
                <w:p>
                  <w:pPr>
                    <w:pStyle w:val="19"/>
                    <w:rPr>
                      <w:b/>
                    </w:rPr>
                  </w:pPr>
                  <w:r>
                    <w:rPr>
                      <w:rFonts w:hint="eastAsia"/>
                      <w:b/>
                    </w:rPr>
                    <w:t>名称</w:t>
                  </w:r>
                </w:p>
              </w:tc>
              <w:tc>
                <w:tcPr>
                  <w:tcW w:w="734" w:type="pct"/>
                  <w:tcBorders>
                    <w:top w:val="single" w:color="auto" w:sz="4" w:space="0"/>
                    <w:bottom w:val="single" w:color="auto" w:sz="4" w:space="0"/>
                    <w:insideH w:val="single" w:sz="4" w:space="0"/>
                  </w:tcBorders>
                  <w:shd w:val="clear" w:color="auto" w:fill="auto"/>
                  <w:vAlign w:val="center"/>
                </w:tcPr>
                <w:p>
                  <w:pPr>
                    <w:pStyle w:val="19"/>
                    <w:rPr>
                      <w:b/>
                    </w:rPr>
                  </w:pPr>
                  <w:r>
                    <w:rPr>
                      <w:rFonts w:hint="eastAsia"/>
                      <w:b/>
                    </w:rPr>
                    <w:t>单位</w:t>
                  </w:r>
                </w:p>
              </w:tc>
              <w:tc>
                <w:tcPr>
                  <w:tcW w:w="691" w:type="pct"/>
                  <w:tcBorders>
                    <w:top w:val="single" w:color="auto" w:sz="4" w:space="0"/>
                    <w:bottom w:val="single" w:color="auto" w:sz="4" w:space="0"/>
                    <w:insideH w:val="single" w:sz="4" w:space="0"/>
                  </w:tcBorders>
                  <w:shd w:val="clear" w:color="auto" w:fill="auto"/>
                  <w:vAlign w:val="center"/>
                </w:tcPr>
                <w:p>
                  <w:pPr>
                    <w:pStyle w:val="19"/>
                    <w:rPr>
                      <w:b/>
                    </w:rPr>
                  </w:pPr>
                  <w:r>
                    <w:rPr>
                      <w:rFonts w:hint="eastAsia"/>
                      <w:b/>
                    </w:rPr>
                    <w:t>年消耗量</w:t>
                  </w:r>
                </w:p>
              </w:tc>
              <w:tc>
                <w:tcPr>
                  <w:tcW w:w="794" w:type="pct"/>
                  <w:tcBorders>
                    <w:top w:val="single" w:color="auto" w:sz="4" w:space="0"/>
                    <w:bottom w:val="single" w:color="auto" w:sz="4" w:space="0"/>
                    <w:insideH w:val="single" w:sz="4" w:space="0"/>
                  </w:tcBorders>
                  <w:shd w:val="clear" w:color="auto" w:fill="auto"/>
                  <w:vAlign w:val="center"/>
                </w:tcPr>
                <w:p>
                  <w:pPr>
                    <w:pStyle w:val="19"/>
                    <w:rPr>
                      <w:b/>
                    </w:rPr>
                  </w:pPr>
                  <w:r>
                    <w:rPr>
                      <w:rFonts w:hint="eastAsia"/>
                      <w:b/>
                    </w:rPr>
                    <w:t>最大存储量</w:t>
                  </w:r>
                </w:p>
              </w:tc>
              <w:tc>
                <w:tcPr>
                  <w:tcW w:w="662" w:type="pct"/>
                  <w:tcBorders>
                    <w:top w:val="single" w:color="auto" w:sz="4" w:space="0"/>
                    <w:bottom w:val="single" w:color="auto" w:sz="4" w:space="0"/>
                    <w:insideH w:val="single" w:sz="4" w:space="0"/>
                  </w:tcBorders>
                  <w:shd w:val="clear" w:color="auto" w:fill="auto"/>
                  <w:vAlign w:val="center"/>
                </w:tcPr>
                <w:p>
                  <w:pPr>
                    <w:pStyle w:val="19"/>
                    <w:rPr>
                      <w:b/>
                    </w:rPr>
                  </w:pPr>
                  <w:r>
                    <w:rPr>
                      <w:rFonts w:hint="eastAsia"/>
                      <w:b/>
                    </w:rPr>
                    <w:t>存储方式</w:t>
                  </w:r>
                </w:p>
              </w:tc>
              <w:tc>
                <w:tcPr>
                  <w:tcW w:w="1061" w:type="pct"/>
                  <w:tcBorders>
                    <w:top w:val="single" w:color="auto" w:sz="4" w:space="0"/>
                    <w:bottom w:val="single" w:color="auto" w:sz="4" w:space="0"/>
                    <w:insideH w:val="single" w:sz="4" w:space="0"/>
                  </w:tcBorders>
                  <w:shd w:val="clear" w:color="auto" w:fill="auto"/>
                  <w:vAlign w:val="center"/>
                </w:tcPr>
                <w:p>
                  <w:pPr>
                    <w:pStyle w:val="19"/>
                    <w:rPr>
                      <w:b/>
                    </w:rPr>
                  </w:pPr>
                  <w:r>
                    <w:rPr>
                      <w:rFonts w:hint="eastAsia"/>
                      <w:b/>
                    </w:rPr>
                    <w:t>来源及运输方式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vAlign w:val="center"/>
                </w:tcPr>
                <w:p>
                  <w:pPr>
                    <w:pStyle w:val="19"/>
                    <w:rPr>
                      <w:b/>
                      <w:bCs/>
                    </w:rPr>
                  </w:pPr>
                  <w:r>
                    <w:rPr>
                      <w:rFonts w:hint="eastAsia"/>
                      <w:b/>
                      <w:bCs/>
                    </w:rPr>
                    <w:t>一、原辅材料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pPr>
                  <w:r>
                    <w:rPr>
                      <w:rFonts w:hint="eastAsia"/>
                    </w:rPr>
                    <w:t>1</w:t>
                  </w:r>
                </w:p>
              </w:tc>
              <w:tc>
                <w:tcPr>
                  <w:tcW w:w="659" w:type="pct"/>
                  <w:shd w:val="clear" w:color="auto" w:fill="auto"/>
                  <w:vAlign w:val="center"/>
                </w:tcPr>
                <w:p>
                  <w:pPr>
                    <w:pStyle w:val="19"/>
                  </w:pPr>
                  <w:r>
                    <w:rPr>
                      <w:rFonts w:hint="eastAsia"/>
                    </w:rPr>
                    <w:t>废钢</w:t>
                  </w:r>
                </w:p>
              </w:tc>
              <w:tc>
                <w:tcPr>
                  <w:tcW w:w="734" w:type="pct"/>
                  <w:shd w:val="clear" w:color="auto" w:fill="auto"/>
                  <w:vAlign w:val="center"/>
                </w:tcPr>
                <w:p>
                  <w:pPr>
                    <w:pStyle w:val="19"/>
                  </w:pPr>
                  <w:r>
                    <w:rPr>
                      <w:rFonts w:hint="eastAsia"/>
                    </w:rPr>
                    <w:t>t/a</w:t>
                  </w:r>
                </w:p>
              </w:tc>
              <w:tc>
                <w:tcPr>
                  <w:tcW w:w="691" w:type="pct"/>
                  <w:shd w:val="clear" w:color="auto" w:fill="auto"/>
                  <w:vAlign w:val="center"/>
                </w:tcPr>
                <w:p>
                  <w:pPr>
                    <w:pStyle w:val="19"/>
                  </w:pPr>
                  <w:r>
                    <w:rPr>
                      <w:rFonts w:hint="eastAsia"/>
                    </w:rPr>
                    <w:t>3</w:t>
                  </w:r>
                  <w:r>
                    <w:t>3000</w:t>
                  </w:r>
                </w:p>
              </w:tc>
              <w:tc>
                <w:tcPr>
                  <w:tcW w:w="794" w:type="pct"/>
                  <w:shd w:val="clear" w:color="auto" w:fill="auto"/>
                  <w:vAlign w:val="center"/>
                </w:tcPr>
                <w:p>
                  <w:pPr>
                    <w:pStyle w:val="19"/>
                    <w:rPr>
                      <w:rFonts w:hint="default" w:eastAsia="宋体"/>
                      <w:lang w:val="en-US" w:eastAsia="zh-CN"/>
                    </w:rPr>
                  </w:pPr>
                  <w:r>
                    <w:rPr>
                      <w:rFonts w:hint="eastAsia"/>
                      <w:lang w:val="en-US" w:eastAsia="zh-CN"/>
                    </w:rPr>
                    <w:t>550</w:t>
                  </w:r>
                </w:p>
              </w:tc>
              <w:tc>
                <w:tcPr>
                  <w:tcW w:w="662" w:type="pct"/>
                  <w:shd w:val="clear" w:color="auto" w:fill="auto"/>
                  <w:vAlign w:val="center"/>
                </w:tcPr>
                <w:p>
                  <w:pPr>
                    <w:pStyle w:val="19"/>
                  </w:pPr>
                  <w:r>
                    <w:rPr>
                      <w:rFonts w:hint="eastAsia"/>
                      <w:lang w:val="en-US" w:eastAsia="zh-CN"/>
                    </w:rPr>
                    <w:t>堆放</w:t>
                  </w:r>
                </w:p>
              </w:tc>
              <w:tc>
                <w:tcPr>
                  <w:tcW w:w="1061" w:type="pct"/>
                  <w:shd w:val="clear" w:color="auto" w:fill="auto"/>
                  <w:vAlign w:val="center"/>
                </w:tcPr>
                <w:p>
                  <w:pPr>
                    <w:pStyle w:val="19"/>
                  </w:pPr>
                  <w:r>
                    <w:rPr>
                      <w:rFonts w:hint="eastAsia"/>
                      <w:lang w:val="en-US" w:eastAsia="zh-CN"/>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pPr>
                  <w:r>
                    <w:rPr>
                      <w:rFonts w:hint="eastAsia"/>
                    </w:rPr>
                    <w:t>2</w:t>
                  </w:r>
                </w:p>
              </w:tc>
              <w:tc>
                <w:tcPr>
                  <w:tcW w:w="659" w:type="pct"/>
                  <w:shd w:val="clear" w:color="auto" w:fill="auto"/>
                  <w:vAlign w:val="center"/>
                </w:tcPr>
                <w:p>
                  <w:pPr>
                    <w:pStyle w:val="19"/>
                  </w:pPr>
                  <w:r>
                    <w:rPr>
                      <w:rFonts w:hint="eastAsia"/>
                    </w:rPr>
                    <w:t>铁合金</w:t>
                  </w:r>
                </w:p>
              </w:tc>
              <w:tc>
                <w:tcPr>
                  <w:tcW w:w="734" w:type="pct"/>
                  <w:shd w:val="clear" w:color="auto" w:fill="auto"/>
                  <w:vAlign w:val="center"/>
                </w:tcPr>
                <w:p>
                  <w:pPr>
                    <w:pStyle w:val="19"/>
                  </w:pPr>
                  <w:r>
                    <w:rPr>
                      <w:rFonts w:hint="eastAsia"/>
                    </w:rPr>
                    <w:t>t/a</w:t>
                  </w:r>
                </w:p>
              </w:tc>
              <w:tc>
                <w:tcPr>
                  <w:tcW w:w="691" w:type="pct"/>
                  <w:shd w:val="clear" w:color="auto" w:fill="auto"/>
                  <w:vAlign w:val="center"/>
                </w:tcPr>
                <w:p>
                  <w:pPr>
                    <w:pStyle w:val="19"/>
                  </w:pPr>
                  <w:r>
                    <w:rPr>
                      <w:rFonts w:hint="eastAsia"/>
                    </w:rPr>
                    <w:t>3</w:t>
                  </w:r>
                  <w:r>
                    <w:t>750</w:t>
                  </w:r>
                </w:p>
              </w:tc>
              <w:tc>
                <w:tcPr>
                  <w:tcW w:w="794" w:type="pct"/>
                  <w:shd w:val="clear" w:color="auto" w:fill="auto"/>
                  <w:vAlign w:val="center"/>
                </w:tcPr>
                <w:p>
                  <w:pPr>
                    <w:pStyle w:val="19"/>
                    <w:rPr>
                      <w:rFonts w:hint="default" w:eastAsia="宋体"/>
                      <w:lang w:val="en-US" w:eastAsia="zh-CN"/>
                    </w:rPr>
                  </w:pPr>
                  <w:r>
                    <w:rPr>
                      <w:rFonts w:hint="eastAsia"/>
                      <w:lang w:val="en-US" w:eastAsia="zh-CN"/>
                    </w:rPr>
                    <w:t>90</w:t>
                  </w:r>
                </w:p>
              </w:tc>
              <w:tc>
                <w:tcPr>
                  <w:tcW w:w="662" w:type="pct"/>
                  <w:shd w:val="clear" w:color="auto" w:fill="auto"/>
                  <w:vAlign w:val="center"/>
                </w:tcPr>
                <w:p>
                  <w:pPr>
                    <w:pStyle w:val="19"/>
                  </w:pPr>
                  <w:r>
                    <w:rPr>
                      <w:rFonts w:hint="eastAsia"/>
                      <w:lang w:val="en-US" w:eastAsia="zh-CN"/>
                    </w:rPr>
                    <w:t>堆放</w:t>
                  </w:r>
                </w:p>
              </w:tc>
              <w:tc>
                <w:tcPr>
                  <w:tcW w:w="1061" w:type="pct"/>
                  <w:shd w:val="clear" w:color="auto" w:fill="auto"/>
                  <w:vAlign w:val="center"/>
                </w:tcPr>
                <w:p>
                  <w:pPr>
                    <w:pStyle w:val="19"/>
                  </w:pPr>
                  <w:r>
                    <w:rPr>
                      <w:rFonts w:hint="eastAsia"/>
                      <w:lang w:val="en-US" w:eastAsia="zh-CN"/>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pPr>
                  <w:r>
                    <w:rPr>
                      <w:rFonts w:hint="eastAsia"/>
                    </w:rPr>
                    <w:t>3</w:t>
                  </w:r>
                </w:p>
              </w:tc>
              <w:tc>
                <w:tcPr>
                  <w:tcW w:w="659" w:type="pct"/>
                  <w:shd w:val="clear" w:color="auto" w:fill="auto"/>
                  <w:vAlign w:val="center"/>
                </w:tcPr>
                <w:p>
                  <w:pPr>
                    <w:pStyle w:val="19"/>
                  </w:pPr>
                  <w:r>
                    <w:rPr>
                      <w:rFonts w:hint="eastAsia"/>
                    </w:rPr>
                    <w:t>铝丝</w:t>
                  </w:r>
                </w:p>
              </w:tc>
              <w:tc>
                <w:tcPr>
                  <w:tcW w:w="734" w:type="pct"/>
                  <w:shd w:val="clear" w:color="auto" w:fill="auto"/>
                  <w:vAlign w:val="center"/>
                </w:tcPr>
                <w:p>
                  <w:pPr>
                    <w:pStyle w:val="19"/>
                  </w:pPr>
                  <w:r>
                    <w:rPr>
                      <w:rFonts w:hint="eastAsia"/>
                    </w:rPr>
                    <w:t>t/a</w:t>
                  </w:r>
                </w:p>
              </w:tc>
              <w:tc>
                <w:tcPr>
                  <w:tcW w:w="691" w:type="pct"/>
                  <w:shd w:val="clear" w:color="auto" w:fill="auto"/>
                  <w:vAlign w:val="center"/>
                </w:tcPr>
                <w:p>
                  <w:pPr>
                    <w:pStyle w:val="19"/>
                  </w:pPr>
                  <w:r>
                    <w:rPr>
                      <w:rFonts w:hint="eastAsia"/>
                    </w:rPr>
                    <w:t>1</w:t>
                  </w:r>
                  <w:r>
                    <w:t>8</w:t>
                  </w:r>
                </w:p>
              </w:tc>
              <w:tc>
                <w:tcPr>
                  <w:tcW w:w="794" w:type="pct"/>
                  <w:shd w:val="clear" w:color="auto" w:fill="auto"/>
                  <w:vAlign w:val="center"/>
                </w:tcPr>
                <w:p>
                  <w:pPr>
                    <w:pStyle w:val="19"/>
                    <w:rPr>
                      <w:rFonts w:hint="default" w:eastAsia="宋体"/>
                      <w:lang w:val="en-US" w:eastAsia="zh-CN"/>
                    </w:rPr>
                  </w:pPr>
                  <w:r>
                    <w:rPr>
                      <w:rFonts w:hint="eastAsia"/>
                      <w:lang w:val="en-US" w:eastAsia="zh-CN"/>
                    </w:rPr>
                    <w:t>3</w:t>
                  </w:r>
                </w:p>
              </w:tc>
              <w:tc>
                <w:tcPr>
                  <w:tcW w:w="662" w:type="pct"/>
                  <w:shd w:val="clear" w:color="auto" w:fill="auto"/>
                  <w:vAlign w:val="center"/>
                </w:tcPr>
                <w:p>
                  <w:pPr>
                    <w:pStyle w:val="19"/>
                    <w:rPr>
                      <w:rFonts w:hint="eastAsia" w:eastAsia="宋体"/>
                      <w:lang w:val="en-US" w:eastAsia="zh-CN"/>
                    </w:rPr>
                  </w:pPr>
                  <w:r>
                    <w:rPr>
                      <w:rFonts w:hint="eastAsia"/>
                      <w:lang w:val="en-US" w:eastAsia="zh-CN"/>
                    </w:rPr>
                    <w:t>捆装</w:t>
                  </w:r>
                </w:p>
              </w:tc>
              <w:tc>
                <w:tcPr>
                  <w:tcW w:w="1061" w:type="pct"/>
                  <w:shd w:val="clear" w:color="auto" w:fill="auto"/>
                  <w:vAlign w:val="center"/>
                </w:tcPr>
                <w:p>
                  <w:pPr>
                    <w:pStyle w:val="19"/>
                  </w:pPr>
                  <w:r>
                    <w:rPr>
                      <w:rFonts w:hint="eastAsia"/>
                      <w:lang w:val="en-US" w:eastAsia="zh-CN"/>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pPr>
                  <w:r>
                    <w:rPr>
                      <w:rFonts w:hint="eastAsia"/>
                    </w:rPr>
                    <w:t>4</w:t>
                  </w:r>
                </w:p>
              </w:tc>
              <w:tc>
                <w:tcPr>
                  <w:tcW w:w="659" w:type="pct"/>
                  <w:shd w:val="clear" w:color="auto" w:fill="auto"/>
                  <w:vAlign w:val="center"/>
                </w:tcPr>
                <w:p>
                  <w:pPr>
                    <w:pStyle w:val="19"/>
                  </w:pPr>
                  <w:r>
                    <w:rPr>
                      <w:rFonts w:hint="eastAsia"/>
                    </w:rPr>
                    <w:t>萤石</w:t>
                  </w:r>
                </w:p>
              </w:tc>
              <w:tc>
                <w:tcPr>
                  <w:tcW w:w="734" w:type="pct"/>
                  <w:shd w:val="clear" w:color="auto" w:fill="auto"/>
                  <w:vAlign w:val="center"/>
                </w:tcPr>
                <w:p>
                  <w:pPr>
                    <w:pStyle w:val="19"/>
                  </w:pPr>
                  <w:r>
                    <w:rPr>
                      <w:rFonts w:hint="eastAsia"/>
                    </w:rPr>
                    <w:t>t/a</w:t>
                  </w:r>
                </w:p>
              </w:tc>
              <w:tc>
                <w:tcPr>
                  <w:tcW w:w="691" w:type="pct"/>
                  <w:shd w:val="clear" w:color="auto" w:fill="auto"/>
                  <w:vAlign w:val="center"/>
                </w:tcPr>
                <w:p>
                  <w:pPr>
                    <w:pStyle w:val="19"/>
                  </w:pPr>
                  <w:r>
                    <w:rPr>
                      <w:rFonts w:hint="eastAsia"/>
                    </w:rPr>
                    <w:t>1</w:t>
                  </w:r>
                  <w:r>
                    <w:t>80</w:t>
                  </w:r>
                </w:p>
              </w:tc>
              <w:tc>
                <w:tcPr>
                  <w:tcW w:w="794" w:type="pct"/>
                  <w:shd w:val="clear" w:color="auto" w:fill="auto"/>
                  <w:vAlign w:val="center"/>
                </w:tcPr>
                <w:p>
                  <w:pPr>
                    <w:pStyle w:val="19"/>
                    <w:rPr>
                      <w:rFonts w:hint="default" w:eastAsia="宋体"/>
                      <w:lang w:val="en-US" w:eastAsia="zh-CN"/>
                    </w:rPr>
                  </w:pPr>
                  <w:r>
                    <w:rPr>
                      <w:rFonts w:hint="eastAsia"/>
                      <w:lang w:val="en-US" w:eastAsia="zh-CN"/>
                    </w:rPr>
                    <w:t>10</w:t>
                  </w:r>
                </w:p>
              </w:tc>
              <w:tc>
                <w:tcPr>
                  <w:tcW w:w="662" w:type="pct"/>
                  <w:shd w:val="clear" w:color="auto" w:fill="auto"/>
                  <w:vAlign w:val="center"/>
                </w:tcPr>
                <w:p>
                  <w:pPr>
                    <w:pStyle w:val="19"/>
                    <w:rPr>
                      <w:rFonts w:hint="eastAsia" w:eastAsia="宋体"/>
                      <w:lang w:val="en-US" w:eastAsia="zh-CN"/>
                    </w:rPr>
                  </w:pPr>
                  <w:r>
                    <w:rPr>
                      <w:rFonts w:hint="eastAsia"/>
                      <w:lang w:val="en-US" w:eastAsia="zh-CN"/>
                    </w:rPr>
                    <w:t>堆放</w:t>
                  </w:r>
                </w:p>
              </w:tc>
              <w:tc>
                <w:tcPr>
                  <w:tcW w:w="1061" w:type="pct"/>
                  <w:shd w:val="clear" w:color="auto" w:fill="auto"/>
                  <w:vAlign w:val="center"/>
                </w:tcPr>
                <w:p>
                  <w:pPr>
                    <w:pStyle w:val="19"/>
                  </w:pPr>
                  <w:r>
                    <w:rPr>
                      <w:rFonts w:hint="eastAsia"/>
                      <w:lang w:val="en-US" w:eastAsia="zh-CN"/>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pPr>
                  <w:r>
                    <w:rPr>
                      <w:rFonts w:hint="eastAsia"/>
                    </w:rPr>
                    <w:t>5</w:t>
                  </w:r>
                </w:p>
              </w:tc>
              <w:tc>
                <w:tcPr>
                  <w:tcW w:w="659" w:type="pct"/>
                  <w:shd w:val="clear" w:color="auto" w:fill="auto"/>
                  <w:vAlign w:val="center"/>
                </w:tcPr>
                <w:p>
                  <w:pPr>
                    <w:pStyle w:val="19"/>
                  </w:pPr>
                  <w:r>
                    <w:rPr>
                      <w:rFonts w:hint="eastAsia"/>
                      <w:lang w:val="en-US" w:eastAsia="zh-CN"/>
                    </w:rPr>
                    <w:t>活性</w:t>
                  </w:r>
                  <w:r>
                    <w:rPr>
                      <w:rFonts w:hint="eastAsia"/>
                    </w:rPr>
                    <w:t>石灰</w:t>
                  </w:r>
                </w:p>
              </w:tc>
              <w:tc>
                <w:tcPr>
                  <w:tcW w:w="734" w:type="pct"/>
                  <w:shd w:val="clear" w:color="auto" w:fill="auto"/>
                  <w:vAlign w:val="center"/>
                </w:tcPr>
                <w:p>
                  <w:pPr>
                    <w:pStyle w:val="19"/>
                  </w:pPr>
                  <w:r>
                    <w:rPr>
                      <w:rFonts w:hint="eastAsia"/>
                    </w:rPr>
                    <w:t>t/a</w:t>
                  </w:r>
                </w:p>
              </w:tc>
              <w:tc>
                <w:tcPr>
                  <w:tcW w:w="691" w:type="pct"/>
                  <w:shd w:val="clear" w:color="auto" w:fill="auto"/>
                  <w:vAlign w:val="center"/>
                </w:tcPr>
                <w:p>
                  <w:pPr>
                    <w:pStyle w:val="19"/>
                  </w:pPr>
                  <w:r>
                    <w:rPr>
                      <w:rFonts w:hint="eastAsia"/>
                    </w:rPr>
                    <w:t>3</w:t>
                  </w:r>
                  <w:r>
                    <w:t>00</w:t>
                  </w:r>
                </w:p>
              </w:tc>
              <w:tc>
                <w:tcPr>
                  <w:tcW w:w="794" w:type="pct"/>
                  <w:shd w:val="clear" w:color="auto" w:fill="auto"/>
                  <w:vAlign w:val="center"/>
                </w:tcPr>
                <w:p>
                  <w:pPr>
                    <w:pStyle w:val="19"/>
                    <w:rPr>
                      <w:rFonts w:hint="default" w:eastAsia="宋体"/>
                      <w:lang w:val="en-US" w:eastAsia="zh-CN"/>
                    </w:rPr>
                  </w:pPr>
                  <w:r>
                    <w:rPr>
                      <w:rFonts w:hint="eastAsia"/>
                      <w:lang w:val="en-US" w:eastAsia="zh-CN"/>
                    </w:rPr>
                    <w:t>5</w:t>
                  </w:r>
                </w:p>
              </w:tc>
              <w:tc>
                <w:tcPr>
                  <w:tcW w:w="662" w:type="pct"/>
                  <w:shd w:val="clear" w:color="auto" w:fill="auto"/>
                  <w:vAlign w:val="center"/>
                </w:tcPr>
                <w:p>
                  <w:pPr>
                    <w:pStyle w:val="19"/>
                    <w:rPr>
                      <w:rFonts w:hint="default" w:eastAsia="宋体"/>
                      <w:lang w:val="en-US" w:eastAsia="zh-CN"/>
                    </w:rPr>
                  </w:pPr>
                  <w:r>
                    <w:rPr>
                      <w:rFonts w:hint="eastAsia"/>
                      <w:lang w:val="en-US" w:eastAsia="zh-CN"/>
                    </w:rPr>
                    <w:t>袋装</w:t>
                  </w:r>
                </w:p>
              </w:tc>
              <w:tc>
                <w:tcPr>
                  <w:tcW w:w="1061" w:type="pct"/>
                  <w:shd w:val="clear" w:color="auto" w:fill="auto"/>
                  <w:vAlign w:val="center"/>
                </w:tcPr>
                <w:p>
                  <w:pPr>
                    <w:pStyle w:val="19"/>
                  </w:pPr>
                  <w:r>
                    <w:rPr>
                      <w:rFonts w:hint="eastAsia"/>
                      <w:lang w:val="en-US" w:eastAsia="zh-CN"/>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rPr>
                      <w:rFonts w:hint="eastAsia" w:eastAsia="宋体"/>
                      <w:lang w:val="en-US" w:eastAsia="zh-CN"/>
                    </w:rPr>
                  </w:pPr>
                  <w:r>
                    <w:rPr>
                      <w:rFonts w:hint="eastAsia"/>
                      <w:lang w:val="en-US" w:eastAsia="zh-CN"/>
                    </w:rPr>
                    <w:t>6</w:t>
                  </w:r>
                </w:p>
              </w:tc>
              <w:tc>
                <w:tcPr>
                  <w:tcW w:w="659" w:type="pct"/>
                  <w:shd w:val="clear" w:color="auto" w:fill="auto"/>
                  <w:vAlign w:val="center"/>
                </w:tcPr>
                <w:p>
                  <w:pPr>
                    <w:pStyle w:val="19"/>
                    <w:rPr>
                      <w:rFonts w:hint="default"/>
                      <w:lang w:val="en-US" w:eastAsia="zh-CN"/>
                    </w:rPr>
                  </w:pPr>
                  <w:r>
                    <w:rPr>
                      <w:rFonts w:hint="eastAsia"/>
                      <w:lang w:val="en-US" w:eastAsia="zh-CN"/>
                    </w:rPr>
                    <w:t>耐火材料</w:t>
                  </w:r>
                </w:p>
              </w:tc>
              <w:tc>
                <w:tcPr>
                  <w:tcW w:w="734" w:type="pct"/>
                  <w:shd w:val="clear" w:color="auto" w:fill="auto"/>
                  <w:vAlign w:val="center"/>
                </w:tcPr>
                <w:p>
                  <w:pPr>
                    <w:pStyle w:val="19"/>
                    <w:rPr>
                      <w:rFonts w:hint="eastAsia" w:eastAsia="宋体"/>
                      <w:lang w:val="en-US" w:eastAsia="zh-CN"/>
                    </w:rPr>
                  </w:pPr>
                  <w:r>
                    <w:rPr>
                      <w:rFonts w:hint="eastAsia"/>
                      <w:lang w:val="en-US" w:eastAsia="zh-CN"/>
                    </w:rPr>
                    <w:t>t/a</w:t>
                  </w:r>
                </w:p>
              </w:tc>
              <w:tc>
                <w:tcPr>
                  <w:tcW w:w="691" w:type="pct"/>
                  <w:shd w:val="clear" w:color="auto" w:fill="auto"/>
                  <w:vAlign w:val="center"/>
                </w:tcPr>
                <w:p>
                  <w:pPr>
                    <w:pStyle w:val="19"/>
                    <w:rPr>
                      <w:rFonts w:hint="default" w:eastAsia="宋体"/>
                      <w:lang w:val="en-US" w:eastAsia="zh-CN"/>
                    </w:rPr>
                  </w:pPr>
                  <w:r>
                    <w:rPr>
                      <w:rFonts w:hint="eastAsia"/>
                      <w:lang w:val="en-US" w:eastAsia="zh-CN"/>
                    </w:rPr>
                    <w:t>1080</w:t>
                  </w:r>
                </w:p>
              </w:tc>
              <w:tc>
                <w:tcPr>
                  <w:tcW w:w="794" w:type="pct"/>
                  <w:shd w:val="clear" w:color="auto" w:fill="auto"/>
                  <w:vAlign w:val="center"/>
                </w:tcPr>
                <w:p>
                  <w:pPr>
                    <w:pStyle w:val="19"/>
                    <w:rPr>
                      <w:rFonts w:hint="default" w:eastAsia="宋体"/>
                      <w:lang w:val="en-US" w:eastAsia="zh-CN"/>
                    </w:rPr>
                  </w:pPr>
                  <w:r>
                    <w:rPr>
                      <w:rFonts w:hint="eastAsia"/>
                      <w:lang w:val="en-US" w:eastAsia="zh-CN"/>
                    </w:rPr>
                    <w:t>18</w:t>
                  </w:r>
                </w:p>
              </w:tc>
              <w:tc>
                <w:tcPr>
                  <w:tcW w:w="662" w:type="pct"/>
                  <w:shd w:val="clear" w:color="auto" w:fill="auto"/>
                  <w:vAlign w:val="center"/>
                </w:tcPr>
                <w:p>
                  <w:pPr>
                    <w:pStyle w:val="19"/>
                    <w:rPr>
                      <w:rFonts w:hint="default" w:eastAsia="宋体"/>
                      <w:lang w:val="en-US" w:eastAsia="zh-CN"/>
                    </w:rPr>
                  </w:pPr>
                  <w:r>
                    <w:rPr>
                      <w:rFonts w:hint="eastAsia"/>
                      <w:lang w:val="en-US" w:eastAsia="zh-CN"/>
                    </w:rPr>
                    <w:t>堆放</w:t>
                  </w:r>
                </w:p>
              </w:tc>
              <w:tc>
                <w:tcPr>
                  <w:tcW w:w="1061" w:type="pct"/>
                  <w:shd w:val="clear" w:color="auto" w:fill="auto"/>
                  <w:vAlign w:val="center"/>
                </w:tcPr>
                <w:p>
                  <w:pPr>
                    <w:pStyle w:val="19"/>
                    <w:rPr>
                      <w:rFonts w:hint="default" w:eastAsia="宋体"/>
                      <w:lang w:val="en-US" w:eastAsia="zh-CN"/>
                    </w:rPr>
                  </w:pPr>
                  <w:r>
                    <w:rPr>
                      <w:rFonts w:hint="eastAsia"/>
                      <w:lang w:val="en-US" w:eastAsia="zh-CN"/>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shd w:val="clear" w:color="auto" w:fill="auto"/>
                  <w:vAlign w:val="center"/>
                </w:tcPr>
                <w:p>
                  <w:pPr>
                    <w:pStyle w:val="19"/>
                    <w:rPr>
                      <w:b/>
                      <w:bCs/>
                    </w:rPr>
                  </w:pPr>
                  <w:r>
                    <w:rPr>
                      <w:rFonts w:hint="eastAsia"/>
                      <w:b/>
                      <w:bCs/>
                    </w:rPr>
                    <w:t>二、能资源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pPr>
                  <w:r>
                    <w:rPr>
                      <w:rFonts w:hint="eastAsia"/>
                    </w:rPr>
                    <w:t>1</w:t>
                  </w:r>
                </w:p>
              </w:tc>
              <w:tc>
                <w:tcPr>
                  <w:tcW w:w="659" w:type="pct"/>
                  <w:shd w:val="clear" w:color="auto" w:fill="auto"/>
                  <w:vAlign w:val="center"/>
                </w:tcPr>
                <w:p>
                  <w:pPr>
                    <w:pStyle w:val="19"/>
                  </w:pPr>
                  <w:r>
                    <w:rPr>
                      <w:rFonts w:hint="eastAsia"/>
                    </w:rPr>
                    <w:t>天然气</w:t>
                  </w:r>
                </w:p>
              </w:tc>
              <w:tc>
                <w:tcPr>
                  <w:tcW w:w="734" w:type="pct"/>
                  <w:shd w:val="clear" w:color="auto" w:fill="auto"/>
                  <w:vAlign w:val="center"/>
                </w:tcPr>
                <w:p>
                  <w:pPr>
                    <w:pStyle w:val="19"/>
                  </w:pPr>
                  <w:r>
                    <w:t>×10</w:t>
                  </w:r>
                  <w:r>
                    <w:rPr>
                      <w:rFonts w:hint="eastAsia"/>
                      <w:vertAlign w:val="superscript"/>
                      <w:lang w:val="en-US" w:eastAsia="zh-CN"/>
                    </w:rPr>
                    <w:t>4</w:t>
                  </w:r>
                  <w:r>
                    <w:rPr>
                      <w:rFonts w:hint="eastAsia"/>
                    </w:rPr>
                    <w:t>Nm</w:t>
                  </w:r>
                  <w:r>
                    <w:rPr>
                      <w:rFonts w:hint="eastAsia"/>
                      <w:vertAlign w:val="superscript"/>
                    </w:rPr>
                    <w:t>3</w:t>
                  </w:r>
                  <w:r>
                    <w:rPr>
                      <w:rFonts w:hint="eastAsia"/>
                    </w:rPr>
                    <w:t>/a</w:t>
                  </w:r>
                </w:p>
              </w:tc>
              <w:tc>
                <w:tcPr>
                  <w:tcW w:w="691" w:type="pct"/>
                  <w:shd w:val="clear" w:color="auto" w:fill="auto"/>
                  <w:vAlign w:val="center"/>
                </w:tcPr>
                <w:p>
                  <w:pPr>
                    <w:pStyle w:val="19"/>
                    <w:rPr>
                      <w:rFonts w:hint="default" w:eastAsia="宋体"/>
                      <w:lang w:val="en-US" w:eastAsia="zh-CN"/>
                    </w:rPr>
                  </w:pPr>
                  <w:r>
                    <w:rPr>
                      <w:rFonts w:hint="eastAsia"/>
                      <w:lang w:val="en-US" w:eastAsia="zh-CN"/>
                    </w:rPr>
                    <w:t>108</w:t>
                  </w:r>
                </w:p>
              </w:tc>
              <w:tc>
                <w:tcPr>
                  <w:tcW w:w="794" w:type="pct"/>
                  <w:shd w:val="clear" w:color="auto" w:fill="auto"/>
                  <w:vAlign w:val="center"/>
                </w:tcPr>
                <w:p>
                  <w:pPr>
                    <w:pStyle w:val="19"/>
                    <w:rPr>
                      <w:rFonts w:hint="eastAsia" w:eastAsia="宋体"/>
                      <w:lang w:val="en-US" w:eastAsia="zh-CN"/>
                    </w:rPr>
                  </w:pPr>
                  <w:r>
                    <w:rPr>
                      <w:rFonts w:hint="eastAsia"/>
                      <w:lang w:val="en-US" w:eastAsia="zh-CN"/>
                    </w:rPr>
                    <w:t>/</w:t>
                  </w:r>
                </w:p>
              </w:tc>
              <w:tc>
                <w:tcPr>
                  <w:tcW w:w="662" w:type="pct"/>
                  <w:shd w:val="clear" w:color="auto" w:fill="auto"/>
                  <w:vAlign w:val="center"/>
                </w:tcPr>
                <w:p>
                  <w:pPr>
                    <w:pStyle w:val="19"/>
                    <w:rPr>
                      <w:rFonts w:hint="eastAsia" w:eastAsia="宋体"/>
                      <w:lang w:val="en-US" w:eastAsia="zh-CN"/>
                    </w:rPr>
                  </w:pPr>
                  <w:r>
                    <w:rPr>
                      <w:rFonts w:hint="eastAsia"/>
                      <w:lang w:val="en-US" w:eastAsia="zh-CN"/>
                    </w:rPr>
                    <w:t>/</w:t>
                  </w:r>
                </w:p>
              </w:tc>
              <w:tc>
                <w:tcPr>
                  <w:tcW w:w="1061" w:type="pct"/>
                  <w:shd w:val="clear" w:color="auto" w:fill="auto"/>
                  <w:vAlign w:val="center"/>
                </w:tcPr>
                <w:p>
                  <w:pPr>
                    <w:pStyle w:val="19"/>
                    <w:rPr>
                      <w:rFonts w:hint="default" w:eastAsia="宋体"/>
                      <w:lang w:val="en-US" w:eastAsia="zh-CN"/>
                    </w:rPr>
                  </w:pPr>
                  <w:r>
                    <w:rPr>
                      <w:rFonts w:hint="eastAsia"/>
                      <w:lang w:val="en-US" w:eastAsia="zh-CN"/>
                    </w:rPr>
                    <w:t>园区，管道输送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2</w:t>
                  </w:r>
                </w:p>
              </w:tc>
              <w:tc>
                <w:tcPr>
                  <w:tcW w:w="659" w:type="pct"/>
                  <w:shd w:val="clear" w:color="auto" w:fill="auto"/>
                  <w:vAlign w:val="center"/>
                </w:tcPr>
                <w:p>
                  <w:pPr>
                    <w:pStyle w:val="19"/>
                    <w:rPr>
                      <w:rFonts w:hint="default" w:eastAsia="宋体"/>
                      <w:lang w:val="en-US" w:eastAsia="zh-CN"/>
                    </w:rPr>
                  </w:pPr>
                  <w:r>
                    <w:rPr>
                      <w:rFonts w:hint="eastAsia"/>
                      <w:lang w:val="en-US" w:eastAsia="zh-CN"/>
                    </w:rPr>
                    <w:t>氮气</w:t>
                  </w:r>
                </w:p>
              </w:tc>
              <w:tc>
                <w:tcPr>
                  <w:tcW w:w="734" w:type="pct"/>
                  <w:shd w:val="clear" w:color="auto" w:fill="auto"/>
                  <w:vAlign w:val="center"/>
                </w:tcPr>
                <w:p>
                  <w:pPr>
                    <w:pStyle w:val="19"/>
                    <w:rPr>
                      <w:rFonts w:hint="eastAsia"/>
                    </w:rPr>
                  </w:pPr>
                  <w:r>
                    <w:t>×10</w:t>
                  </w:r>
                  <w:r>
                    <w:rPr>
                      <w:rFonts w:hint="eastAsia"/>
                      <w:vertAlign w:val="superscript"/>
                      <w:lang w:val="en-US" w:eastAsia="zh-CN"/>
                    </w:rPr>
                    <w:t>4</w:t>
                  </w:r>
                  <w:r>
                    <w:rPr>
                      <w:rFonts w:hint="eastAsia"/>
                    </w:rPr>
                    <w:t>Nm</w:t>
                  </w:r>
                  <w:r>
                    <w:rPr>
                      <w:rFonts w:hint="eastAsia"/>
                      <w:vertAlign w:val="superscript"/>
                    </w:rPr>
                    <w:t>3</w:t>
                  </w:r>
                  <w:r>
                    <w:rPr>
                      <w:rFonts w:hint="eastAsia"/>
                    </w:rPr>
                    <w:t>/a</w:t>
                  </w:r>
                </w:p>
              </w:tc>
              <w:tc>
                <w:tcPr>
                  <w:tcW w:w="691" w:type="pct"/>
                  <w:shd w:val="clear" w:color="auto" w:fill="auto"/>
                  <w:vAlign w:val="center"/>
                </w:tcPr>
                <w:p>
                  <w:pPr>
                    <w:pStyle w:val="19"/>
                    <w:rPr>
                      <w:rFonts w:hint="default" w:eastAsia="宋体"/>
                      <w:lang w:val="en-US" w:eastAsia="zh-CN"/>
                    </w:rPr>
                  </w:pPr>
                  <w:r>
                    <w:rPr>
                      <w:rFonts w:hint="eastAsia"/>
                      <w:lang w:val="en-US" w:eastAsia="zh-CN"/>
                    </w:rPr>
                    <w:t>25</w:t>
                  </w:r>
                </w:p>
              </w:tc>
              <w:tc>
                <w:tcPr>
                  <w:tcW w:w="794" w:type="pct"/>
                  <w:shd w:val="clear" w:color="auto" w:fill="auto"/>
                  <w:vAlign w:val="center"/>
                </w:tcPr>
                <w:p>
                  <w:pPr>
                    <w:pStyle w:val="19"/>
                    <w:rPr>
                      <w:rFonts w:hint="default" w:eastAsia="宋体"/>
                      <w:lang w:val="en-US" w:eastAsia="zh-CN"/>
                    </w:rPr>
                  </w:pPr>
                  <w:r>
                    <w:rPr>
                      <w:rFonts w:hint="eastAsia"/>
                      <w:lang w:val="en-US" w:eastAsia="zh-CN"/>
                    </w:rPr>
                    <w:t>30(液)</w:t>
                  </w:r>
                </w:p>
              </w:tc>
              <w:tc>
                <w:tcPr>
                  <w:tcW w:w="662" w:type="pct"/>
                  <w:shd w:val="clear" w:color="auto" w:fill="auto"/>
                  <w:vAlign w:val="center"/>
                </w:tcPr>
                <w:p>
                  <w:pPr>
                    <w:pStyle w:val="19"/>
                  </w:pPr>
                  <w:r>
                    <w:rPr>
                      <w:rFonts w:hint="eastAsia"/>
                      <w:lang w:val="en-US" w:eastAsia="zh-CN"/>
                    </w:rPr>
                    <w:t>储罐</w:t>
                  </w:r>
                </w:p>
              </w:tc>
              <w:tc>
                <w:tcPr>
                  <w:tcW w:w="1061" w:type="pct"/>
                  <w:shd w:val="clear" w:color="auto" w:fill="auto"/>
                  <w:vAlign w:val="center"/>
                </w:tcPr>
                <w:p>
                  <w:pPr>
                    <w:pStyle w:val="19"/>
                    <w:rPr>
                      <w:rFonts w:hint="default" w:eastAsia="宋体"/>
                      <w:lang w:val="en-US" w:eastAsia="zh-CN"/>
                    </w:rPr>
                  </w:pPr>
                  <w:r>
                    <w:rPr>
                      <w:rFonts w:hint="eastAsia"/>
                      <w:lang w:val="en-US" w:eastAsia="zh-CN"/>
                    </w:rPr>
                    <w:t>外购，罐车运输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3</w:t>
                  </w:r>
                </w:p>
              </w:tc>
              <w:tc>
                <w:tcPr>
                  <w:tcW w:w="659" w:type="pct"/>
                  <w:shd w:val="clear" w:color="auto" w:fill="auto"/>
                  <w:vAlign w:val="center"/>
                </w:tcPr>
                <w:p>
                  <w:pPr>
                    <w:pStyle w:val="19"/>
                    <w:rPr>
                      <w:rFonts w:hint="eastAsia" w:eastAsia="宋体"/>
                      <w:lang w:val="en-US" w:eastAsia="zh-CN"/>
                    </w:rPr>
                  </w:pPr>
                  <w:r>
                    <w:rPr>
                      <w:rFonts w:hint="eastAsia"/>
                      <w:lang w:val="en-US" w:eastAsia="zh-CN"/>
                    </w:rPr>
                    <w:t>氧气</w:t>
                  </w:r>
                </w:p>
              </w:tc>
              <w:tc>
                <w:tcPr>
                  <w:tcW w:w="734" w:type="pct"/>
                  <w:shd w:val="clear" w:color="auto" w:fill="auto"/>
                  <w:vAlign w:val="center"/>
                </w:tcPr>
                <w:p>
                  <w:pPr>
                    <w:pStyle w:val="19"/>
                    <w:rPr>
                      <w:rFonts w:hint="eastAsia"/>
                    </w:rPr>
                  </w:pPr>
                  <w:r>
                    <w:t>×10</w:t>
                  </w:r>
                  <w:r>
                    <w:rPr>
                      <w:rFonts w:hint="eastAsia"/>
                      <w:vertAlign w:val="superscript"/>
                      <w:lang w:val="en-US" w:eastAsia="zh-CN"/>
                    </w:rPr>
                    <w:t>4</w:t>
                  </w:r>
                  <w:r>
                    <w:rPr>
                      <w:rFonts w:hint="eastAsia"/>
                    </w:rPr>
                    <w:t>Nm</w:t>
                  </w:r>
                  <w:r>
                    <w:rPr>
                      <w:rFonts w:hint="eastAsia"/>
                      <w:vertAlign w:val="superscript"/>
                    </w:rPr>
                    <w:t>3</w:t>
                  </w:r>
                  <w:r>
                    <w:rPr>
                      <w:rFonts w:hint="eastAsia"/>
                    </w:rPr>
                    <w:t>/a</w:t>
                  </w:r>
                </w:p>
              </w:tc>
              <w:tc>
                <w:tcPr>
                  <w:tcW w:w="691" w:type="pct"/>
                  <w:shd w:val="clear" w:color="auto" w:fill="auto"/>
                  <w:vAlign w:val="center"/>
                </w:tcPr>
                <w:p>
                  <w:pPr>
                    <w:pStyle w:val="19"/>
                    <w:rPr>
                      <w:rFonts w:hint="default" w:eastAsia="宋体"/>
                      <w:lang w:val="en-US" w:eastAsia="zh-CN"/>
                    </w:rPr>
                  </w:pPr>
                  <w:r>
                    <w:rPr>
                      <w:rFonts w:hint="eastAsia"/>
                      <w:lang w:val="en-US" w:eastAsia="zh-CN"/>
                    </w:rPr>
                    <w:t>150</w:t>
                  </w:r>
                </w:p>
              </w:tc>
              <w:tc>
                <w:tcPr>
                  <w:tcW w:w="794" w:type="pct"/>
                  <w:shd w:val="clear" w:color="auto" w:fill="auto"/>
                  <w:vAlign w:val="center"/>
                </w:tcPr>
                <w:p>
                  <w:pPr>
                    <w:pStyle w:val="19"/>
                    <w:rPr>
                      <w:rFonts w:hint="default" w:eastAsia="宋体"/>
                      <w:lang w:val="en-US" w:eastAsia="zh-CN"/>
                    </w:rPr>
                  </w:pPr>
                  <w:r>
                    <w:rPr>
                      <w:rFonts w:hint="eastAsia"/>
                      <w:lang w:val="en-US" w:eastAsia="zh-CN"/>
                    </w:rPr>
                    <w:t>30(液)</w:t>
                  </w:r>
                </w:p>
              </w:tc>
              <w:tc>
                <w:tcPr>
                  <w:tcW w:w="662" w:type="pct"/>
                  <w:shd w:val="clear" w:color="auto" w:fill="auto"/>
                  <w:vAlign w:val="center"/>
                </w:tcPr>
                <w:p>
                  <w:pPr>
                    <w:pStyle w:val="19"/>
                  </w:pPr>
                  <w:r>
                    <w:rPr>
                      <w:rFonts w:hint="eastAsia"/>
                      <w:lang w:val="en-US" w:eastAsia="zh-CN"/>
                    </w:rPr>
                    <w:t>储罐</w:t>
                  </w:r>
                </w:p>
              </w:tc>
              <w:tc>
                <w:tcPr>
                  <w:tcW w:w="1061" w:type="pct"/>
                  <w:shd w:val="clear" w:color="auto" w:fill="auto"/>
                  <w:vAlign w:val="center"/>
                </w:tcPr>
                <w:p>
                  <w:pPr>
                    <w:pStyle w:val="19"/>
                  </w:pPr>
                  <w:r>
                    <w:rPr>
                      <w:rFonts w:hint="eastAsia"/>
                      <w:lang w:val="en-US" w:eastAsia="zh-CN"/>
                    </w:rPr>
                    <w:t>外购，罐车运输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4</w:t>
                  </w:r>
                </w:p>
              </w:tc>
              <w:tc>
                <w:tcPr>
                  <w:tcW w:w="659" w:type="pct"/>
                  <w:shd w:val="clear" w:color="auto" w:fill="auto"/>
                  <w:vAlign w:val="center"/>
                </w:tcPr>
                <w:p>
                  <w:pPr>
                    <w:pStyle w:val="19"/>
                    <w:rPr>
                      <w:rFonts w:hint="eastAsia" w:eastAsia="宋体"/>
                      <w:lang w:val="en-US" w:eastAsia="zh-CN"/>
                    </w:rPr>
                  </w:pPr>
                  <w:r>
                    <w:rPr>
                      <w:rFonts w:hint="eastAsia"/>
                      <w:lang w:val="en-US" w:eastAsia="zh-CN"/>
                    </w:rPr>
                    <w:t>氩气</w:t>
                  </w:r>
                </w:p>
              </w:tc>
              <w:tc>
                <w:tcPr>
                  <w:tcW w:w="734" w:type="pct"/>
                  <w:shd w:val="clear" w:color="auto" w:fill="auto"/>
                  <w:vAlign w:val="center"/>
                </w:tcPr>
                <w:p>
                  <w:pPr>
                    <w:pStyle w:val="19"/>
                    <w:rPr>
                      <w:rFonts w:hint="eastAsia"/>
                    </w:rPr>
                  </w:pPr>
                  <w:r>
                    <w:t>×10</w:t>
                  </w:r>
                  <w:r>
                    <w:rPr>
                      <w:rFonts w:hint="eastAsia"/>
                      <w:vertAlign w:val="superscript"/>
                      <w:lang w:val="en-US" w:eastAsia="zh-CN"/>
                    </w:rPr>
                    <w:t>4</w:t>
                  </w:r>
                  <w:r>
                    <w:rPr>
                      <w:rFonts w:hint="eastAsia"/>
                    </w:rPr>
                    <w:t>Nm</w:t>
                  </w:r>
                  <w:r>
                    <w:rPr>
                      <w:rFonts w:hint="eastAsia"/>
                      <w:vertAlign w:val="superscript"/>
                    </w:rPr>
                    <w:t>3</w:t>
                  </w:r>
                  <w:r>
                    <w:rPr>
                      <w:rFonts w:hint="eastAsia"/>
                    </w:rPr>
                    <w:t>/a</w:t>
                  </w:r>
                </w:p>
              </w:tc>
              <w:tc>
                <w:tcPr>
                  <w:tcW w:w="691" w:type="pct"/>
                  <w:shd w:val="clear" w:color="auto" w:fill="auto"/>
                  <w:vAlign w:val="center"/>
                </w:tcPr>
                <w:p>
                  <w:pPr>
                    <w:pStyle w:val="19"/>
                    <w:rPr>
                      <w:rFonts w:hint="default" w:eastAsia="宋体"/>
                      <w:lang w:val="en-US" w:eastAsia="zh-CN"/>
                    </w:rPr>
                  </w:pPr>
                  <w:r>
                    <w:rPr>
                      <w:rFonts w:hint="eastAsia"/>
                      <w:lang w:val="en-US" w:eastAsia="zh-CN"/>
                    </w:rPr>
                    <w:t>40</w:t>
                  </w:r>
                </w:p>
              </w:tc>
              <w:tc>
                <w:tcPr>
                  <w:tcW w:w="794" w:type="pct"/>
                  <w:shd w:val="clear" w:color="auto" w:fill="auto"/>
                  <w:vAlign w:val="center"/>
                </w:tcPr>
                <w:p>
                  <w:pPr>
                    <w:pStyle w:val="19"/>
                    <w:rPr>
                      <w:rFonts w:hint="default" w:eastAsia="宋体"/>
                      <w:lang w:val="en-US" w:eastAsia="zh-CN"/>
                    </w:rPr>
                  </w:pPr>
                  <w:r>
                    <w:rPr>
                      <w:rFonts w:hint="eastAsia"/>
                      <w:lang w:val="en-US" w:eastAsia="zh-CN"/>
                    </w:rPr>
                    <w:t>20(液)</w:t>
                  </w:r>
                </w:p>
              </w:tc>
              <w:tc>
                <w:tcPr>
                  <w:tcW w:w="662" w:type="pct"/>
                  <w:shd w:val="clear" w:color="auto" w:fill="auto"/>
                  <w:vAlign w:val="center"/>
                </w:tcPr>
                <w:p>
                  <w:pPr>
                    <w:pStyle w:val="19"/>
                    <w:rPr>
                      <w:rFonts w:hint="eastAsia" w:eastAsia="宋体"/>
                      <w:lang w:val="en-US" w:eastAsia="zh-CN"/>
                    </w:rPr>
                  </w:pPr>
                  <w:r>
                    <w:rPr>
                      <w:rFonts w:hint="eastAsia"/>
                      <w:lang w:val="en-US" w:eastAsia="zh-CN"/>
                    </w:rPr>
                    <w:t>储罐</w:t>
                  </w:r>
                </w:p>
              </w:tc>
              <w:tc>
                <w:tcPr>
                  <w:tcW w:w="1061" w:type="pct"/>
                  <w:shd w:val="clear" w:color="auto" w:fill="auto"/>
                  <w:vAlign w:val="center"/>
                </w:tcPr>
                <w:p>
                  <w:pPr>
                    <w:pStyle w:val="19"/>
                  </w:pPr>
                  <w:r>
                    <w:rPr>
                      <w:rFonts w:hint="eastAsia"/>
                      <w:lang w:val="en-US" w:eastAsia="zh-CN"/>
                    </w:rPr>
                    <w:t>外购，罐车运输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5</w:t>
                  </w:r>
                </w:p>
              </w:tc>
              <w:tc>
                <w:tcPr>
                  <w:tcW w:w="659" w:type="pct"/>
                  <w:shd w:val="clear" w:color="auto" w:fill="auto"/>
                  <w:vAlign w:val="center"/>
                </w:tcPr>
                <w:p>
                  <w:pPr>
                    <w:pStyle w:val="19"/>
                  </w:pPr>
                  <w:r>
                    <w:rPr>
                      <w:rFonts w:hint="eastAsia"/>
                    </w:rPr>
                    <w:t>水</w:t>
                  </w:r>
                </w:p>
              </w:tc>
              <w:tc>
                <w:tcPr>
                  <w:tcW w:w="734" w:type="pct"/>
                  <w:shd w:val="clear" w:color="auto" w:fill="auto"/>
                  <w:vAlign w:val="center"/>
                </w:tcPr>
                <w:p>
                  <w:pPr>
                    <w:pStyle w:val="19"/>
                  </w:pPr>
                  <w:r>
                    <w:rPr>
                      <w:rFonts w:hint="eastAsia"/>
                    </w:rPr>
                    <w:t>m</w:t>
                  </w:r>
                  <w:r>
                    <w:rPr>
                      <w:rFonts w:hint="eastAsia"/>
                      <w:vertAlign w:val="superscript"/>
                    </w:rPr>
                    <w:t>3</w:t>
                  </w:r>
                  <w:r>
                    <w:rPr>
                      <w:rFonts w:hint="eastAsia"/>
                    </w:rPr>
                    <w:t>/a</w:t>
                  </w:r>
                </w:p>
              </w:tc>
              <w:tc>
                <w:tcPr>
                  <w:tcW w:w="691" w:type="pct"/>
                  <w:shd w:val="clear" w:color="auto" w:fill="auto"/>
                  <w:vAlign w:val="center"/>
                </w:tcPr>
                <w:p>
                  <w:pPr>
                    <w:pStyle w:val="19"/>
                    <w:rPr>
                      <w:rFonts w:hint="default" w:eastAsia="宋体"/>
                      <w:lang w:val="en-US" w:eastAsia="zh-CN"/>
                    </w:rPr>
                  </w:pPr>
                  <w:r>
                    <w:rPr>
                      <w:rFonts w:hint="eastAsia"/>
                      <w:lang w:val="en-US" w:eastAsia="zh-CN"/>
                    </w:rPr>
                    <w:t>5940</w:t>
                  </w:r>
                </w:p>
              </w:tc>
              <w:tc>
                <w:tcPr>
                  <w:tcW w:w="794" w:type="pct"/>
                  <w:shd w:val="clear" w:color="auto" w:fill="auto"/>
                  <w:vAlign w:val="center"/>
                </w:tcPr>
                <w:p>
                  <w:pPr>
                    <w:pStyle w:val="19"/>
                    <w:rPr>
                      <w:rFonts w:hint="eastAsia" w:eastAsia="宋体"/>
                      <w:lang w:val="en-US" w:eastAsia="zh-CN"/>
                    </w:rPr>
                  </w:pPr>
                  <w:r>
                    <w:rPr>
                      <w:rFonts w:hint="eastAsia"/>
                      <w:lang w:val="en-US" w:eastAsia="zh-CN"/>
                    </w:rPr>
                    <w:t>/</w:t>
                  </w:r>
                </w:p>
              </w:tc>
              <w:tc>
                <w:tcPr>
                  <w:tcW w:w="662" w:type="pct"/>
                  <w:shd w:val="clear" w:color="auto" w:fill="auto"/>
                  <w:vAlign w:val="center"/>
                </w:tcPr>
                <w:p>
                  <w:pPr>
                    <w:pStyle w:val="19"/>
                    <w:rPr>
                      <w:rFonts w:hint="eastAsia" w:eastAsia="宋体"/>
                      <w:lang w:val="en-US" w:eastAsia="zh-CN"/>
                    </w:rPr>
                  </w:pPr>
                  <w:r>
                    <w:rPr>
                      <w:rFonts w:hint="eastAsia"/>
                      <w:lang w:val="en-US" w:eastAsia="zh-CN"/>
                    </w:rPr>
                    <w:t>/</w:t>
                  </w:r>
                </w:p>
              </w:tc>
              <w:tc>
                <w:tcPr>
                  <w:tcW w:w="1061" w:type="pct"/>
                  <w:shd w:val="clear" w:color="auto" w:fill="auto"/>
                  <w:vAlign w:val="center"/>
                </w:tcPr>
                <w:p>
                  <w:pPr>
                    <w:pStyle w:val="19"/>
                    <w:rPr>
                      <w:rFonts w:hint="default" w:eastAsia="宋体"/>
                      <w:lang w:val="en-US" w:eastAsia="zh-CN"/>
                    </w:rPr>
                  </w:pPr>
                  <w:r>
                    <w:rPr>
                      <w:rFonts w:hint="eastAsia"/>
                      <w:lang w:val="en-US" w:eastAsia="zh-CN"/>
                    </w:rPr>
                    <w:t>园区，管道输送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pPr>
                    <w:pStyle w:val="19"/>
                    <w:rPr>
                      <w:rFonts w:hint="default" w:eastAsia="宋体"/>
                      <w:lang w:val="en-US" w:eastAsia="zh-CN"/>
                    </w:rPr>
                  </w:pPr>
                  <w:r>
                    <w:rPr>
                      <w:rFonts w:hint="eastAsia"/>
                      <w:lang w:val="en-US" w:eastAsia="zh-CN"/>
                    </w:rPr>
                    <w:t>6</w:t>
                  </w:r>
                </w:p>
              </w:tc>
              <w:tc>
                <w:tcPr>
                  <w:tcW w:w="659" w:type="pct"/>
                  <w:shd w:val="clear" w:color="auto" w:fill="auto"/>
                  <w:vAlign w:val="center"/>
                </w:tcPr>
                <w:p>
                  <w:pPr>
                    <w:pStyle w:val="19"/>
                  </w:pPr>
                  <w:r>
                    <w:rPr>
                      <w:rFonts w:hint="eastAsia"/>
                    </w:rPr>
                    <w:t>电</w:t>
                  </w:r>
                </w:p>
              </w:tc>
              <w:tc>
                <w:tcPr>
                  <w:tcW w:w="734" w:type="pct"/>
                  <w:shd w:val="clear" w:color="auto" w:fill="auto"/>
                  <w:vAlign w:val="center"/>
                </w:tcPr>
                <w:p>
                  <w:pPr>
                    <w:pStyle w:val="19"/>
                  </w:pPr>
                  <w:r>
                    <w:t>×10</w:t>
                  </w:r>
                  <w:r>
                    <w:rPr>
                      <w:vertAlign w:val="superscript"/>
                    </w:rPr>
                    <w:t>4</w:t>
                  </w:r>
                  <w:r>
                    <w:rPr>
                      <w:rFonts w:hint="eastAsia"/>
                    </w:rPr>
                    <w:t>kWh</w:t>
                  </w:r>
                  <w:r>
                    <w:t>/</w:t>
                  </w:r>
                  <w:r>
                    <w:rPr>
                      <w:rFonts w:hint="eastAsia"/>
                    </w:rPr>
                    <w:t>a</w:t>
                  </w:r>
                </w:p>
              </w:tc>
              <w:tc>
                <w:tcPr>
                  <w:tcW w:w="691" w:type="pct"/>
                  <w:shd w:val="clear" w:color="auto" w:fill="auto"/>
                  <w:vAlign w:val="center"/>
                </w:tcPr>
                <w:p>
                  <w:pPr>
                    <w:pStyle w:val="19"/>
                  </w:pPr>
                  <w:r>
                    <w:rPr>
                      <w:rFonts w:hint="eastAsia"/>
                    </w:rPr>
                    <w:t>2</w:t>
                  </w:r>
                  <w:r>
                    <w:t>200</w:t>
                  </w:r>
                </w:p>
              </w:tc>
              <w:tc>
                <w:tcPr>
                  <w:tcW w:w="794" w:type="pct"/>
                  <w:shd w:val="clear" w:color="auto" w:fill="auto"/>
                  <w:vAlign w:val="center"/>
                </w:tcPr>
                <w:p>
                  <w:pPr>
                    <w:pStyle w:val="19"/>
                    <w:rPr>
                      <w:rFonts w:hint="eastAsia" w:eastAsia="宋体"/>
                      <w:lang w:val="en-US" w:eastAsia="zh-CN"/>
                    </w:rPr>
                  </w:pPr>
                  <w:r>
                    <w:rPr>
                      <w:rFonts w:hint="eastAsia"/>
                      <w:lang w:val="en-US" w:eastAsia="zh-CN"/>
                    </w:rPr>
                    <w:t>/</w:t>
                  </w:r>
                </w:p>
              </w:tc>
              <w:tc>
                <w:tcPr>
                  <w:tcW w:w="662" w:type="pct"/>
                  <w:shd w:val="clear" w:color="auto" w:fill="auto"/>
                  <w:vAlign w:val="center"/>
                </w:tcPr>
                <w:p>
                  <w:pPr>
                    <w:pStyle w:val="19"/>
                    <w:rPr>
                      <w:rFonts w:hint="eastAsia" w:eastAsia="宋体"/>
                      <w:lang w:val="en-US" w:eastAsia="zh-CN"/>
                    </w:rPr>
                  </w:pPr>
                  <w:r>
                    <w:rPr>
                      <w:rFonts w:hint="eastAsia"/>
                      <w:lang w:val="en-US" w:eastAsia="zh-CN"/>
                    </w:rPr>
                    <w:t>/</w:t>
                  </w:r>
                </w:p>
              </w:tc>
              <w:tc>
                <w:tcPr>
                  <w:tcW w:w="1061" w:type="pct"/>
                  <w:shd w:val="clear" w:color="auto" w:fill="auto"/>
                  <w:vAlign w:val="center"/>
                </w:tcPr>
                <w:p>
                  <w:pPr>
                    <w:pStyle w:val="19"/>
                    <w:rPr>
                      <w:rFonts w:hint="default" w:eastAsia="宋体"/>
                      <w:lang w:val="en-US" w:eastAsia="zh-CN"/>
                    </w:rPr>
                  </w:pPr>
                  <w:r>
                    <w:rPr>
                      <w:rFonts w:hint="eastAsia"/>
                      <w:lang w:val="en-US" w:eastAsia="zh-CN"/>
                    </w:rPr>
                    <w:t>园区，电网输送</w:t>
                  </w:r>
                </w:p>
              </w:tc>
            </w:tr>
          </w:tbl>
          <w:p>
            <w:pPr>
              <w:spacing w:line="480" w:lineRule="exact"/>
              <w:ind w:firstLine="482"/>
              <w:rPr>
                <w:b/>
              </w:rPr>
            </w:pPr>
            <w:r>
              <w:rPr>
                <w:rFonts w:hint="eastAsia"/>
                <w:b/>
                <w:lang w:eastAsia="zh-CN"/>
              </w:rPr>
              <w:t>(</w:t>
            </w:r>
            <w:r>
              <w:rPr>
                <w:rFonts w:hint="eastAsia"/>
                <w:b/>
              </w:rPr>
              <w:t>2</w:t>
            </w:r>
            <w:r>
              <w:rPr>
                <w:rFonts w:hint="eastAsia"/>
                <w:b/>
                <w:lang w:eastAsia="zh-CN"/>
              </w:rPr>
              <w:t>)</w:t>
            </w:r>
            <w:r>
              <w:rPr>
                <w:rFonts w:hint="eastAsia"/>
                <w:b/>
                <w:lang w:val="en-US" w:eastAsia="zh-CN"/>
              </w:rPr>
              <w:t xml:space="preserve"> </w:t>
            </w:r>
            <w:r>
              <w:rPr>
                <w:rFonts w:hint="eastAsia"/>
                <w:b/>
              </w:rPr>
              <w:t>成分分析</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lang w:val="en-US" w:eastAsia="zh-CN"/>
              </w:rPr>
            </w:pPr>
            <w:r>
              <w:rPr>
                <w:rFonts w:hint="default" w:ascii="Times New Roman" w:hAnsi="Times New Roman" w:cs="Times New Roman"/>
              </w:rPr>
              <w:t>①</w:t>
            </w:r>
            <w:r>
              <w:rPr>
                <w:rFonts w:hint="default" w:ascii="Times New Roman" w:hAnsi="Times New Roman" w:cs="Times New Roman"/>
                <w:lang w:val="en-US" w:eastAsia="zh-CN"/>
              </w:rPr>
              <w:t xml:space="preserve"> 废钢</w:t>
            </w:r>
          </w:p>
          <w:p>
            <w:pPr>
              <w:spacing w:line="480" w:lineRule="exact"/>
              <w:rPr>
                <w:rFonts w:hint="default" w:eastAsia="宋体"/>
                <w:bCs/>
                <w:lang w:val="en-US" w:eastAsia="zh-CN"/>
              </w:rPr>
            </w:pPr>
            <w:r>
              <w:rPr>
                <w:rFonts w:hint="eastAsia"/>
                <w:bCs/>
              </w:rPr>
              <w:t>项目建成后年产3万吨特殊钢铸件</w:t>
            </w:r>
            <w:r>
              <w:rPr>
                <w:rFonts w:hint="eastAsia"/>
                <w:bCs/>
                <w:lang w:eastAsia="zh-CN"/>
              </w:rPr>
              <w:t>，烧损率按10%计，</w:t>
            </w:r>
            <w:r>
              <w:rPr>
                <w:rFonts w:hint="eastAsia"/>
                <w:bCs/>
                <w:lang w:val="en-US" w:eastAsia="zh-CN"/>
              </w:rPr>
              <w:t>则</w:t>
            </w:r>
            <w:r>
              <w:rPr>
                <w:rFonts w:hint="eastAsia"/>
                <w:bCs/>
                <w:lang w:eastAsia="zh-CN"/>
              </w:rPr>
              <w:t>废钢年消耗量约33000t/a。</w:t>
            </w:r>
          </w:p>
          <w:p>
            <w:pPr>
              <w:spacing w:line="480" w:lineRule="exact"/>
              <w:rPr>
                <w:rFonts w:hint="eastAsia"/>
                <w:bCs/>
              </w:rPr>
            </w:pPr>
            <w:r>
              <w:rPr>
                <w:rFonts w:hint="eastAsia"/>
                <w:bCs/>
              </w:rPr>
              <w:t>入炉废钢不得混有爆炸物、放射性元素、毒品和大量的有色金属等，确保安全生产和产品质量。</w:t>
            </w:r>
            <w:r>
              <w:rPr>
                <w:rFonts w:hint="eastAsia"/>
                <w:bCs/>
                <w:lang w:val="en-US" w:eastAsia="zh-CN"/>
              </w:rPr>
              <w:t>同时，</w:t>
            </w:r>
            <w:r>
              <w:rPr>
                <w:rFonts w:hint="eastAsia"/>
                <w:bCs/>
              </w:rPr>
              <w:t>入炉废钢不得混有含橡胶、塑料、油漆等有机物，确保二噁英的达标和减排。</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lang w:val="en-US" w:eastAsia="zh-CN"/>
              </w:rPr>
            </w:pPr>
            <w:r>
              <w:rPr>
                <w:rFonts w:hint="default" w:ascii="Times New Roman" w:hAnsi="Times New Roman" w:eastAsia="宋体" w:cs="Times New Roman"/>
              </w:rPr>
              <w:t>②</w:t>
            </w:r>
            <w:r>
              <w:rPr>
                <w:rFonts w:hint="eastAsia" w:eastAsia="宋体" w:cs="Times New Roman"/>
                <w:lang w:val="en-US" w:eastAsia="zh-CN"/>
              </w:rPr>
              <w:t xml:space="preserve"> 铁合金</w:t>
            </w:r>
          </w:p>
          <w:p>
            <w:pPr>
              <w:spacing w:line="480" w:lineRule="exact"/>
            </w:pPr>
            <w:r>
              <w:rPr>
                <w:rFonts w:hint="eastAsia" w:cs="Times New Roman"/>
                <w:bCs/>
                <w:lang w:val="en-US" w:eastAsia="zh-CN"/>
              </w:rPr>
              <w:t>铁合金年耗量约3750t/a，</w:t>
            </w:r>
            <w:r>
              <w:t>按国家标准成分供应</w:t>
            </w:r>
            <w:r>
              <w:rPr>
                <w:rFonts w:hint="eastAsia"/>
                <w:lang w:eastAsia="zh-CN"/>
              </w:rPr>
              <w:t>，</w:t>
            </w:r>
            <w:r>
              <w:t>典型铁合金质量要求见表</w:t>
            </w:r>
            <w:r>
              <w:rPr>
                <w:rFonts w:hint="eastAsia"/>
                <w:lang w:val="en-US" w:eastAsia="zh-CN"/>
              </w:rPr>
              <w:t>2-6</w:t>
            </w:r>
            <w: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ascii="Times New Roman" w:hAnsi="Times New Roman" w:eastAsia="宋体" w:cs="Times New Roman"/>
                <w:lang w:val="en-US" w:eastAsia="zh-CN"/>
              </w:rPr>
            </w:pPr>
            <w:r>
              <w:rPr>
                <w:rFonts w:hint="default" w:ascii="Times New Roman" w:hAnsi="Times New Roman" w:eastAsia="宋体" w:cs="Times New Roman"/>
              </w:rPr>
              <w:t>③</w:t>
            </w:r>
            <w:r>
              <w:rPr>
                <w:rFonts w:hint="eastAsia" w:eastAsia="宋体" w:cs="Times New Roman"/>
                <w:lang w:val="en-US" w:eastAsia="zh-CN"/>
              </w:rPr>
              <w:t xml:space="preserve"> 铝丝</w:t>
            </w:r>
          </w:p>
          <w:p>
            <w:pPr>
              <w:spacing w:line="480" w:lineRule="exact"/>
              <w:rPr>
                <w:rFonts w:hint="default" w:ascii="Times New Roman" w:hAnsi="Times New Roman" w:cs="Times New Roman"/>
                <w:bCs/>
              </w:rPr>
            </w:pPr>
            <w:r>
              <w:rPr>
                <w:rFonts w:hint="eastAsia" w:cs="Times New Roman"/>
                <w:bCs/>
                <w:lang w:val="en-US" w:eastAsia="zh-CN"/>
              </w:rPr>
              <w:t>铝丝年耗量约18t/a，铝含量大于97%。</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ascii="Times New Roman" w:hAnsi="Times New Roman" w:eastAsia="宋体" w:cs="Times New Roman"/>
                <w:lang w:val="en-US" w:eastAsia="zh-CN"/>
              </w:rPr>
            </w:pPr>
            <w:r>
              <w:rPr>
                <w:rFonts w:hint="default" w:ascii="Times New Roman" w:hAnsi="Times New Roman" w:eastAsia="宋体" w:cs="Times New Roman"/>
              </w:rPr>
              <w:t>④</w:t>
            </w:r>
            <w:r>
              <w:rPr>
                <w:rFonts w:hint="eastAsia" w:eastAsia="宋体" w:cs="Times New Roman"/>
                <w:lang w:val="en-US" w:eastAsia="zh-CN"/>
              </w:rPr>
              <w:t xml:space="preserve"> 萤石</w:t>
            </w:r>
          </w:p>
          <w:p>
            <w:pPr>
              <w:spacing w:line="480" w:lineRule="exact"/>
              <w:rPr>
                <w:rFonts w:hint="eastAsia" w:cs="Times New Roman"/>
                <w:bCs/>
                <w:lang w:val="en-US" w:eastAsia="zh-CN"/>
              </w:rPr>
            </w:pPr>
            <w:r>
              <w:rPr>
                <w:rFonts w:hint="eastAsia" w:cs="Times New Roman"/>
                <w:bCs/>
                <w:lang w:val="en-US" w:eastAsia="zh-CN"/>
              </w:rPr>
              <w:t>萤石年耗量约180t/a，其化学成分及物理性能要求见表2-7。</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lang w:val="en-US" w:eastAsia="zh-CN"/>
              </w:rPr>
            </w:pPr>
            <w:r>
              <w:rPr>
                <w:rFonts w:hint="default" w:ascii="Times New Roman" w:hAnsi="Times New Roman" w:eastAsia="宋体" w:cs="Times New Roman"/>
              </w:rPr>
              <w:t>⑤</w:t>
            </w:r>
            <w:r>
              <w:rPr>
                <w:rFonts w:hint="default" w:ascii="Times New Roman" w:hAnsi="Times New Roman" w:eastAsia="宋体" w:cs="Times New Roman"/>
                <w:lang w:val="en-US" w:eastAsia="zh-CN"/>
              </w:rPr>
              <w:t xml:space="preserve"> </w:t>
            </w:r>
            <w:r>
              <w:rPr>
                <w:rFonts w:hint="eastAsia" w:eastAsia="宋体" w:cs="Times New Roman"/>
                <w:lang w:val="en-US" w:eastAsia="zh-CN"/>
              </w:rPr>
              <w:t>活性石灰</w:t>
            </w:r>
          </w:p>
          <w:p>
            <w:pPr>
              <w:spacing w:line="480" w:lineRule="exact"/>
              <w:rPr>
                <w:rFonts w:hint="eastAsia" w:cs="Times New Roman"/>
                <w:bCs/>
                <w:lang w:val="en-US" w:eastAsia="zh-CN"/>
              </w:rPr>
            </w:pPr>
            <w:r>
              <w:rPr>
                <w:rFonts w:hint="eastAsia" w:cs="Times New Roman"/>
                <w:bCs/>
                <w:lang w:val="en-US" w:eastAsia="zh-CN"/>
              </w:rPr>
              <w:t>活性石灰年耗量约300t/a，其化学成分及物理性能要求见表2-8。</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rPr>
              <w:t>⑥</w:t>
            </w:r>
            <w:r>
              <w:rPr>
                <w:rFonts w:hint="default" w:ascii="Times New Roman" w:hAnsi="Times New Roman" w:eastAsia="宋体" w:cs="Times New Roman"/>
                <w:lang w:val="en-US" w:eastAsia="zh-CN"/>
              </w:rPr>
              <w:t xml:space="preserve"> </w:t>
            </w:r>
            <w:r>
              <w:rPr>
                <w:rFonts w:hint="eastAsia" w:cs="Times New Roman"/>
                <w:lang w:val="en-US" w:eastAsia="zh-CN"/>
              </w:rPr>
              <w:t>气体</w:t>
            </w:r>
          </w:p>
          <w:p>
            <w:pPr>
              <w:spacing w:line="480" w:lineRule="exact"/>
              <w:rPr>
                <w:rFonts w:hint="eastAsia"/>
                <w:bCs/>
                <w:lang w:val="en-US" w:eastAsia="zh-CN"/>
              </w:rPr>
            </w:pPr>
            <w:r>
              <w:rPr>
                <w:rFonts w:hint="eastAsia"/>
                <w:bCs/>
                <w:lang w:val="en-US" w:eastAsia="zh-CN"/>
              </w:rPr>
              <w:t>项目主要涉及氮气、氧气、氩气以及天然气等，各类气体的品质要求见表2-9。</w:t>
            </w:r>
          </w:p>
          <w:p>
            <w:pPr>
              <w:pStyle w:val="21"/>
              <w:bidi w:val="0"/>
              <w:rPr>
                <w:rFonts w:hint="eastAsia"/>
                <w:lang w:val="en-US" w:eastAsia="zh-CN"/>
              </w:rPr>
            </w:pPr>
            <w:r>
              <w:rPr>
                <w:rFonts w:hint="eastAsia"/>
                <w:lang w:val="en-US" w:eastAsia="zh-CN"/>
              </w:rPr>
              <w:t>表2-6  典型铁合金质量要求</w:t>
            </w:r>
          </w:p>
          <w:tbl>
            <w:tblPr>
              <w:tblStyle w:val="1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1"/>
              <w:gridCol w:w="1263"/>
              <w:gridCol w:w="1502"/>
              <w:gridCol w:w="628"/>
              <w:gridCol w:w="669"/>
              <w:gridCol w:w="669"/>
              <w:gridCol w:w="628"/>
              <w:gridCol w:w="669"/>
              <w:gridCol w:w="1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541" w:type="pct"/>
                  <w:vMerge w:val="restart"/>
                  <w:tcBorders>
                    <w:tl2br w:val="nil"/>
                    <w:tr2bl w:val="nil"/>
                  </w:tcBorders>
                  <w:vAlign w:val="center"/>
                </w:tcPr>
                <w:p>
                  <w:pPr>
                    <w:pStyle w:val="19"/>
                    <w:bidi w:val="0"/>
                    <w:rPr>
                      <w:rFonts w:hint="default"/>
                      <w:b/>
                      <w:bCs/>
                      <w:sz w:val="16"/>
                      <w:szCs w:val="16"/>
                    </w:rPr>
                  </w:pPr>
                  <w:r>
                    <w:rPr>
                      <w:rFonts w:hint="default"/>
                      <w:b/>
                      <w:bCs/>
                      <w:sz w:val="16"/>
                      <w:szCs w:val="16"/>
                    </w:rPr>
                    <w:t>铁合金</w:t>
                  </w:r>
                </w:p>
              </w:tc>
              <w:tc>
                <w:tcPr>
                  <w:tcW w:w="734" w:type="pct"/>
                  <w:vMerge w:val="restart"/>
                  <w:tcBorders>
                    <w:tl2br w:val="nil"/>
                    <w:tr2bl w:val="nil"/>
                  </w:tcBorders>
                  <w:vAlign w:val="center"/>
                </w:tcPr>
                <w:p>
                  <w:pPr>
                    <w:pStyle w:val="19"/>
                    <w:bidi w:val="0"/>
                    <w:rPr>
                      <w:rFonts w:hint="default"/>
                      <w:b/>
                      <w:bCs/>
                      <w:sz w:val="16"/>
                      <w:szCs w:val="16"/>
                    </w:rPr>
                  </w:pPr>
                  <w:r>
                    <w:rPr>
                      <w:rFonts w:hint="default"/>
                      <w:b/>
                      <w:bCs/>
                      <w:sz w:val="16"/>
                      <w:szCs w:val="16"/>
                    </w:rPr>
                    <w:t>名称</w:t>
                  </w:r>
                </w:p>
              </w:tc>
              <w:tc>
                <w:tcPr>
                  <w:tcW w:w="3723" w:type="pct"/>
                  <w:gridSpan w:val="7"/>
                  <w:tcBorders>
                    <w:tl2br w:val="nil"/>
                    <w:tr2bl w:val="nil"/>
                  </w:tcBorders>
                  <w:vAlign w:val="center"/>
                </w:tcPr>
                <w:p>
                  <w:pPr>
                    <w:pStyle w:val="19"/>
                    <w:bidi w:val="0"/>
                    <w:rPr>
                      <w:rFonts w:hint="eastAsia" w:eastAsia="宋体"/>
                      <w:b/>
                      <w:bCs/>
                      <w:sz w:val="16"/>
                      <w:szCs w:val="16"/>
                      <w:lang w:eastAsia="zh-CN"/>
                    </w:rPr>
                  </w:pPr>
                  <w:r>
                    <w:rPr>
                      <w:rFonts w:hint="default"/>
                      <w:b/>
                      <w:bCs/>
                      <w:sz w:val="16"/>
                      <w:szCs w:val="16"/>
                    </w:rPr>
                    <w:t>化学成分</w:t>
                  </w:r>
                  <w:r>
                    <w:rPr>
                      <w:rFonts w:hint="eastAsia"/>
                      <w:b/>
                      <w:bCs/>
                      <w:sz w:val="16"/>
                      <w:szCs w:val="16"/>
                      <w:lang w:eastAsia="zh-CN"/>
                    </w:rPr>
                    <w:t>(</w:t>
                  </w:r>
                  <w:r>
                    <w:rPr>
                      <w:rFonts w:hint="default"/>
                      <w:b/>
                      <w:bCs/>
                      <w:sz w:val="16"/>
                      <w:szCs w:val="16"/>
                      <w:lang w:val="en-US" w:eastAsia="zh-CN"/>
                    </w:rPr>
                    <w:t>%</w:t>
                  </w:r>
                  <w:r>
                    <w:rPr>
                      <w:rFonts w:hint="eastAsia"/>
                      <w:b/>
                      <w:bCs/>
                      <w:sz w:val="16"/>
                      <w:szCs w:val="16"/>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blHeader/>
                <w:jc w:val="center"/>
              </w:trPr>
              <w:tc>
                <w:tcPr>
                  <w:tcW w:w="541" w:type="pct"/>
                  <w:vMerge w:val="continue"/>
                  <w:tcBorders>
                    <w:tl2br w:val="nil"/>
                    <w:tr2bl w:val="nil"/>
                  </w:tcBorders>
                  <w:vAlign w:val="center"/>
                </w:tcPr>
                <w:p>
                  <w:pPr>
                    <w:pStyle w:val="19"/>
                    <w:bidi w:val="0"/>
                    <w:rPr>
                      <w:rFonts w:hint="default"/>
                      <w:b/>
                      <w:bCs/>
                      <w:sz w:val="16"/>
                      <w:szCs w:val="16"/>
                    </w:rPr>
                  </w:pPr>
                </w:p>
              </w:tc>
              <w:tc>
                <w:tcPr>
                  <w:tcW w:w="734" w:type="pct"/>
                  <w:vMerge w:val="continue"/>
                  <w:tcBorders>
                    <w:tl2br w:val="nil"/>
                    <w:tr2bl w:val="nil"/>
                  </w:tcBorders>
                  <w:vAlign w:val="center"/>
                </w:tcPr>
                <w:p>
                  <w:pPr>
                    <w:pStyle w:val="19"/>
                    <w:bidi w:val="0"/>
                    <w:rPr>
                      <w:rFonts w:hint="default"/>
                      <w:b/>
                      <w:bCs/>
                      <w:sz w:val="16"/>
                      <w:szCs w:val="16"/>
                    </w:rPr>
                  </w:pPr>
                </w:p>
              </w:tc>
              <w:tc>
                <w:tcPr>
                  <w:tcW w:w="873" w:type="pct"/>
                  <w:tcBorders>
                    <w:tl2br w:val="nil"/>
                    <w:tr2bl w:val="nil"/>
                  </w:tcBorders>
                  <w:vAlign w:val="center"/>
                </w:tcPr>
                <w:p>
                  <w:pPr>
                    <w:pStyle w:val="19"/>
                    <w:bidi w:val="0"/>
                    <w:rPr>
                      <w:rFonts w:hint="default"/>
                      <w:b/>
                      <w:bCs/>
                      <w:sz w:val="16"/>
                      <w:szCs w:val="16"/>
                    </w:rPr>
                  </w:pPr>
                </w:p>
              </w:tc>
              <w:tc>
                <w:tcPr>
                  <w:tcW w:w="365" w:type="pct"/>
                  <w:tcBorders>
                    <w:tl2br w:val="nil"/>
                    <w:tr2bl w:val="nil"/>
                  </w:tcBorders>
                  <w:vAlign w:val="center"/>
                </w:tcPr>
                <w:p>
                  <w:pPr>
                    <w:pStyle w:val="19"/>
                    <w:bidi w:val="0"/>
                    <w:rPr>
                      <w:rFonts w:hint="default"/>
                      <w:b/>
                      <w:bCs/>
                      <w:sz w:val="16"/>
                      <w:szCs w:val="16"/>
                    </w:rPr>
                  </w:pPr>
                  <w:r>
                    <w:rPr>
                      <w:rFonts w:hint="default"/>
                      <w:b/>
                      <w:bCs/>
                      <w:sz w:val="16"/>
                      <w:szCs w:val="16"/>
                    </w:rPr>
                    <w:t>C</w:t>
                  </w:r>
                </w:p>
              </w:tc>
              <w:tc>
                <w:tcPr>
                  <w:tcW w:w="389" w:type="pct"/>
                  <w:tcBorders>
                    <w:tl2br w:val="nil"/>
                    <w:tr2bl w:val="nil"/>
                  </w:tcBorders>
                  <w:vAlign w:val="center"/>
                </w:tcPr>
                <w:p>
                  <w:pPr>
                    <w:pStyle w:val="19"/>
                    <w:bidi w:val="0"/>
                    <w:rPr>
                      <w:rFonts w:hint="default"/>
                      <w:b/>
                      <w:bCs/>
                      <w:sz w:val="16"/>
                      <w:szCs w:val="16"/>
                    </w:rPr>
                  </w:pPr>
                  <w:r>
                    <w:rPr>
                      <w:rFonts w:hint="default"/>
                      <w:b/>
                      <w:bCs/>
                      <w:sz w:val="16"/>
                      <w:szCs w:val="16"/>
                    </w:rPr>
                    <w:t>Mn</w:t>
                  </w:r>
                </w:p>
              </w:tc>
              <w:tc>
                <w:tcPr>
                  <w:tcW w:w="389" w:type="pct"/>
                  <w:tcBorders>
                    <w:tl2br w:val="nil"/>
                    <w:tr2bl w:val="nil"/>
                  </w:tcBorders>
                  <w:vAlign w:val="center"/>
                </w:tcPr>
                <w:p>
                  <w:pPr>
                    <w:pStyle w:val="19"/>
                    <w:bidi w:val="0"/>
                    <w:rPr>
                      <w:rFonts w:hint="default"/>
                      <w:b/>
                      <w:bCs/>
                      <w:sz w:val="16"/>
                      <w:szCs w:val="16"/>
                    </w:rPr>
                  </w:pPr>
                  <w:r>
                    <w:rPr>
                      <w:rFonts w:hint="default"/>
                      <w:b/>
                      <w:bCs/>
                      <w:sz w:val="16"/>
                      <w:szCs w:val="16"/>
                    </w:rPr>
                    <w:t>Si</w:t>
                  </w:r>
                </w:p>
              </w:tc>
              <w:tc>
                <w:tcPr>
                  <w:tcW w:w="365" w:type="pct"/>
                  <w:tcBorders>
                    <w:tl2br w:val="nil"/>
                    <w:tr2bl w:val="nil"/>
                  </w:tcBorders>
                  <w:vAlign w:val="center"/>
                </w:tcPr>
                <w:p>
                  <w:pPr>
                    <w:pStyle w:val="19"/>
                    <w:bidi w:val="0"/>
                    <w:rPr>
                      <w:rFonts w:hint="default"/>
                      <w:b/>
                      <w:bCs/>
                      <w:sz w:val="16"/>
                      <w:szCs w:val="16"/>
                    </w:rPr>
                  </w:pPr>
                  <w:r>
                    <w:rPr>
                      <w:rFonts w:hint="default"/>
                      <w:b/>
                      <w:bCs/>
                      <w:sz w:val="16"/>
                      <w:szCs w:val="16"/>
                    </w:rPr>
                    <w:t>P</w:t>
                  </w:r>
                </w:p>
              </w:tc>
              <w:tc>
                <w:tcPr>
                  <w:tcW w:w="389" w:type="pct"/>
                  <w:tcBorders>
                    <w:tl2br w:val="nil"/>
                    <w:tr2bl w:val="nil"/>
                  </w:tcBorders>
                  <w:vAlign w:val="center"/>
                </w:tcPr>
                <w:p>
                  <w:pPr>
                    <w:pStyle w:val="19"/>
                    <w:bidi w:val="0"/>
                    <w:rPr>
                      <w:rFonts w:hint="default"/>
                      <w:b/>
                      <w:bCs/>
                      <w:sz w:val="16"/>
                      <w:szCs w:val="16"/>
                    </w:rPr>
                  </w:pPr>
                  <w:r>
                    <w:rPr>
                      <w:rFonts w:hint="default"/>
                      <w:b/>
                      <w:bCs/>
                      <w:sz w:val="16"/>
                      <w:szCs w:val="16"/>
                    </w:rPr>
                    <w:t>S</w:t>
                  </w:r>
                </w:p>
              </w:tc>
              <w:tc>
                <w:tcPr>
                  <w:tcW w:w="951" w:type="pct"/>
                  <w:tcBorders>
                    <w:tl2br w:val="nil"/>
                    <w:tr2bl w:val="nil"/>
                  </w:tcBorders>
                  <w:vAlign w:val="center"/>
                </w:tcPr>
                <w:p>
                  <w:pPr>
                    <w:pStyle w:val="19"/>
                    <w:bidi w:val="0"/>
                    <w:rPr>
                      <w:rFonts w:hint="default"/>
                      <w:b/>
                      <w:bCs/>
                      <w:sz w:val="16"/>
                      <w:szCs w:val="16"/>
                    </w:rPr>
                  </w:pPr>
                  <w:r>
                    <w:rPr>
                      <w:rFonts w:hint="default"/>
                      <w:b/>
                      <w:bCs/>
                      <w:sz w:val="16"/>
                      <w:szCs w:val="16"/>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restart"/>
                  <w:tcBorders>
                    <w:tl2br w:val="nil"/>
                    <w:tr2bl w:val="nil"/>
                  </w:tcBorders>
                  <w:vAlign w:val="center"/>
                </w:tcPr>
                <w:p>
                  <w:pPr>
                    <w:pStyle w:val="19"/>
                    <w:bidi w:val="0"/>
                    <w:rPr>
                      <w:rFonts w:hint="eastAsia" w:eastAsia="宋体"/>
                      <w:sz w:val="16"/>
                      <w:szCs w:val="16"/>
                      <w:lang w:eastAsia="zh-CN"/>
                    </w:rPr>
                  </w:pPr>
                  <w:r>
                    <w:rPr>
                      <w:rFonts w:hint="eastAsia"/>
                      <w:sz w:val="16"/>
                      <w:szCs w:val="16"/>
                      <w:lang w:val="en-US" w:eastAsia="zh-CN"/>
                    </w:rPr>
                    <w:t>硅铁</w:t>
                  </w:r>
                </w:p>
              </w:tc>
              <w:tc>
                <w:tcPr>
                  <w:tcW w:w="734" w:type="pct"/>
                  <w:tcBorders>
                    <w:tl2br w:val="nil"/>
                    <w:tr2bl w:val="nil"/>
                  </w:tcBorders>
                  <w:vAlign w:val="center"/>
                </w:tcPr>
                <w:p>
                  <w:pPr>
                    <w:pStyle w:val="19"/>
                    <w:bidi w:val="0"/>
                    <w:rPr>
                      <w:rFonts w:hint="default"/>
                      <w:sz w:val="16"/>
                      <w:szCs w:val="16"/>
                    </w:rPr>
                  </w:pPr>
                  <w:r>
                    <w:rPr>
                      <w:rFonts w:hint="default"/>
                      <w:sz w:val="16"/>
                      <w:szCs w:val="16"/>
                    </w:rPr>
                    <w:t>FeSi75Al0.5-B</w:t>
                  </w:r>
                </w:p>
              </w:tc>
              <w:tc>
                <w:tcPr>
                  <w:tcW w:w="873" w:type="pct"/>
                  <w:tcBorders>
                    <w:tl2br w:val="nil"/>
                    <w:tr2bl w:val="nil"/>
                  </w:tcBorders>
                  <w:vAlign w:val="center"/>
                </w:tcPr>
                <w:p>
                  <w:pPr>
                    <w:pStyle w:val="19"/>
                    <w:bidi w:val="0"/>
                    <w:rPr>
                      <w:rFonts w:hint="default"/>
                      <w:sz w:val="16"/>
                      <w:szCs w:val="16"/>
                    </w:rPr>
                  </w:pPr>
                  <w:r>
                    <w:rPr>
                      <w:rFonts w:hint="default"/>
                      <w:sz w:val="16"/>
                      <w:szCs w:val="16"/>
                    </w:rPr>
                    <w:t>Cr≤0.5、Ca≤1.0</w:t>
                  </w:r>
                </w:p>
              </w:tc>
              <w:tc>
                <w:tcPr>
                  <w:tcW w:w="365" w:type="pct"/>
                  <w:tcBorders>
                    <w:tl2br w:val="nil"/>
                    <w:tr2bl w:val="nil"/>
                  </w:tcBorders>
                  <w:vAlign w:val="center"/>
                </w:tcPr>
                <w:p>
                  <w:pPr>
                    <w:pStyle w:val="19"/>
                    <w:bidi w:val="0"/>
                    <w:rPr>
                      <w:rFonts w:hint="default"/>
                      <w:sz w:val="16"/>
                      <w:szCs w:val="16"/>
                    </w:rPr>
                  </w:pPr>
                  <w:r>
                    <w:rPr>
                      <w:rFonts w:hint="default"/>
                      <w:sz w:val="16"/>
                      <w:szCs w:val="16"/>
                    </w:rPr>
                    <w:t>≤0.2</w:t>
                  </w:r>
                </w:p>
              </w:tc>
              <w:tc>
                <w:tcPr>
                  <w:tcW w:w="389" w:type="pct"/>
                  <w:tcBorders>
                    <w:tl2br w:val="nil"/>
                    <w:tr2bl w:val="nil"/>
                  </w:tcBorders>
                  <w:vAlign w:val="center"/>
                </w:tcPr>
                <w:p>
                  <w:pPr>
                    <w:pStyle w:val="19"/>
                    <w:bidi w:val="0"/>
                    <w:rPr>
                      <w:rFonts w:hint="default"/>
                      <w:sz w:val="16"/>
                      <w:szCs w:val="16"/>
                    </w:rPr>
                  </w:pPr>
                  <w:r>
                    <w:rPr>
                      <w:rFonts w:hint="default"/>
                      <w:sz w:val="16"/>
                      <w:szCs w:val="16"/>
                    </w:rPr>
                    <w:t>≤0.5</w:t>
                  </w:r>
                </w:p>
              </w:tc>
              <w:tc>
                <w:tcPr>
                  <w:tcW w:w="389" w:type="pct"/>
                  <w:tcBorders>
                    <w:tl2br w:val="nil"/>
                    <w:tr2bl w:val="nil"/>
                  </w:tcBorders>
                  <w:vAlign w:val="center"/>
                </w:tcPr>
                <w:p>
                  <w:pPr>
                    <w:pStyle w:val="19"/>
                    <w:bidi w:val="0"/>
                    <w:rPr>
                      <w:rFonts w:hint="default"/>
                      <w:sz w:val="16"/>
                      <w:szCs w:val="16"/>
                    </w:rPr>
                  </w:pPr>
                  <w:r>
                    <w:rPr>
                      <w:rFonts w:hint="default"/>
                      <w:sz w:val="16"/>
                      <w:szCs w:val="16"/>
                    </w:rPr>
                    <w:t>72~80</w:t>
                  </w:r>
                </w:p>
              </w:tc>
              <w:tc>
                <w:tcPr>
                  <w:tcW w:w="365" w:type="pct"/>
                  <w:tcBorders>
                    <w:tl2br w:val="nil"/>
                    <w:tr2bl w:val="nil"/>
                  </w:tcBorders>
                  <w:vAlign w:val="center"/>
                </w:tcPr>
                <w:p>
                  <w:pPr>
                    <w:pStyle w:val="19"/>
                    <w:bidi w:val="0"/>
                    <w:rPr>
                      <w:rFonts w:hint="default"/>
                      <w:sz w:val="16"/>
                      <w:szCs w:val="16"/>
                    </w:rPr>
                  </w:pPr>
                  <w:r>
                    <w:rPr>
                      <w:rFonts w:hint="default"/>
                      <w:sz w:val="16"/>
                      <w:szCs w:val="16"/>
                    </w:rPr>
                    <w:t>≤0.04</w:t>
                  </w:r>
                </w:p>
              </w:tc>
              <w:tc>
                <w:tcPr>
                  <w:tcW w:w="389" w:type="pct"/>
                  <w:tcBorders>
                    <w:tl2br w:val="nil"/>
                    <w:tr2bl w:val="nil"/>
                  </w:tcBorders>
                  <w:vAlign w:val="center"/>
                </w:tcPr>
                <w:p>
                  <w:pPr>
                    <w:pStyle w:val="19"/>
                    <w:bidi w:val="0"/>
                    <w:rPr>
                      <w:rFonts w:hint="default"/>
                      <w:sz w:val="16"/>
                      <w:szCs w:val="16"/>
                    </w:rPr>
                  </w:pPr>
                  <w:r>
                    <w:rPr>
                      <w:rFonts w:hint="default"/>
                      <w:sz w:val="16"/>
                      <w:szCs w:val="16"/>
                    </w:rPr>
                    <w:t>≤0.02</w:t>
                  </w:r>
                </w:p>
              </w:tc>
              <w:tc>
                <w:tcPr>
                  <w:tcW w:w="951" w:type="pct"/>
                  <w:tcBorders>
                    <w:tl2br w:val="nil"/>
                    <w:tr2bl w:val="nil"/>
                  </w:tcBorders>
                  <w:vAlign w:val="center"/>
                </w:tcPr>
                <w:p>
                  <w:pPr>
                    <w:pStyle w:val="19"/>
                    <w:bidi w:val="0"/>
                    <w:rPr>
                      <w:rFonts w:hint="default"/>
                      <w:sz w:val="16"/>
                      <w:szCs w:val="16"/>
                    </w:rPr>
                  </w:pPr>
                  <w:r>
                    <w:rPr>
                      <w:rFonts w:hint="default"/>
                      <w:sz w:val="16"/>
                      <w:szCs w:val="16"/>
                    </w:rPr>
                    <w:t>Al≤0.5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continue"/>
                  <w:tcBorders>
                    <w:tl2br w:val="nil"/>
                    <w:tr2bl w:val="nil"/>
                  </w:tcBorders>
                  <w:vAlign w:val="center"/>
                </w:tcPr>
                <w:p>
                  <w:pPr>
                    <w:pStyle w:val="19"/>
                    <w:bidi w:val="0"/>
                    <w:rPr>
                      <w:rFonts w:hint="default"/>
                      <w:sz w:val="16"/>
                      <w:szCs w:val="16"/>
                    </w:rPr>
                  </w:pPr>
                </w:p>
              </w:tc>
              <w:tc>
                <w:tcPr>
                  <w:tcW w:w="734" w:type="pct"/>
                  <w:tcBorders>
                    <w:tl2br w:val="nil"/>
                    <w:tr2bl w:val="nil"/>
                  </w:tcBorders>
                  <w:vAlign w:val="center"/>
                </w:tcPr>
                <w:p>
                  <w:pPr>
                    <w:pStyle w:val="19"/>
                    <w:bidi w:val="0"/>
                    <w:rPr>
                      <w:rFonts w:hint="default"/>
                      <w:sz w:val="16"/>
                      <w:szCs w:val="16"/>
                    </w:rPr>
                  </w:pPr>
                  <w:r>
                    <w:rPr>
                      <w:rFonts w:hint="default"/>
                      <w:sz w:val="16"/>
                      <w:szCs w:val="16"/>
                    </w:rPr>
                    <w:t>FeSi75Al2.0-C</w:t>
                  </w:r>
                </w:p>
              </w:tc>
              <w:tc>
                <w:tcPr>
                  <w:tcW w:w="873" w:type="pct"/>
                  <w:tcBorders>
                    <w:tl2br w:val="nil"/>
                    <w:tr2bl w:val="nil"/>
                  </w:tcBorders>
                  <w:vAlign w:val="center"/>
                </w:tcPr>
                <w:p>
                  <w:pPr>
                    <w:pStyle w:val="19"/>
                    <w:bidi w:val="0"/>
                    <w:rPr>
                      <w:rFonts w:hint="default"/>
                      <w:sz w:val="16"/>
                      <w:szCs w:val="16"/>
                    </w:rPr>
                  </w:pPr>
                  <w:r>
                    <w:rPr>
                      <w:rFonts w:hint="default"/>
                      <w:sz w:val="16"/>
                      <w:szCs w:val="16"/>
                    </w:rPr>
                    <w:t>Cr≤0.5</w:t>
                  </w:r>
                </w:p>
              </w:tc>
              <w:tc>
                <w:tcPr>
                  <w:tcW w:w="365" w:type="pct"/>
                  <w:tcBorders>
                    <w:tl2br w:val="nil"/>
                    <w:tr2bl w:val="nil"/>
                  </w:tcBorders>
                  <w:vAlign w:val="center"/>
                </w:tcPr>
                <w:p>
                  <w:pPr>
                    <w:pStyle w:val="19"/>
                    <w:bidi w:val="0"/>
                    <w:rPr>
                      <w:rFonts w:hint="default"/>
                      <w:sz w:val="16"/>
                      <w:szCs w:val="16"/>
                    </w:rPr>
                  </w:pPr>
                  <w:r>
                    <w:rPr>
                      <w:rFonts w:hint="default"/>
                      <w:sz w:val="16"/>
                      <w:szCs w:val="16"/>
                    </w:rPr>
                    <w:t>≤0.2</w:t>
                  </w:r>
                </w:p>
              </w:tc>
              <w:tc>
                <w:tcPr>
                  <w:tcW w:w="389" w:type="pct"/>
                  <w:tcBorders>
                    <w:tl2br w:val="nil"/>
                    <w:tr2bl w:val="nil"/>
                  </w:tcBorders>
                  <w:vAlign w:val="center"/>
                </w:tcPr>
                <w:p>
                  <w:pPr>
                    <w:pStyle w:val="19"/>
                    <w:bidi w:val="0"/>
                    <w:rPr>
                      <w:rFonts w:hint="default"/>
                      <w:sz w:val="16"/>
                      <w:szCs w:val="16"/>
                    </w:rPr>
                  </w:pPr>
                  <w:r>
                    <w:rPr>
                      <w:rFonts w:hint="default"/>
                      <w:sz w:val="16"/>
                      <w:szCs w:val="16"/>
                    </w:rPr>
                    <w:t>≤0.5</w:t>
                  </w:r>
                </w:p>
              </w:tc>
              <w:tc>
                <w:tcPr>
                  <w:tcW w:w="389" w:type="pct"/>
                  <w:tcBorders>
                    <w:tl2br w:val="nil"/>
                    <w:tr2bl w:val="nil"/>
                  </w:tcBorders>
                  <w:vAlign w:val="center"/>
                </w:tcPr>
                <w:p>
                  <w:pPr>
                    <w:pStyle w:val="19"/>
                    <w:bidi w:val="0"/>
                    <w:rPr>
                      <w:rFonts w:hint="default"/>
                      <w:sz w:val="16"/>
                      <w:szCs w:val="16"/>
                    </w:rPr>
                  </w:pPr>
                  <w:r>
                    <w:rPr>
                      <w:rFonts w:hint="default"/>
                      <w:sz w:val="16"/>
                      <w:szCs w:val="16"/>
                    </w:rPr>
                    <w:t>72~80</w:t>
                  </w:r>
                </w:p>
              </w:tc>
              <w:tc>
                <w:tcPr>
                  <w:tcW w:w="365" w:type="pct"/>
                  <w:tcBorders>
                    <w:tl2br w:val="nil"/>
                    <w:tr2bl w:val="nil"/>
                  </w:tcBorders>
                  <w:vAlign w:val="center"/>
                </w:tcPr>
                <w:p>
                  <w:pPr>
                    <w:pStyle w:val="19"/>
                    <w:bidi w:val="0"/>
                    <w:rPr>
                      <w:rFonts w:hint="default"/>
                      <w:sz w:val="16"/>
                      <w:szCs w:val="16"/>
                    </w:rPr>
                  </w:pPr>
                  <w:r>
                    <w:rPr>
                      <w:rFonts w:hint="default"/>
                      <w:sz w:val="16"/>
                      <w:szCs w:val="16"/>
                    </w:rPr>
                    <w:t>≤0.04</w:t>
                  </w:r>
                </w:p>
              </w:tc>
              <w:tc>
                <w:tcPr>
                  <w:tcW w:w="389" w:type="pct"/>
                  <w:tcBorders>
                    <w:tl2br w:val="nil"/>
                    <w:tr2bl w:val="nil"/>
                  </w:tcBorders>
                  <w:vAlign w:val="center"/>
                </w:tcPr>
                <w:p>
                  <w:pPr>
                    <w:pStyle w:val="19"/>
                    <w:bidi w:val="0"/>
                    <w:rPr>
                      <w:rFonts w:hint="default"/>
                      <w:sz w:val="16"/>
                      <w:szCs w:val="16"/>
                    </w:rPr>
                  </w:pPr>
                  <w:r>
                    <w:rPr>
                      <w:rFonts w:hint="default"/>
                      <w:sz w:val="16"/>
                      <w:szCs w:val="16"/>
                    </w:rPr>
                    <w:t>≤ 0.02</w:t>
                  </w:r>
                </w:p>
              </w:tc>
              <w:tc>
                <w:tcPr>
                  <w:tcW w:w="951" w:type="pct"/>
                  <w:tcBorders>
                    <w:tl2br w:val="nil"/>
                    <w:tr2bl w:val="nil"/>
                  </w:tcBorders>
                  <w:vAlign w:val="center"/>
                </w:tcPr>
                <w:p>
                  <w:pPr>
                    <w:pStyle w:val="19"/>
                    <w:bidi w:val="0"/>
                    <w:rPr>
                      <w:rFonts w:hint="default"/>
                      <w:sz w:val="16"/>
                      <w:szCs w:val="16"/>
                    </w:rPr>
                  </w:pPr>
                  <w:r>
                    <w:rPr>
                      <w:rFonts w:hint="default"/>
                      <w:sz w:val="16"/>
                      <w:szCs w:val="16"/>
                    </w:rPr>
                    <w:t>Al≤2.0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continue"/>
                  <w:tcBorders>
                    <w:tl2br w:val="nil"/>
                    <w:tr2bl w:val="nil"/>
                  </w:tcBorders>
                  <w:vAlign w:val="center"/>
                </w:tcPr>
                <w:p>
                  <w:pPr>
                    <w:pStyle w:val="19"/>
                    <w:bidi w:val="0"/>
                    <w:rPr>
                      <w:rFonts w:hint="default"/>
                      <w:sz w:val="16"/>
                      <w:szCs w:val="16"/>
                    </w:rPr>
                  </w:pPr>
                </w:p>
              </w:tc>
              <w:tc>
                <w:tcPr>
                  <w:tcW w:w="734" w:type="pct"/>
                  <w:tcBorders>
                    <w:tl2br w:val="nil"/>
                    <w:tr2bl w:val="nil"/>
                  </w:tcBorders>
                  <w:vAlign w:val="center"/>
                </w:tcPr>
                <w:p>
                  <w:pPr>
                    <w:pStyle w:val="19"/>
                    <w:bidi w:val="0"/>
                    <w:rPr>
                      <w:rFonts w:hint="default"/>
                      <w:sz w:val="16"/>
                      <w:szCs w:val="16"/>
                    </w:rPr>
                  </w:pPr>
                  <w:r>
                    <w:rPr>
                      <w:rFonts w:hint="default"/>
                      <w:sz w:val="16"/>
                      <w:szCs w:val="16"/>
                    </w:rPr>
                    <w:t>FeSi75-C</w:t>
                  </w:r>
                </w:p>
              </w:tc>
              <w:tc>
                <w:tcPr>
                  <w:tcW w:w="873" w:type="pct"/>
                  <w:tcBorders>
                    <w:tl2br w:val="nil"/>
                    <w:tr2bl w:val="nil"/>
                  </w:tcBorders>
                  <w:vAlign w:val="center"/>
                </w:tcPr>
                <w:p>
                  <w:pPr>
                    <w:pStyle w:val="19"/>
                    <w:bidi w:val="0"/>
                    <w:rPr>
                      <w:rFonts w:hint="default"/>
                      <w:sz w:val="16"/>
                      <w:szCs w:val="16"/>
                    </w:rPr>
                  </w:pPr>
                  <w:r>
                    <w:rPr>
                      <w:rFonts w:hint="default"/>
                      <w:sz w:val="16"/>
                      <w:szCs w:val="16"/>
                    </w:rPr>
                    <w:t>Cr≤0.5</w:t>
                  </w:r>
                </w:p>
              </w:tc>
              <w:tc>
                <w:tcPr>
                  <w:tcW w:w="365" w:type="pct"/>
                  <w:tcBorders>
                    <w:tl2br w:val="nil"/>
                    <w:tr2bl w:val="nil"/>
                  </w:tcBorders>
                  <w:vAlign w:val="center"/>
                </w:tcPr>
                <w:p>
                  <w:pPr>
                    <w:pStyle w:val="19"/>
                    <w:bidi w:val="0"/>
                    <w:rPr>
                      <w:rFonts w:hint="default"/>
                      <w:sz w:val="16"/>
                      <w:szCs w:val="16"/>
                    </w:rPr>
                  </w:pPr>
                  <w:r>
                    <w:rPr>
                      <w:rFonts w:hint="default"/>
                      <w:sz w:val="16"/>
                      <w:szCs w:val="16"/>
                    </w:rPr>
                    <w:t>≤0.2</w:t>
                  </w:r>
                </w:p>
              </w:tc>
              <w:tc>
                <w:tcPr>
                  <w:tcW w:w="389" w:type="pct"/>
                  <w:tcBorders>
                    <w:tl2br w:val="nil"/>
                    <w:tr2bl w:val="nil"/>
                  </w:tcBorders>
                  <w:vAlign w:val="center"/>
                </w:tcPr>
                <w:p>
                  <w:pPr>
                    <w:pStyle w:val="19"/>
                    <w:bidi w:val="0"/>
                    <w:rPr>
                      <w:rFonts w:hint="default"/>
                      <w:sz w:val="16"/>
                      <w:szCs w:val="16"/>
                    </w:rPr>
                  </w:pPr>
                  <w:r>
                    <w:rPr>
                      <w:rFonts w:hint="default"/>
                      <w:sz w:val="16"/>
                      <w:szCs w:val="16"/>
                    </w:rPr>
                    <w:t>≤0.5</w:t>
                  </w:r>
                </w:p>
              </w:tc>
              <w:tc>
                <w:tcPr>
                  <w:tcW w:w="389" w:type="pct"/>
                  <w:tcBorders>
                    <w:tl2br w:val="nil"/>
                    <w:tr2bl w:val="nil"/>
                  </w:tcBorders>
                  <w:vAlign w:val="center"/>
                </w:tcPr>
                <w:p>
                  <w:pPr>
                    <w:pStyle w:val="19"/>
                    <w:bidi w:val="0"/>
                    <w:rPr>
                      <w:rFonts w:hint="default"/>
                      <w:sz w:val="16"/>
                      <w:szCs w:val="16"/>
                    </w:rPr>
                  </w:pPr>
                  <w:r>
                    <w:rPr>
                      <w:rFonts w:hint="default"/>
                      <w:sz w:val="16"/>
                      <w:szCs w:val="16"/>
                    </w:rPr>
                    <w:t>72~80</w:t>
                  </w:r>
                </w:p>
              </w:tc>
              <w:tc>
                <w:tcPr>
                  <w:tcW w:w="365" w:type="pct"/>
                  <w:tcBorders>
                    <w:tl2br w:val="nil"/>
                    <w:tr2bl w:val="nil"/>
                  </w:tcBorders>
                  <w:vAlign w:val="center"/>
                </w:tcPr>
                <w:p>
                  <w:pPr>
                    <w:pStyle w:val="19"/>
                    <w:bidi w:val="0"/>
                    <w:rPr>
                      <w:rFonts w:hint="default"/>
                      <w:sz w:val="16"/>
                      <w:szCs w:val="16"/>
                    </w:rPr>
                  </w:pPr>
                  <w:r>
                    <w:rPr>
                      <w:rFonts w:hint="default"/>
                      <w:sz w:val="16"/>
                      <w:szCs w:val="16"/>
                    </w:rPr>
                    <w:t>≤0.04</w:t>
                  </w:r>
                </w:p>
              </w:tc>
              <w:tc>
                <w:tcPr>
                  <w:tcW w:w="389" w:type="pct"/>
                  <w:tcBorders>
                    <w:tl2br w:val="nil"/>
                    <w:tr2bl w:val="nil"/>
                  </w:tcBorders>
                  <w:vAlign w:val="center"/>
                </w:tcPr>
                <w:p>
                  <w:pPr>
                    <w:pStyle w:val="19"/>
                    <w:bidi w:val="0"/>
                    <w:rPr>
                      <w:rFonts w:hint="default"/>
                      <w:sz w:val="16"/>
                      <w:szCs w:val="16"/>
                    </w:rPr>
                  </w:pPr>
                  <w:r>
                    <w:rPr>
                      <w:rFonts w:hint="default"/>
                      <w:sz w:val="16"/>
                      <w:szCs w:val="16"/>
                    </w:rPr>
                    <w:t>0.02</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restart"/>
                  <w:tcBorders>
                    <w:tl2br w:val="nil"/>
                    <w:tr2bl w:val="nil"/>
                  </w:tcBorders>
                  <w:vAlign w:val="center"/>
                </w:tcPr>
                <w:p>
                  <w:pPr>
                    <w:pStyle w:val="19"/>
                    <w:bidi w:val="0"/>
                    <w:rPr>
                      <w:rFonts w:hint="eastAsia" w:eastAsia="宋体"/>
                      <w:sz w:val="16"/>
                      <w:szCs w:val="16"/>
                      <w:lang w:eastAsia="zh-CN"/>
                    </w:rPr>
                  </w:pPr>
                  <w:r>
                    <w:rPr>
                      <w:rFonts w:hint="eastAsia"/>
                      <w:sz w:val="16"/>
                      <w:szCs w:val="16"/>
                      <w:lang w:val="en-US" w:eastAsia="zh-CN"/>
                    </w:rPr>
                    <w:t>锰铁(高碳)</w:t>
                  </w:r>
                </w:p>
              </w:tc>
              <w:tc>
                <w:tcPr>
                  <w:tcW w:w="734" w:type="pct"/>
                  <w:tcBorders>
                    <w:tl2br w:val="nil"/>
                    <w:tr2bl w:val="nil"/>
                  </w:tcBorders>
                  <w:vAlign w:val="center"/>
                </w:tcPr>
                <w:p>
                  <w:pPr>
                    <w:pStyle w:val="19"/>
                    <w:bidi w:val="0"/>
                    <w:rPr>
                      <w:rFonts w:hint="default"/>
                      <w:sz w:val="16"/>
                      <w:szCs w:val="16"/>
                    </w:rPr>
                  </w:pPr>
                  <w:r>
                    <w:rPr>
                      <w:rFonts w:hint="default"/>
                      <w:sz w:val="16"/>
                      <w:szCs w:val="16"/>
                    </w:rPr>
                    <w:t>FeMn74C7.5</w:t>
                  </w:r>
                </w:p>
              </w:tc>
              <w:tc>
                <w:tcPr>
                  <w:tcW w:w="873" w:type="pct"/>
                  <w:tcBorders>
                    <w:tl2br w:val="nil"/>
                    <w:tr2bl w:val="nil"/>
                  </w:tcBorders>
                  <w:vAlign w:val="center"/>
                </w:tcPr>
                <w:p>
                  <w:pPr>
                    <w:pStyle w:val="19"/>
                    <w:bidi w:val="0"/>
                    <w:rPr>
                      <w:rFonts w:hint="default"/>
                      <w:sz w:val="16"/>
                      <w:szCs w:val="16"/>
                    </w:rPr>
                  </w:pPr>
                </w:p>
              </w:tc>
              <w:tc>
                <w:tcPr>
                  <w:tcW w:w="365" w:type="pct"/>
                  <w:tcBorders>
                    <w:tl2br w:val="nil"/>
                    <w:tr2bl w:val="nil"/>
                  </w:tcBorders>
                  <w:vAlign w:val="center"/>
                </w:tcPr>
                <w:p>
                  <w:pPr>
                    <w:pStyle w:val="19"/>
                    <w:bidi w:val="0"/>
                    <w:rPr>
                      <w:rFonts w:hint="default"/>
                      <w:sz w:val="16"/>
                      <w:szCs w:val="16"/>
                    </w:rPr>
                  </w:pPr>
                  <w:r>
                    <w:rPr>
                      <w:rFonts w:hint="default"/>
                      <w:sz w:val="16"/>
                      <w:szCs w:val="16"/>
                    </w:rPr>
                    <w:t>≤7.5</w:t>
                  </w:r>
                </w:p>
              </w:tc>
              <w:tc>
                <w:tcPr>
                  <w:tcW w:w="389" w:type="pct"/>
                  <w:tcBorders>
                    <w:tl2br w:val="nil"/>
                    <w:tr2bl w:val="nil"/>
                  </w:tcBorders>
                  <w:vAlign w:val="center"/>
                </w:tcPr>
                <w:p>
                  <w:pPr>
                    <w:pStyle w:val="19"/>
                    <w:bidi w:val="0"/>
                    <w:rPr>
                      <w:rFonts w:hint="default"/>
                      <w:sz w:val="16"/>
                      <w:szCs w:val="16"/>
                    </w:rPr>
                  </w:pPr>
                  <w:r>
                    <w:rPr>
                      <w:rFonts w:hint="default"/>
                      <w:sz w:val="16"/>
                      <w:szCs w:val="16"/>
                    </w:rPr>
                    <w:t>70~77</w:t>
                  </w:r>
                </w:p>
              </w:tc>
              <w:tc>
                <w:tcPr>
                  <w:tcW w:w="389" w:type="pct"/>
                  <w:tcBorders>
                    <w:tl2br w:val="nil"/>
                    <w:tr2bl w:val="nil"/>
                  </w:tcBorders>
                  <w:vAlign w:val="center"/>
                </w:tcPr>
                <w:p>
                  <w:pPr>
                    <w:pStyle w:val="19"/>
                    <w:bidi w:val="0"/>
                    <w:rPr>
                      <w:rFonts w:hint="default"/>
                      <w:sz w:val="16"/>
                      <w:szCs w:val="16"/>
                    </w:rPr>
                  </w:pPr>
                  <w:r>
                    <w:rPr>
                      <w:rFonts w:hint="default"/>
                      <w:sz w:val="16"/>
                      <w:szCs w:val="16"/>
                    </w:rPr>
                    <w:t>≤2.0</w:t>
                  </w:r>
                </w:p>
              </w:tc>
              <w:tc>
                <w:tcPr>
                  <w:tcW w:w="365" w:type="pct"/>
                  <w:tcBorders>
                    <w:tl2br w:val="nil"/>
                    <w:tr2bl w:val="nil"/>
                  </w:tcBorders>
                  <w:vAlign w:val="center"/>
                </w:tcPr>
                <w:p>
                  <w:pPr>
                    <w:pStyle w:val="19"/>
                    <w:bidi w:val="0"/>
                    <w:rPr>
                      <w:rFonts w:hint="default"/>
                      <w:sz w:val="16"/>
                      <w:szCs w:val="16"/>
                    </w:rPr>
                  </w:pPr>
                  <w:r>
                    <w:rPr>
                      <w:rFonts w:hint="default"/>
                      <w:sz w:val="16"/>
                      <w:szCs w:val="16"/>
                    </w:rPr>
                    <w:t>≤0.25</w:t>
                  </w:r>
                </w:p>
              </w:tc>
              <w:tc>
                <w:tcPr>
                  <w:tcW w:w="389" w:type="pct"/>
                  <w:tcBorders>
                    <w:tl2br w:val="nil"/>
                    <w:tr2bl w:val="nil"/>
                  </w:tcBorders>
                  <w:vAlign w:val="center"/>
                </w:tcPr>
                <w:p>
                  <w:pPr>
                    <w:pStyle w:val="19"/>
                    <w:bidi w:val="0"/>
                    <w:rPr>
                      <w:rFonts w:hint="default"/>
                      <w:sz w:val="16"/>
                      <w:szCs w:val="16"/>
                    </w:rPr>
                  </w:pPr>
                  <w:r>
                    <w:rPr>
                      <w:rFonts w:hint="default"/>
                      <w:sz w:val="16"/>
                      <w:szCs w:val="16"/>
                    </w:rPr>
                    <w:t>≤0.03</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continue"/>
                  <w:tcBorders>
                    <w:tl2br w:val="nil"/>
                    <w:tr2bl w:val="nil"/>
                  </w:tcBorders>
                  <w:vAlign w:val="center"/>
                </w:tcPr>
                <w:p>
                  <w:pPr>
                    <w:pStyle w:val="19"/>
                    <w:bidi w:val="0"/>
                    <w:rPr>
                      <w:rFonts w:hint="default"/>
                      <w:sz w:val="16"/>
                      <w:szCs w:val="16"/>
                    </w:rPr>
                  </w:pPr>
                </w:p>
              </w:tc>
              <w:tc>
                <w:tcPr>
                  <w:tcW w:w="734" w:type="pct"/>
                  <w:tcBorders>
                    <w:tl2br w:val="nil"/>
                    <w:tr2bl w:val="nil"/>
                  </w:tcBorders>
                  <w:vAlign w:val="center"/>
                </w:tcPr>
                <w:p>
                  <w:pPr>
                    <w:pStyle w:val="19"/>
                    <w:bidi w:val="0"/>
                    <w:rPr>
                      <w:rFonts w:hint="default"/>
                      <w:sz w:val="16"/>
                      <w:szCs w:val="16"/>
                    </w:rPr>
                  </w:pPr>
                  <w:r>
                    <w:rPr>
                      <w:rFonts w:hint="default"/>
                      <w:sz w:val="16"/>
                      <w:szCs w:val="16"/>
                    </w:rPr>
                    <w:t>FeMn68C7.0</w:t>
                  </w:r>
                </w:p>
              </w:tc>
              <w:tc>
                <w:tcPr>
                  <w:tcW w:w="873" w:type="pct"/>
                  <w:tcBorders>
                    <w:tl2br w:val="nil"/>
                    <w:tr2bl w:val="nil"/>
                  </w:tcBorders>
                  <w:vAlign w:val="center"/>
                </w:tcPr>
                <w:p>
                  <w:pPr>
                    <w:pStyle w:val="19"/>
                    <w:bidi w:val="0"/>
                    <w:rPr>
                      <w:rFonts w:hint="default"/>
                      <w:sz w:val="16"/>
                      <w:szCs w:val="16"/>
                    </w:rPr>
                  </w:pPr>
                </w:p>
              </w:tc>
              <w:tc>
                <w:tcPr>
                  <w:tcW w:w="365" w:type="pct"/>
                  <w:tcBorders>
                    <w:tl2br w:val="nil"/>
                    <w:tr2bl w:val="nil"/>
                  </w:tcBorders>
                  <w:vAlign w:val="center"/>
                </w:tcPr>
                <w:p>
                  <w:pPr>
                    <w:pStyle w:val="19"/>
                    <w:bidi w:val="0"/>
                    <w:rPr>
                      <w:rFonts w:hint="default"/>
                      <w:sz w:val="16"/>
                      <w:szCs w:val="16"/>
                    </w:rPr>
                  </w:pPr>
                  <w:r>
                    <w:rPr>
                      <w:rFonts w:hint="default"/>
                      <w:sz w:val="16"/>
                      <w:szCs w:val="16"/>
                    </w:rPr>
                    <w:t>≤7.0</w:t>
                  </w:r>
                </w:p>
              </w:tc>
              <w:tc>
                <w:tcPr>
                  <w:tcW w:w="389" w:type="pct"/>
                  <w:tcBorders>
                    <w:tl2br w:val="nil"/>
                    <w:tr2bl w:val="nil"/>
                  </w:tcBorders>
                  <w:vAlign w:val="center"/>
                </w:tcPr>
                <w:p>
                  <w:pPr>
                    <w:pStyle w:val="19"/>
                    <w:bidi w:val="0"/>
                    <w:rPr>
                      <w:rFonts w:hint="default"/>
                      <w:sz w:val="16"/>
                      <w:szCs w:val="16"/>
                    </w:rPr>
                  </w:pPr>
                  <w:r>
                    <w:rPr>
                      <w:rFonts w:hint="default"/>
                      <w:sz w:val="16"/>
                      <w:szCs w:val="16"/>
                    </w:rPr>
                    <w:t>65~72</w:t>
                  </w:r>
                </w:p>
              </w:tc>
              <w:tc>
                <w:tcPr>
                  <w:tcW w:w="389" w:type="pct"/>
                  <w:tcBorders>
                    <w:tl2br w:val="nil"/>
                    <w:tr2bl w:val="nil"/>
                  </w:tcBorders>
                  <w:vAlign w:val="center"/>
                </w:tcPr>
                <w:p>
                  <w:pPr>
                    <w:pStyle w:val="19"/>
                    <w:bidi w:val="0"/>
                    <w:rPr>
                      <w:rFonts w:hint="default"/>
                      <w:sz w:val="16"/>
                      <w:szCs w:val="16"/>
                    </w:rPr>
                  </w:pPr>
                  <w:r>
                    <w:rPr>
                      <w:rFonts w:hint="default"/>
                      <w:sz w:val="16"/>
                      <w:szCs w:val="16"/>
                    </w:rPr>
                    <w:t>≤2.5</w:t>
                  </w:r>
                </w:p>
              </w:tc>
              <w:tc>
                <w:tcPr>
                  <w:tcW w:w="365" w:type="pct"/>
                  <w:tcBorders>
                    <w:tl2br w:val="nil"/>
                    <w:tr2bl w:val="nil"/>
                  </w:tcBorders>
                  <w:vAlign w:val="center"/>
                </w:tcPr>
                <w:p>
                  <w:pPr>
                    <w:pStyle w:val="19"/>
                    <w:bidi w:val="0"/>
                    <w:rPr>
                      <w:rFonts w:hint="default"/>
                      <w:sz w:val="16"/>
                      <w:szCs w:val="16"/>
                    </w:rPr>
                  </w:pPr>
                  <w:r>
                    <w:rPr>
                      <w:rFonts w:hint="default"/>
                      <w:sz w:val="16"/>
                      <w:szCs w:val="16"/>
                    </w:rPr>
                    <w:t>≤0.25</w:t>
                  </w:r>
                </w:p>
              </w:tc>
              <w:tc>
                <w:tcPr>
                  <w:tcW w:w="389" w:type="pct"/>
                  <w:tcBorders>
                    <w:tl2br w:val="nil"/>
                    <w:tr2bl w:val="nil"/>
                  </w:tcBorders>
                  <w:vAlign w:val="center"/>
                </w:tcPr>
                <w:p>
                  <w:pPr>
                    <w:pStyle w:val="19"/>
                    <w:bidi w:val="0"/>
                    <w:rPr>
                      <w:rFonts w:hint="default"/>
                      <w:sz w:val="16"/>
                      <w:szCs w:val="16"/>
                    </w:rPr>
                  </w:pPr>
                  <w:r>
                    <w:rPr>
                      <w:rFonts w:hint="default"/>
                      <w:sz w:val="16"/>
                      <w:szCs w:val="16"/>
                    </w:rPr>
                    <w:t>≤0.03</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restart"/>
                  <w:tcBorders>
                    <w:tl2br w:val="nil"/>
                    <w:tr2bl w:val="nil"/>
                  </w:tcBorders>
                  <w:vAlign w:val="center"/>
                </w:tcPr>
                <w:p>
                  <w:pPr>
                    <w:pStyle w:val="19"/>
                    <w:bidi w:val="0"/>
                    <w:rPr>
                      <w:rFonts w:hint="default"/>
                      <w:sz w:val="16"/>
                      <w:szCs w:val="16"/>
                    </w:rPr>
                  </w:pPr>
                  <w:r>
                    <w:rPr>
                      <w:rFonts w:hint="eastAsia"/>
                      <w:sz w:val="16"/>
                      <w:szCs w:val="16"/>
                      <w:lang w:val="en-US" w:eastAsia="zh-CN"/>
                    </w:rPr>
                    <w:t>锰铁(低碳)</w:t>
                  </w:r>
                </w:p>
              </w:tc>
              <w:tc>
                <w:tcPr>
                  <w:tcW w:w="734" w:type="pct"/>
                  <w:tcBorders>
                    <w:tl2br w:val="nil"/>
                    <w:tr2bl w:val="nil"/>
                  </w:tcBorders>
                  <w:vAlign w:val="center"/>
                </w:tcPr>
                <w:p>
                  <w:pPr>
                    <w:pStyle w:val="19"/>
                    <w:bidi w:val="0"/>
                    <w:rPr>
                      <w:rFonts w:hint="default"/>
                      <w:sz w:val="16"/>
                      <w:szCs w:val="16"/>
                    </w:rPr>
                  </w:pPr>
                  <w:r>
                    <w:rPr>
                      <w:rFonts w:hint="default"/>
                      <w:sz w:val="16"/>
                      <w:szCs w:val="16"/>
                    </w:rPr>
                    <w:t>FeMn88C0.2</w:t>
                  </w:r>
                </w:p>
              </w:tc>
              <w:tc>
                <w:tcPr>
                  <w:tcW w:w="873" w:type="pct"/>
                  <w:tcBorders>
                    <w:tl2br w:val="nil"/>
                    <w:tr2bl w:val="nil"/>
                  </w:tcBorders>
                  <w:vAlign w:val="center"/>
                </w:tcPr>
                <w:p>
                  <w:pPr>
                    <w:pStyle w:val="19"/>
                    <w:bidi w:val="0"/>
                    <w:rPr>
                      <w:rFonts w:hint="default"/>
                      <w:sz w:val="16"/>
                      <w:szCs w:val="16"/>
                    </w:rPr>
                  </w:pPr>
                </w:p>
              </w:tc>
              <w:tc>
                <w:tcPr>
                  <w:tcW w:w="365" w:type="pct"/>
                  <w:tcBorders>
                    <w:tl2br w:val="nil"/>
                    <w:tr2bl w:val="nil"/>
                  </w:tcBorders>
                  <w:vAlign w:val="center"/>
                </w:tcPr>
                <w:p>
                  <w:pPr>
                    <w:pStyle w:val="19"/>
                    <w:bidi w:val="0"/>
                    <w:rPr>
                      <w:rFonts w:hint="default"/>
                      <w:sz w:val="16"/>
                      <w:szCs w:val="16"/>
                    </w:rPr>
                  </w:pPr>
                  <w:r>
                    <w:rPr>
                      <w:rFonts w:hint="default"/>
                      <w:sz w:val="16"/>
                      <w:szCs w:val="16"/>
                    </w:rPr>
                    <w:t>≤0.2</w:t>
                  </w:r>
                </w:p>
              </w:tc>
              <w:tc>
                <w:tcPr>
                  <w:tcW w:w="389" w:type="pct"/>
                  <w:tcBorders>
                    <w:tl2br w:val="nil"/>
                    <w:tr2bl w:val="nil"/>
                  </w:tcBorders>
                  <w:vAlign w:val="center"/>
                </w:tcPr>
                <w:p>
                  <w:pPr>
                    <w:pStyle w:val="19"/>
                    <w:bidi w:val="0"/>
                    <w:rPr>
                      <w:rFonts w:hint="default"/>
                      <w:sz w:val="16"/>
                      <w:szCs w:val="16"/>
                    </w:rPr>
                  </w:pPr>
                  <w:r>
                    <w:rPr>
                      <w:rFonts w:hint="default"/>
                      <w:sz w:val="16"/>
                      <w:szCs w:val="16"/>
                    </w:rPr>
                    <w:t>85~92</w:t>
                  </w:r>
                </w:p>
              </w:tc>
              <w:tc>
                <w:tcPr>
                  <w:tcW w:w="389" w:type="pct"/>
                  <w:tcBorders>
                    <w:tl2br w:val="nil"/>
                    <w:tr2bl w:val="nil"/>
                  </w:tcBorders>
                  <w:vAlign w:val="center"/>
                </w:tcPr>
                <w:p>
                  <w:pPr>
                    <w:pStyle w:val="19"/>
                    <w:bidi w:val="0"/>
                    <w:rPr>
                      <w:rFonts w:hint="default"/>
                      <w:sz w:val="16"/>
                      <w:szCs w:val="16"/>
                    </w:rPr>
                  </w:pPr>
                  <w:r>
                    <w:rPr>
                      <w:rFonts w:hint="default"/>
                      <w:sz w:val="16"/>
                      <w:szCs w:val="16"/>
                    </w:rPr>
                    <w:t>≤1.0</w:t>
                  </w:r>
                </w:p>
              </w:tc>
              <w:tc>
                <w:tcPr>
                  <w:tcW w:w="365" w:type="pct"/>
                  <w:tcBorders>
                    <w:tl2br w:val="nil"/>
                    <w:tr2bl w:val="nil"/>
                  </w:tcBorders>
                  <w:vAlign w:val="center"/>
                </w:tcPr>
                <w:p>
                  <w:pPr>
                    <w:pStyle w:val="19"/>
                    <w:bidi w:val="0"/>
                    <w:rPr>
                      <w:rFonts w:hint="default"/>
                      <w:sz w:val="16"/>
                      <w:szCs w:val="16"/>
                    </w:rPr>
                  </w:pPr>
                  <w:r>
                    <w:rPr>
                      <w:rFonts w:hint="default"/>
                      <w:sz w:val="16"/>
                      <w:szCs w:val="16"/>
                    </w:rPr>
                    <w:t>≤0.10</w:t>
                  </w:r>
                </w:p>
              </w:tc>
              <w:tc>
                <w:tcPr>
                  <w:tcW w:w="389" w:type="pct"/>
                  <w:tcBorders>
                    <w:tl2br w:val="nil"/>
                    <w:tr2bl w:val="nil"/>
                  </w:tcBorders>
                  <w:vAlign w:val="center"/>
                </w:tcPr>
                <w:p>
                  <w:pPr>
                    <w:pStyle w:val="19"/>
                    <w:bidi w:val="0"/>
                    <w:rPr>
                      <w:rFonts w:hint="default"/>
                      <w:sz w:val="16"/>
                      <w:szCs w:val="16"/>
                    </w:rPr>
                  </w:pPr>
                  <w:r>
                    <w:rPr>
                      <w:rFonts w:hint="default"/>
                      <w:sz w:val="16"/>
                      <w:szCs w:val="16"/>
                    </w:rPr>
                    <w:t>≤0.02</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continue"/>
                  <w:tcBorders>
                    <w:tl2br w:val="nil"/>
                    <w:tr2bl w:val="nil"/>
                  </w:tcBorders>
                  <w:vAlign w:val="center"/>
                </w:tcPr>
                <w:p>
                  <w:pPr>
                    <w:pStyle w:val="19"/>
                    <w:bidi w:val="0"/>
                    <w:rPr>
                      <w:rFonts w:hint="default"/>
                      <w:sz w:val="16"/>
                      <w:szCs w:val="16"/>
                    </w:rPr>
                  </w:pPr>
                </w:p>
              </w:tc>
              <w:tc>
                <w:tcPr>
                  <w:tcW w:w="734" w:type="pct"/>
                  <w:tcBorders>
                    <w:tl2br w:val="nil"/>
                    <w:tr2bl w:val="nil"/>
                  </w:tcBorders>
                  <w:vAlign w:val="center"/>
                </w:tcPr>
                <w:p>
                  <w:pPr>
                    <w:pStyle w:val="19"/>
                    <w:bidi w:val="0"/>
                    <w:rPr>
                      <w:rFonts w:hint="default"/>
                      <w:sz w:val="16"/>
                      <w:szCs w:val="16"/>
                    </w:rPr>
                  </w:pPr>
                  <w:r>
                    <w:rPr>
                      <w:rFonts w:hint="default"/>
                      <w:sz w:val="16"/>
                      <w:szCs w:val="16"/>
                    </w:rPr>
                    <w:t>FeMn84C0.7</w:t>
                  </w:r>
                </w:p>
              </w:tc>
              <w:tc>
                <w:tcPr>
                  <w:tcW w:w="873" w:type="pct"/>
                  <w:tcBorders>
                    <w:tl2br w:val="nil"/>
                    <w:tr2bl w:val="nil"/>
                  </w:tcBorders>
                  <w:vAlign w:val="center"/>
                </w:tcPr>
                <w:p>
                  <w:pPr>
                    <w:pStyle w:val="19"/>
                    <w:bidi w:val="0"/>
                    <w:rPr>
                      <w:rFonts w:hint="default"/>
                      <w:sz w:val="16"/>
                      <w:szCs w:val="16"/>
                    </w:rPr>
                  </w:pPr>
                </w:p>
              </w:tc>
              <w:tc>
                <w:tcPr>
                  <w:tcW w:w="365" w:type="pct"/>
                  <w:tcBorders>
                    <w:tl2br w:val="nil"/>
                    <w:tr2bl w:val="nil"/>
                  </w:tcBorders>
                  <w:vAlign w:val="center"/>
                </w:tcPr>
                <w:p>
                  <w:pPr>
                    <w:pStyle w:val="19"/>
                    <w:bidi w:val="0"/>
                    <w:rPr>
                      <w:rFonts w:hint="default"/>
                      <w:sz w:val="16"/>
                      <w:szCs w:val="16"/>
                    </w:rPr>
                  </w:pPr>
                  <w:r>
                    <w:rPr>
                      <w:rFonts w:hint="default"/>
                      <w:sz w:val="16"/>
                      <w:szCs w:val="16"/>
                    </w:rPr>
                    <w:t>≤0.7</w:t>
                  </w:r>
                </w:p>
              </w:tc>
              <w:tc>
                <w:tcPr>
                  <w:tcW w:w="389" w:type="pct"/>
                  <w:tcBorders>
                    <w:tl2br w:val="nil"/>
                    <w:tr2bl w:val="nil"/>
                  </w:tcBorders>
                  <w:vAlign w:val="center"/>
                </w:tcPr>
                <w:p>
                  <w:pPr>
                    <w:pStyle w:val="19"/>
                    <w:bidi w:val="0"/>
                    <w:rPr>
                      <w:rFonts w:hint="default"/>
                      <w:sz w:val="16"/>
                      <w:szCs w:val="16"/>
                    </w:rPr>
                  </w:pPr>
                  <w:r>
                    <w:rPr>
                      <w:rFonts w:hint="default"/>
                      <w:sz w:val="16"/>
                      <w:szCs w:val="16"/>
                    </w:rPr>
                    <w:t>80~87</w:t>
                  </w:r>
                </w:p>
              </w:tc>
              <w:tc>
                <w:tcPr>
                  <w:tcW w:w="389" w:type="pct"/>
                  <w:tcBorders>
                    <w:tl2br w:val="nil"/>
                    <w:tr2bl w:val="nil"/>
                  </w:tcBorders>
                  <w:vAlign w:val="center"/>
                </w:tcPr>
                <w:p>
                  <w:pPr>
                    <w:pStyle w:val="19"/>
                    <w:bidi w:val="0"/>
                    <w:rPr>
                      <w:rFonts w:hint="default"/>
                      <w:sz w:val="16"/>
                      <w:szCs w:val="16"/>
                    </w:rPr>
                  </w:pPr>
                  <w:r>
                    <w:rPr>
                      <w:rFonts w:hint="default"/>
                      <w:sz w:val="16"/>
                      <w:szCs w:val="16"/>
                    </w:rPr>
                    <w:t>≤1.0</w:t>
                  </w:r>
                </w:p>
              </w:tc>
              <w:tc>
                <w:tcPr>
                  <w:tcW w:w="365" w:type="pct"/>
                  <w:tcBorders>
                    <w:tl2br w:val="nil"/>
                    <w:tr2bl w:val="nil"/>
                  </w:tcBorders>
                  <w:vAlign w:val="center"/>
                </w:tcPr>
                <w:p>
                  <w:pPr>
                    <w:pStyle w:val="19"/>
                    <w:bidi w:val="0"/>
                    <w:rPr>
                      <w:rFonts w:hint="default"/>
                      <w:sz w:val="16"/>
                      <w:szCs w:val="16"/>
                    </w:rPr>
                  </w:pPr>
                  <w:r>
                    <w:rPr>
                      <w:rFonts w:hint="default"/>
                      <w:sz w:val="16"/>
                      <w:szCs w:val="16"/>
                    </w:rPr>
                    <w:t>≤0.20</w:t>
                  </w:r>
                </w:p>
              </w:tc>
              <w:tc>
                <w:tcPr>
                  <w:tcW w:w="389" w:type="pct"/>
                  <w:tcBorders>
                    <w:tl2br w:val="nil"/>
                    <w:tr2bl w:val="nil"/>
                  </w:tcBorders>
                  <w:vAlign w:val="center"/>
                </w:tcPr>
                <w:p>
                  <w:pPr>
                    <w:pStyle w:val="19"/>
                    <w:bidi w:val="0"/>
                    <w:rPr>
                      <w:rFonts w:hint="default"/>
                      <w:sz w:val="16"/>
                      <w:szCs w:val="16"/>
                    </w:rPr>
                  </w:pPr>
                  <w:r>
                    <w:rPr>
                      <w:rFonts w:hint="default"/>
                      <w:sz w:val="16"/>
                      <w:szCs w:val="16"/>
                    </w:rPr>
                    <w:t>≤0.02</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jc w:val="center"/>
              </w:trPr>
              <w:tc>
                <w:tcPr>
                  <w:tcW w:w="541" w:type="pct"/>
                  <w:vMerge w:val="restart"/>
                  <w:tcBorders>
                    <w:tl2br w:val="nil"/>
                    <w:tr2bl w:val="nil"/>
                  </w:tcBorders>
                  <w:vAlign w:val="center"/>
                </w:tcPr>
                <w:p>
                  <w:pPr>
                    <w:pStyle w:val="19"/>
                    <w:bidi w:val="0"/>
                    <w:rPr>
                      <w:rFonts w:hint="default"/>
                      <w:sz w:val="16"/>
                      <w:szCs w:val="16"/>
                    </w:rPr>
                  </w:pPr>
                  <w:r>
                    <w:rPr>
                      <w:rFonts w:hint="eastAsia"/>
                      <w:sz w:val="16"/>
                      <w:szCs w:val="16"/>
                      <w:lang w:val="en-US" w:eastAsia="zh-CN"/>
                    </w:rPr>
                    <w:t>铬铁(高碳)</w:t>
                  </w:r>
                </w:p>
              </w:tc>
              <w:tc>
                <w:tcPr>
                  <w:tcW w:w="734" w:type="pct"/>
                  <w:tcBorders>
                    <w:tl2br w:val="nil"/>
                    <w:tr2bl w:val="nil"/>
                  </w:tcBorders>
                  <w:vAlign w:val="center"/>
                </w:tcPr>
                <w:p>
                  <w:pPr>
                    <w:pStyle w:val="19"/>
                    <w:bidi w:val="0"/>
                    <w:rPr>
                      <w:rFonts w:hint="default"/>
                      <w:sz w:val="16"/>
                      <w:szCs w:val="16"/>
                    </w:rPr>
                  </w:pPr>
                  <w:r>
                    <w:rPr>
                      <w:rFonts w:hint="default"/>
                      <w:sz w:val="16"/>
                      <w:szCs w:val="16"/>
                    </w:rPr>
                    <w:t>FeCr55C1000</w:t>
                  </w:r>
                </w:p>
              </w:tc>
              <w:tc>
                <w:tcPr>
                  <w:tcW w:w="873" w:type="pct"/>
                  <w:tcBorders>
                    <w:tl2br w:val="nil"/>
                    <w:tr2bl w:val="nil"/>
                  </w:tcBorders>
                  <w:vAlign w:val="center"/>
                </w:tcPr>
                <w:p>
                  <w:pPr>
                    <w:pStyle w:val="19"/>
                    <w:bidi w:val="0"/>
                    <w:rPr>
                      <w:rFonts w:hint="default"/>
                      <w:sz w:val="16"/>
                      <w:szCs w:val="16"/>
                    </w:rPr>
                  </w:pPr>
                  <w:r>
                    <w:rPr>
                      <w:rFonts w:hint="default"/>
                      <w:sz w:val="16"/>
                      <w:szCs w:val="16"/>
                    </w:rPr>
                    <w:t>Cr≥52</w:t>
                  </w:r>
                </w:p>
              </w:tc>
              <w:tc>
                <w:tcPr>
                  <w:tcW w:w="365" w:type="pct"/>
                  <w:tcBorders>
                    <w:tl2br w:val="nil"/>
                    <w:tr2bl w:val="nil"/>
                  </w:tcBorders>
                  <w:vAlign w:val="center"/>
                </w:tcPr>
                <w:p>
                  <w:pPr>
                    <w:pStyle w:val="19"/>
                    <w:bidi w:val="0"/>
                    <w:rPr>
                      <w:rFonts w:hint="default"/>
                      <w:sz w:val="16"/>
                      <w:szCs w:val="16"/>
                    </w:rPr>
                  </w:pPr>
                  <w:r>
                    <w:rPr>
                      <w:rFonts w:hint="default"/>
                      <w:sz w:val="16"/>
                      <w:szCs w:val="16"/>
                    </w:rPr>
                    <w:t>≤6.0</w:t>
                  </w: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r>
                    <w:rPr>
                      <w:rFonts w:hint="default"/>
                      <w:sz w:val="16"/>
                      <w:szCs w:val="16"/>
                    </w:rPr>
                    <w:t>≤5.0</w:t>
                  </w:r>
                </w:p>
              </w:tc>
              <w:tc>
                <w:tcPr>
                  <w:tcW w:w="365" w:type="pct"/>
                  <w:tcBorders>
                    <w:tl2br w:val="nil"/>
                    <w:tr2bl w:val="nil"/>
                  </w:tcBorders>
                  <w:vAlign w:val="center"/>
                </w:tcPr>
                <w:p>
                  <w:pPr>
                    <w:pStyle w:val="19"/>
                    <w:bidi w:val="0"/>
                    <w:rPr>
                      <w:rFonts w:hint="default"/>
                      <w:sz w:val="16"/>
                      <w:szCs w:val="16"/>
                    </w:rPr>
                  </w:pPr>
                  <w:r>
                    <w:rPr>
                      <w:rFonts w:hint="default"/>
                      <w:sz w:val="16"/>
                      <w:szCs w:val="16"/>
                    </w:rPr>
                    <w:t>≤0.06</w:t>
                  </w:r>
                </w:p>
              </w:tc>
              <w:tc>
                <w:tcPr>
                  <w:tcW w:w="389" w:type="pct"/>
                  <w:tcBorders>
                    <w:tl2br w:val="nil"/>
                    <w:tr2bl w:val="nil"/>
                  </w:tcBorders>
                  <w:vAlign w:val="center"/>
                </w:tcPr>
                <w:p>
                  <w:pPr>
                    <w:pStyle w:val="19"/>
                    <w:bidi w:val="0"/>
                    <w:rPr>
                      <w:rFonts w:hint="default"/>
                      <w:sz w:val="16"/>
                      <w:szCs w:val="16"/>
                    </w:rPr>
                  </w:pPr>
                  <w:r>
                    <w:rPr>
                      <w:rFonts w:hint="default"/>
                      <w:sz w:val="16"/>
                      <w:szCs w:val="16"/>
                    </w:rPr>
                    <w:t>≤0.06</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continue"/>
                  <w:tcBorders>
                    <w:tl2br w:val="nil"/>
                    <w:tr2bl w:val="nil"/>
                  </w:tcBorders>
                  <w:vAlign w:val="center"/>
                </w:tcPr>
                <w:p>
                  <w:pPr>
                    <w:pStyle w:val="19"/>
                    <w:bidi w:val="0"/>
                    <w:rPr>
                      <w:rFonts w:hint="default"/>
                      <w:sz w:val="16"/>
                      <w:szCs w:val="16"/>
                    </w:rPr>
                  </w:pPr>
                </w:p>
              </w:tc>
              <w:tc>
                <w:tcPr>
                  <w:tcW w:w="734" w:type="pct"/>
                  <w:tcBorders>
                    <w:tl2br w:val="nil"/>
                    <w:tr2bl w:val="nil"/>
                  </w:tcBorders>
                  <w:vAlign w:val="center"/>
                </w:tcPr>
                <w:p>
                  <w:pPr>
                    <w:pStyle w:val="19"/>
                    <w:bidi w:val="0"/>
                    <w:rPr>
                      <w:rFonts w:hint="default"/>
                      <w:sz w:val="16"/>
                      <w:szCs w:val="16"/>
                    </w:rPr>
                  </w:pPr>
                  <w:r>
                    <w:rPr>
                      <w:rFonts w:hint="default"/>
                      <w:sz w:val="16"/>
                      <w:szCs w:val="16"/>
                    </w:rPr>
                    <w:t>FeCr55C600</w:t>
                  </w:r>
                </w:p>
              </w:tc>
              <w:tc>
                <w:tcPr>
                  <w:tcW w:w="873" w:type="pct"/>
                  <w:tcBorders>
                    <w:tl2br w:val="nil"/>
                    <w:tr2bl w:val="nil"/>
                  </w:tcBorders>
                  <w:vAlign w:val="center"/>
                </w:tcPr>
                <w:p>
                  <w:pPr>
                    <w:pStyle w:val="19"/>
                    <w:bidi w:val="0"/>
                    <w:rPr>
                      <w:rFonts w:hint="default"/>
                      <w:sz w:val="16"/>
                      <w:szCs w:val="16"/>
                    </w:rPr>
                  </w:pPr>
                  <w:r>
                    <w:rPr>
                      <w:rFonts w:hint="default"/>
                      <w:sz w:val="16"/>
                      <w:szCs w:val="16"/>
                    </w:rPr>
                    <w:t>Cr≥52</w:t>
                  </w:r>
                </w:p>
              </w:tc>
              <w:tc>
                <w:tcPr>
                  <w:tcW w:w="365" w:type="pct"/>
                  <w:tcBorders>
                    <w:tl2br w:val="nil"/>
                    <w:tr2bl w:val="nil"/>
                  </w:tcBorders>
                  <w:vAlign w:val="center"/>
                </w:tcPr>
                <w:p>
                  <w:pPr>
                    <w:pStyle w:val="19"/>
                    <w:bidi w:val="0"/>
                    <w:rPr>
                      <w:rFonts w:hint="default"/>
                      <w:sz w:val="16"/>
                      <w:szCs w:val="16"/>
                    </w:rPr>
                  </w:pPr>
                  <w:r>
                    <w:rPr>
                      <w:rFonts w:hint="default"/>
                      <w:sz w:val="16"/>
                      <w:szCs w:val="16"/>
                    </w:rPr>
                    <w:t>≤10</w:t>
                  </w: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r>
                    <w:rPr>
                      <w:rFonts w:hint="default"/>
                      <w:sz w:val="16"/>
                      <w:szCs w:val="16"/>
                    </w:rPr>
                    <w:t>≤5.0</w:t>
                  </w:r>
                </w:p>
              </w:tc>
              <w:tc>
                <w:tcPr>
                  <w:tcW w:w="365" w:type="pct"/>
                  <w:tcBorders>
                    <w:tl2br w:val="nil"/>
                    <w:tr2bl w:val="nil"/>
                  </w:tcBorders>
                  <w:vAlign w:val="center"/>
                </w:tcPr>
                <w:p>
                  <w:pPr>
                    <w:pStyle w:val="19"/>
                    <w:bidi w:val="0"/>
                    <w:rPr>
                      <w:rFonts w:hint="default"/>
                      <w:sz w:val="16"/>
                      <w:szCs w:val="16"/>
                    </w:rPr>
                  </w:pPr>
                  <w:r>
                    <w:rPr>
                      <w:rFonts w:hint="default"/>
                      <w:sz w:val="16"/>
                      <w:szCs w:val="16"/>
                    </w:rPr>
                    <w:t>≤0.06</w:t>
                  </w:r>
                </w:p>
              </w:tc>
              <w:tc>
                <w:tcPr>
                  <w:tcW w:w="389" w:type="pct"/>
                  <w:tcBorders>
                    <w:tl2br w:val="nil"/>
                    <w:tr2bl w:val="nil"/>
                  </w:tcBorders>
                  <w:vAlign w:val="center"/>
                </w:tcPr>
                <w:p>
                  <w:pPr>
                    <w:pStyle w:val="19"/>
                    <w:bidi w:val="0"/>
                    <w:rPr>
                      <w:rFonts w:hint="default"/>
                      <w:sz w:val="16"/>
                      <w:szCs w:val="16"/>
                    </w:rPr>
                  </w:pPr>
                  <w:r>
                    <w:rPr>
                      <w:rFonts w:hint="default"/>
                      <w:sz w:val="16"/>
                      <w:szCs w:val="16"/>
                    </w:rPr>
                    <w:t>≤0.06</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jc w:val="center"/>
              </w:trPr>
              <w:tc>
                <w:tcPr>
                  <w:tcW w:w="541" w:type="pct"/>
                  <w:vMerge w:val="restart"/>
                  <w:tcBorders>
                    <w:tl2br w:val="nil"/>
                    <w:tr2bl w:val="nil"/>
                  </w:tcBorders>
                  <w:vAlign w:val="center"/>
                </w:tcPr>
                <w:p>
                  <w:pPr>
                    <w:pStyle w:val="19"/>
                    <w:bidi w:val="0"/>
                    <w:rPr>
                      <w:rFonts w:hint="default"/>
                      <w:sz w:val="16"/>
                      <w:szCs w:val="16"/>
                    </w:rPr>
                  </w:pPr>
                  <w:r>
                    <w:rPr>
                      <w:rFonts w:hint="eastAsia"/>
                      <w:sz w:val="16"/>
                      <w:szCs w:val="16"/>
                      <w:lang w:val="en-US" w:eastAsia="zh-CN"/>
                    </w:rPr>
                    <w:t>铬铁(高碳)</w:t>
                  </w:r>
                </w:p>
              </w:tc>
              <w:tc>
                <w:tcPr>
                  <w:tcW w:w="734" w:type="pct"/>
                  <w:tcBorders>
                    <w:tl2br w:val="nil"/>
                    <w:tr2bl w:val="nil"/>
                  </w:tcBorders>
                  <w:vAlign w:val="center"/>
                </w:tcPr>
                <w:p>
                  <w:pPr>
                    <w:pStyle w:val="19"/>
                    <w:bidi w:val="0"/>
                    <w:rPr>
                      <w:rFonts w:hint="default"/>
                      <w:sz w:val="16"/>
                      <w:szCs w:val="16"/>
                    </w:rPr>
                  </w:pPr>
                  <w:r>
                    <w:rPr>
                      <w:rFonts w:hint="default"/>
                      <w:sz w:val="16"/>
                      <w:szCs w:val="16"/>
                    </w:rPr>
                    <w:t>FeCr55C50</w:t>
                  </w:r>
                </w:p>
              </w:tc>
              <w:tc>
                <w:tcPr>
                  <w:tcW w:w="873" w:type="pct"/>
                  <w:tcBorders>
                    <w:tl2br w:val="nil"/>
                    <w:tr2bl w:val="nil"/>
                  </w:tcBorders>
                  <w:vAlign w:val="center"/>
                </w:tcPr>
                <w:p>
                  <w:pPr>
                    <w:pStyle w:val="19"/>
                    <w:bidi w:val="0"/>
                    <w:rPr>
                      <w:rFonts w:hint="default"/>
                      <w:sz w:val="16"/>
                      <w:szCs w:val="16"/>
                    </w:rPr>
                  </w:pPr>
                  <w:r>
                    <w:rPr>
                      <w:rFonts w:hint="default"/>
                      <w:sz w:val="16"/>
                      <w:szCs w:val="16"/>
                    </w:rPr>
                    <w:t>Cr≥52</w:t>
                  </w:r>
                </w:p>
              </w:tc>
              <w:tc>
                <w:tcPr>
                  <w:tcW w:w="365" w:type="pct"/>
                  <w:tcBorders>
                    <w:tl2br w:val="nil"/>
                    <w:tr2bl w:val="nil"/>
                  </w:tcBorders>
                  <w:vAlign w:val="center"/>
                </w:tcPr>
                <w:p>
                  <w:pPr>
                    <w:pStyle w:val="19"/>
                    <w:bidi w:val="0"/>
                    <w:rPr>
                      <w:rFonts w:hint="default"/>
                      <w:sz w:val="16"/>
                      <w:szCs w:val="16"/>
                    </w:rPr>
                  </w:pPr>
                  <w:r>
                    <w:rPr>
                      <w:rFonts w:hint="default"/>
                      <w:sz w:val="16"/>
                      <w:szCs w:val="16"/>
                    </w:rPr>
                    <w:t>≤0.5</w:t>
                  </w: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r>
                    <w:rPr>
                      <w:rFonts w:hint="default"/>
                      <w:sz w:val="16"/>
                      <w:szCs w:val="16"/>
                    </w:rPr>
                    <w:t>≤3.0</w:t>
                  </w:r>
                </w:p>
              </w:tc>
              <w:tc>
                <w:tcPr>
                  <w:tcW w:w="365" w:type="pct"/>
                  <w:tcBorders>
                    <w:tl2br w:val="nil"/>
                    <w:tr2bl w:val="nil"/>
                  </w:tcBorders>
                  <w:vAlign w:val="center"/>
                </w:tcPr>
                <w:p>
                  <w:pPr>
                    <w:pStyle w:val="19"/>
                    <w:bidi w:val="0"/>
                    <w:rPr>
                      <w:rFonts w:hint="default"/>
                      <w:sz w:val="16"/>
                      <w:szCs w:val="16"/>
                    </w:rPr>
                  </w:pPr>
                  <w:r>
                    <w:rPr>
                      <w:rFonts w:hint="default"/>
                      <w:sz w:val="16"/>
                      <w:szCs w:val="16"/>
                    </w:rPr>
                    <w:t>≤0.06</w:t>
                  </w:r>
                </w:p>
              </w:tc>
              <w:tc>
                <w:tcPr>
                  <w:tcW w:w="389" w:type="pct"/>
                  <w:tcBorders>
                    <w:tl2br w:val="nil"/>
                    <w:tr2bl w:val="nil"/>
                  </w:tcBorders>
                  <w:vAlign w:val="center"/>
                </w:tcPr>
                <w:p>
                  <w:pPr>
                    <w:pStyle w:val="19"/>
                    <w:bidi w:val="0"/>
                    <w:rPr>
                      <w:rFonts w:hint="default"/>
                      <w:sz w:val="16"/>
                      <w:szCs w:val="16"/>
                    </w:rPr>
                  </w:pPr>
                  <w:r>
                    <w:rPr>
                      <w:rFonts w:hint="default"/>
                      <w:sz w:val="16"/>
                      <w:szCs w:val="16"/>
                    </w:rPr>
                    <w:t>≤0.05</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jc w:val="center"/>
              </w:trPr>
              <w:tc>
                <w:tcPr>
                  <w:tcW w:w="541" w:type="pct"/>
                  <w:vMerge w:val="continue"/>
                  <w:tcBorders>
                    <w:tl2br w:val="nil"/>
                    <w:tr2bl w:val="nil"/>
                  </w:tcBorders>
                  <w:vAlign w:val="center"/>
                </w:tcPr>
                <w:p>
                  <w:pPr>
                    <w:pStyle w:val="19"/>
                    <w:bidi w:val="0"/>
                    <w:rPr>
                      <w:rFonts w:hint="default"/>
                      <w:sz w:val="16"/>
                      <w:szCs w:val="16"/>
                    </w:rPr>
                  </w:pPr>
                </w:p>
              </w:tc>
              <w:tc>
                <w:tcPr>
                  <w:tcW w:w="734" w:type="pct"/>
                  <w:tcBorders>
                    <w:tl2br w:val="nil"/>
                    <w:tr2bl w:val="nil"/>
                  </w:tcBorders>
                  <w:vAlign w:val="center"/>
                </w:tcPr>
                <w:p>
                  <w:pPr>
                    <w:pStyle w:val="19"/>
                    <w:bidi w:val="0"/>
                    <w:rPr>
                      <w:rFonts w:hint="default"/>
                      <w:sz w:val="16"/>
                      <w:szCs w:val="16"/>
                    </w:rPr>
                  </w:pPr>
                  <w:r>
                    <w:rPr>
                      <w:rFonts w:hint="default"/>
                      <w:sz w:val="16"/>
                      <w:szCs w:val="16"/>
                    </w:rPr>
                    <w:t>FeCr55C25</w:t>
                  </w:r>
                </w:p>
              </w:tc>
              <w:tc>
                <w:tcPr>
                  <w:tcW w:w="873" w:type="pct"/>
                  <w:tcBorders>
                    <w:tl2br w:val="nil"/>
                    <w:tr2bl w:val="nil"/>
                  </w:tcBorders>
                  <w:vAlign w:val="center"/>
                </w:tcPr>
                <w:p>
                  <w:pPr>
                    <w:pStyle w:val="19"/>
                    <w:bidi w:val="0"/>
                    <w:rPr>
                      <w:rFonts w:hint="default"/>
                      <w:sz w:val="16"/>
                      <w:szCs w:val="16"/>
                    </w:rPr>
                  </w:pPr>
                  <w:r>
                    <w:rPr>
                      <w:rFonts w:hint="default"/>
                      <w:sz w:val="16"/>
                      <w:szCs w:val="16"/>
                    </w:rPr>
                    <w:t>Cr≥52</w:t>
                  </w:r>
                </w:p>
              </w:tc>
              <w:tc>
                <w:tcPr>
                  <w:tcW w:w="365" w:type="pct"/>
                  <w:tcBorders>
                    <w:tl2br w:val="nil"/>
                    <w:tr2bl w:val="nil"/>
                  </w:tcBorders>
                  <w:vAlign w:val="center"/>
                </w:tcPr>
                <w:p>
                  <w:pPr>
                    <w:pStyle w:val="19"/>
                    <w:bidi w:val="0"/>
                    <w:rPr>
                      <w:rFonts w:hint="default"/>
                      <w:sz w:val="16"/>
                      <w:szCs w:val="16"/>
                    </w:rPr>
                  </w:pPr>
                  <w:r>
                    <w:rPr>
                      <w:rFonts w:hint="default"/>
                      <w:sz w:val="16"/>
                      <w:szCs w:val="16"/>
                    </w:rPr>
                    <w:t>≤0.25</w:t>
                  </w: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r>
                    <w:rPr>
                      <w:rFonts w:hint="default"/>
                      <w:sz w:val="16"/>
                      <w:szCs w:val="16"/>
                    </w:rPr>
                    <w:t>≤3.0</w:t>
                  </w:r>
                </w:p>
              </w:tc>
              <w:tc>
                <w:tcPr>
                  <w:tcW w:w="365" w:type="pct"/>
                  <w:tcBorders>
                    <w:tl2br w:val="nil"/>
                    <w:tr2bl w:val="nil"/>
                  </w:tcBorders>
                  <w:vAlign w:val="center"/>
                </w:tcPr>
                <w:p>
                  <w:pPr>
                    <w:pStyle w:val="19"/>
                    <w:bidi w:val="0"/>
                    <w:rPr>
                      <w:rFonts w:hint="default"/>
                      <w:sz w:val="16"/>
                      <w:szCs w:val="16"/>
                    </w:rPr>
                  </w:pPr>
                  <w:r>
                    <w:rPr>
                      <w:rFonts w:hint="default"/>
                      <w:sz w:val="16"/>
                      <w:szCs w:val="16"/>
                    </w:rPr>
                    <w:t>≤0.06</w:t>
                  </w:r>
                </w:p>
              </w:tc>
              <w:tc>
                <w:tcPr>
                  <w:tcW w:w="389" w:type="pct"/>
                  <w:tcBorders>
                    <w:tl2br w:val="nil"/>
                    <w:tr2bl w:val="nil"/>
                  </w:tcBorders>
                  <w:vAlign w:val="center"/>
                </w:tcPr>
                <w:p>
                  <w:pPr>
                    <w:pStyle w:val="19"/>
                    <w:bidi w:val="0"/>
                    <w:rPr>
                      <w:rFonts w:hint="default"/>
                      <w:sz w:val="16"/>
                      <w:szCs w:val="16"/>
                    </w:rPr>
                  </w:pPr>
                  <w:r>
                    <w:rPr>
                      <w:rFonts w:hint="default"/>
                      <w:sz w:val="16"/>
                      <w:szCs w:val="16"/>
                    </w:rPr>
                    <w:t>≤0.05</w:t>
                  </w: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tcBorders>
                    <w:tl2br w:val="nil"/>
                    <w:tr2bl w:val="nil"/>
                  </w:tcBorders>
                  <w:vAlign w:val="center"/>
                </w:tcPr>
                <w:p>
                  <w:pPr>
                    <w:pStyle w:val="19"/>
                    <w:bidi w:val="0"/>
                    <w:rPr>
                      <w:rFonts w:hint="eastAsia" w:eastAsia="宋体"/>
                      <w:sz w:val="16"/>
                      <w:szCs w:val="16"/>
                      <w:lang w:eastAsia="zh-CN"/>
                    </w:rPr>
                  </w:pPr>
                  <w:r>
                    <w:rPr>
                      <w:rFonts w:hint="eastAsia"/>
                      <w:sz w:val="16"/>
                      <w:szCs w:val="16"/>
                      <w:lang w:val="en-US" w:eastAsia="zh-CN"/>
                    </w:rPr>
                    <w:t>镍板</w:t>
                  </w:r>
                </w:p>
              </w:tc>
              <w:tc>
                <w:tcPr>
                  <w:tcW w:w="734" w:type="pct"/>
                  <w:tcBorders>
                    <w:tl2br w:val="nil"/>
                    <w:tr2bl w:val="nil"/>
                  </w:tcBorders>
                  <w:vAlign w:val="center"/>
                </w:tcPr>
                <w:p>
                  <w:pPr>
                    <w:pStyle w:val="19"/>
                    <w:bidi w:val="0"/>
                    <w:rPr>
                      <w:rFonts w:hint="default"/>
                      <w:sz w:val="16"/>
                      <w:szCs w:val="16"/>
                    </w:rPr>
                  </w:pPr>
                  <w:r>
                    <w:rPr>
                      <w:rFonts w:hint="default"/>
                      <w:sz w:val="16"/>
                      <w:szCs w:val="16"/>
                    </w:rPr>
                    <w:t>Ni9920</w:t>
                  </w:r>
                </w:p>
              </w:tc>
              <w:tc>
                <w:tcPr>
                  <w:tcW w:w="873" w:type="pct"/>
                  <w:tcBorders>
                    <w:tl2br w:val="nil"/>
                    <w:tr2bl w:val="nil"/>
                  </w:tcBorders>
                  <w:vAlign w:val="center"/>
                </w:tcPr>
                <w:p>
                  <w:pPr>
                    <w:pStyle w:val="19"/>
                    <w:bidi w:val="0"/>
                    <w:rPr>
                      <w:rFonts w:hint="default"/>
                      <w:sz w:val="16"/>
                      <w:szCs w:val="16"/>
                    </w:rPr>
                  </w:pPr>
                  <w:r>
                    <w:rPr>
                      <w:rFonts w:hint="default"/>
                      <w:sz w:val="16"/>
                      <w:szCs w:val="16"/>
                    </w:rPr>
                    <w:t>Ni+Co≥99.2</w:t>
                  </w:r>
                </w:p>
              </w:tc>
              <w:tc>
                <w:tcPr>
                  <w:tcW w:w="365" w:type="pct"/>
                  <w:tcBorders>
                    <w:tl2br w:val="nil"/>
                    <w:tr2bl w:val="nil"/>
                  </w:tcBorders>
                  <w:vAlign w:val="center"/>
                </w:tcPr>
                <w:p>
                  <w:pPr>
                    <w:pStyle w:val="19"/>
                    <w:bidi w:val="0"/>
                    <w:rPr>
                      <w:rFonts w:hint="default"/>
                      <w:sz w:val="16"/>
                      <w:szCs w:val="16"/>
                    </w:rPr>
                  </w:pPr>
                  <w:r>
                    <w:rPr>
                      <w:rFonts w:hint="default"/>
                      <w:sz w:val="16"/>
                      <w:szCs w:val="16"/>
                    </w:rPr>
                    <w:t>≤0.1</w:t>
                  </w: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p>
              </w:tc>
              <w:tc>
                <w:tcPr>
                  <w:tcW w:w="365" w:type="pct"/>
                  <w:tcBorders>
                    <w:tl2br w:val="nil"/>
                    <w:tr2bl w:val="nil"/>
                  </w:tcBorders>
                  <w:vAlign w:val="center"/>
                </w:tcPr>
                <w:p>
                  <w:pPr>
                    <w:pStyle w:val="19"/>
                    <w:bidi w:val="0"/>
                    <w:rPr>
                      <w:rFonts w:hint="default"/>
                      <w:sz w:val="16"/>
                      <w:szCs w:val="16"/>
                    </w:rPr>
                  </w:pPr>
                  <w:r>
                    <w:rPr>
                      <w:rFonts w:hint="default"/>
                      <w:sz w:val="16"/>
                      <w:szCs w:val="16"/>
                    </w:rPr>
                    <w:t>≤0.02</w:t>
                  </w:r>
                </w:p>
              </w:tc>
              <w:tc>
                <w:tcPr>
                  <w:tcW w:w="389" w:type="pct"/>
                  <w:tcBorders>
                    <w:tl2br w:val="nil"/>
                    <w:tr2bl w:val="nil"/>
                  </w:tcBorders>
                  <w:vAlign w:val="center"/>
                </w:tcPr>
                <w:p>
                  <w:pPr>
                    <w:pStyle w:val="19"/>
                    <w:bidi w:val="0"/>
                    <w:rPr>
                      <w:rFonts w:hint="default"/>
                      <w:sz w:val="16"/>
                      <w:szCs w:val="16"/>
                    </w:rPr>
                  </w:pPr>
                  <w:r>
                    <w:rPr>
                      <w:rFonts w:hint="default"/>
                      <w:sz w:val="16"/>
                      <w:szCs w:val="16"/>
                    </w:rPr>
                    <w:t>≤0.02</w:t>
                  </w:r>
                </w:p>
              </w:tc>
              <w:tc>
                <w:tcPr>
                  <w:tcW w:w="951" w:type="pct"/>
                  <w:tcBorders>
                    <w:tl2br w:val="nil"/>
                    <w:tr2bl w:val="nil"/>
                  </w:tcBorders>
                  <w:vAlign w:val="center"/>
                </w:tcPr>
                <w:p>
                  <w:pPr>
                    <w:pStyle w:val="19"/>
                    <w:bidi w:val="0"/>
                    <w:rPr>
                      <w:rFonts w:hint="default"/>
                      <w:sz w:val="16"/>
                      <w:szCs w:val="16"/>
                    </w:rPr>
                  </w:pPr>
                  <w:r>
                    <w:rPr>
                      <w:rFonts w:hint="default"/>
                      <w:sz w:val="16"/>
                      <w:szCs w:val="16"/>
                    </w:rPr>
                    <w:t>Co≤0.5、Cu≤0.15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restart"/>
                  <w:tcBorders>
                    <w:tl2br w:val="nil"/>
                    <w:tr2bl w:val="nil"/>
                  </w:tcBorders>
                  <w:vAlign w:val="center"/>
                </w:tcPr>
                <w:p>
                  <w:pPr>
                    <w:pStyle w:val="19"/>
                    <w:bidi w:val="0"/>
                    <w:rPr>
                      <w:rFonts w:hint="eastAsia" w:eastAsia="宋体"/>
                      <w:sz w:val="16"/>
                      <w:szCs w:val="16"/>
                      <w:lang w:eastAsia="zh-CN"/>
                    </w:rPr>
                  </w:pPr>
                  <w:r>
                    <w:rPr>
                      <w:rFonts w:hint="eastAsia"/>
                      <w:sz w:val="16"/>
                      <w:szCs w:val="16"/>
                      <w:lang w:val="en-US" w:eastAsia="zh-CN"/>
                    </w:rPr>
                    <w:t>镍铁</w:t>
                  </w:r>
                </w:p>
              </w:tc>
              <w:tc>
                <w:tcPr>
                  <w:tcW w:w="734" w:type="pct"/>
                  <w:tcBorders>
                    <w:tl2br w:val="nil"/>
                    <w:tr2bl w:val="nil"/>
                  </w:tcBorders>
                  <w:vAlign w:val="center"/>
                </w:tcPr>
                <w:p>
                  <w:pPr>
                    <w:pStyle w:val="19"/>
                    <w:bidi w:val="0"/>
                    <w:rPr>
                      <w:rFonts w:hint="default"/>
                      <w:sz w:val="16"/>
                      <w:szCs w:val="16"/>
                    </w:rPr>
                  </w:pPr>
                  <w:r>
                    <w:rPr>
                      <w:rFonts w:hint="default"/>
                      <w:sz w:val="16"/>
                      <w:szCs w:val="16"/>
                    </w:rPr>
                    <w:t>FeNi40</w:t>
                  </w:r>
                </w:p>
              </w:tc>
              <w:tc>
                <w:tcPr>
                  <w:tcW w:w="873" w:type="pct"/>
                  <w:tcBorders>
                    <w:tl2br w:val="nil"/>
                    <w:tr2bl w:val="nil"/>
                  </w:tcBorders>
                  <w:vAlign w:val="center"/>
                </w:tcPr>
                <w:p>
                  <w:pPr>
                    <w:pStyle w:val="19"/>
                    <w:bidi w:val="0"/>
                    <w:rPr>
                      <w:rFonts w:hint="default"/>
                      <w:sz w:val="16"/>
                      <w:szCs w:val="16"/>
                    </w:rPr>
                  </w:pPr>
                  <w:r>
                    <w:rPr>
                      <w:rFonts w:hint="default"/>
                      <w:sz w:val="16"/>
                      <w:szCs w:val="16"/>
                    </w:rPr>
                    <w:t>Ni34~44，Co≤1.0</w:t>
                  </w:r>
                </w:p>
              </w:tc>
              <w:tc>
                <w:tcPr>
                  <w:tcW w:w="365" w:type="pct"/>
                  <w:tcBorders>
                    <w:tl2br w:val="nil"/>
                    <w:tr2bl w:val="nil"/>
                  </w:tcBorders>
                  <w:vAlign w:val="center"/>
                </w:tcPr>
                <w:p>
                  <w:pPr>
                    <w:pStyle w:val="19"/>
                    <w:bidi w:val="0"/>
                    <w:rPr>
                      <w:rFonts w:hint="default"/>
                      <w:sz w:val="16"/>
                      <w:szCs w:val="16"/>
                    </w:rPr>
                  </w:pPr>
                  <w:r>
                    <w:rPr>
                      <w:rFonts w:hint="default"/>
                      <w:sz w:val="16"/>
                      <w:szCs w:val="16"/>
                    </w:rPr>
                    <w:t>≤0.03</w:t>
                  </w: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r>
                    <w:rPr>
                      <w:rFonts w:hint="default"/>
                      <w:sz w:val="16"/>
                      <w:szCs w:val="16"/>
                    </w:rPr>
                    <w:t>≤0.07</w:t>
                  </w:r>
                </w:p>
              </w:tc>
              <w:tc>
                <w:tcPr>
                  <w:tcW w:w="365" w:type="pct"/>
                  <w:tcBorders>
                    <w:tl2br w:val="nil"/>
                    <w:tr2bl w:val="nil"/>
                  </w:tcBorders>
                  <w:vAlign w:val="center"/>
                </w:tcPr>
                <w:p>
                  <w:pPr>
                    <w:pStyle w:val="19"/>
                    <w:bidi w:val="0"/>
                    <w:rPr>
                      <w:rFonts w:hint="default"/>
                      <w:sz w:val="16"/>
                      <w:szCs w:val="16"/>
                    </w:rPr>
                  </w:pPr>
                  <w:r>
                    <w:rPr>
                      <w:rFonts w:hint="default"/>
                      <w:sz w:val="16"/>
                      <w:szCs w:val="16"/>
                    </w:rPr>
                    <w:t>≤0.03</w:t>
                  </w:r>
                </w:p>
              </w:tc>
              <w:tc>
                <w:tcPr>
                  <w:tcW w:w="389" w:type="pct"/>
                  <w:tcBorders>
                    <w:tl2br w:val="nil"/>
                    <w:tr2bl w:val="nil"/>
                  </w:tcBorders>
                  <w:vAlign w:val="center"/>
                </w:tcPr>
                <w:p>
                  <w:pPr>
                    <w:pStyle w:val="19"/>
                    <w:bidi w:val="0"/>
                    <w:rPr>
                      <w:rFonts w:hint="default"/>
                      <w:sz w:val="16"/>
                      <w:szCs w:val="16"/>
                    </w:rPr>
                  </w:pPr>
                  <w:r>
                    <w:rPr>
                      <w:rFonts w:hint="default"/>
                      <w:sz w:val="16"/>
                      <w:szCs w:val="16"/>
                    </w:rPr>
                    <w:t>≤0.03</w:t>
                  </w:r>
                </w:p>
              </w:tc>
              <w:tc>
                <w:tcPr>
                  <w:tcW w:w="951" w:type="pct"/>
                  <w:tcBorders>
                    <w:tl2br w:val="nil"/>
                    <w:tr2bl w:val="nil"/>
                  </w:tcBorders>
                  <w:vAlign w:val="center"/>
                </w:tcPr>
                <w:p>
                  <w:pPr>
                    <w:pStyle w:val="19"/>
                    <w:bidi w:val="0"/>
                    <w:rPr>
                      <w:rFonts w:hint="default"/>
                      <w:sz w:val="16"/>
                      <w:szCs w:val="16"/>
                    </w:rPr>
                  </w:pPr>
                  <w:r>
                    <w:rPr>
                      <w:rFonts w:hint="default"/>
                      <w:sz w:val="16"/>
                      <w:szCs w:val="16"/>
                    </w:rPr>
                    <w:t>Cu≤0.2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continue"/>
                  <w:tcBorders>
                    <w:tl2br w:val="nil"/>
                    <w:tr2bl w:val="nil"/>
                  </w:tcBorders>
                  <w:vAlign w:val="center"/>
                </w:tcPr>
                <w:p>
                  <w:pPr>
                    <w:pStyle w:val="19"/>
                    <w:bidi w:val="0"/>
                    <w:rPr>
                      <w:rFonts w:hint="default"/>
                      <w:sz w:val="16"/>
                      <w:szCs w:val="16"/>
                    </w:rPr>
                  </w:pPr>
                </w:p>
              </w:tc>
              <w:tc>
                <w:tcPr>
                  <w:tcW w:w="734" w:type="pct"/>
                  <w:tcBorders>
                    <w:tl2br w:val="nil"/>
                    <w:tr2bl w:val="nil"/>
                  </w:tcBorders>
                  <w:vAlign w:val="center"/>
                </w:tcPr>
                <w:p>
                  <w:pPr>
                    <w:pStyle w:val="19"/>
                    <w:bidi w:val="0"/>
                    <w:rPr>
                      <w:rFonts w:hint="default"/>
                      <w:sz w:val="16"/>
                      <w:szCs w:val="16"/>
                    </w:rPr>
                  </w:pPr>
                  <w:r>
                    <w:rPr>
                      <w:rFonts w:hint="default"/>
                      <w:sz w:val="16"/>
                      <w:szCs w:val="16"/>
                    </w:rPr>
                    <w:t>FeNi25</w:t>
                  </w:r>
                </w:p>
              </w:tc>
              <w:tc>
                <w:tcPr>
                  <w:tcW w:w="873" w:type="pct"/>
                  <w:tcBorders>
                    <w:tl2br w:val="nil"/>
                    <w:tr2bl w:val="nil"/>
                  </w:tcBorders>
                  <w:vAlign w:val="center"/>
                </w:tcPr>
                <w:p>
                  <w:pPr>
                    <w:pStyle w:val="19"/>
                    <w:bidi w:val="0"/>
                    <w:rPr>
                      <w:rFonts w:hint="default"/>
                      <w:sz w:val="16"/>
                      <w:szCs w:val="16"/>
                    </w:rPr>
                  </w:pPr>
                  <w:r>
                    <w:rPr>
                      <w:rFonts w:hint="default"/>
                      <w:sz w:val="16"/>
                      <w:szCs w:val="16"/>
                    </w:rPr>
                    <w:t>Ni 20~30</w:t>
                  </w:r>
                </w:p>
              </w:tc>
              <w:tc>
                <w:tcPr>
                  <w:tcW w:w="365"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p>
              </w:tc>
              <w:tc>
                <w:tcPr>
                  <w:tcW w:w="365"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p>
              </w:tc>
              <w:tc>
                <w:tcPr>
                  <w:tcW w:w="951" w:type="pct"/>
                  <w:tcBorders>
                    <w:tl2br w:val="nil"/>
                    <w:tr2bl w:val="nil"/>
                  </w:tcBorders>
                  <w:vAlign w:val="center"/>
                </w:tcPr>
                <w:p>
                  <w:pPr>
                    <w:pStyle w:val="19"/>
                    <w:bidi w:val="0"/>
                    <w:rPr>
                      <w:rFonts w:hint="default"/>
                      <w:sz w:val="16"/>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restart"/>
                  <w:tcBorders>
                    <w:tl2br w:val="nil"/>
                    <w:tr2bl w:val="nil"/>
                  </w:tcBorders>
                  <w:vAlign w:val="center"/>
                </w:tcPr>
                <w:p>
                  <w:pPr>
                    <w:pStyle w:val="19"/>
                    <w:bidi w:val="0"/>
                    <w:rPr>
                      <w:rFonts w:hint="eastAsia" w:eastAsia="宋体"/>
                      <w:sz w:val="16"/>
                      <w:szCs w:val="16"/>
                      <w:lang w:eastAsia="zh-CN"/>
                    </w:rPr>
                  </w:pPr>
                  <w:r>
                    <w:rPr>
                      <w:rFonts w:hint="eastAsia"/>
                      <w:sz w:val="16"/>
                      <w:szCs w:val="16"/>
                      <w:lang w:val="en-US" w:eastAsia="zh-CN"/>
                    </w:rPr>
                    <w:t>钼铁</w:t>
                  </w:r>
                </w:p>
              </w:tc>
              <w:tc>
                <w:tcPr>
                  <w:tcW w:w="734" w:type="pct"/>
                  <w:tcBorders>
                    <w:tl2br w:val="nil"/>
                    <w:tr2bl w:val="nil"/>
                  </w:tcBorders>
                  <w:vAlign w:val="center"/>
                </w:tcPr>
                <w:p>
                  <w:pPr>
                    <w:pStyle w:val="19"/>
                    <w:bidi w:val="0"/>
                    <w:rPr>
                      <w:rFonts w:hint="default"/>
                      <w:sz w:val="16"/>
                      <w:szCs w:val="16"/>
                    </w:rPr>
                  </w:pPr>
                  <w:r>
                    <w:rPr>
                      <w:rFonts w:hint="default"/>
                      <w:sz w:val="16"/>
                      <w:szCs w:val="16"/>
                    </w:rPr>
                    <w:t>FeMo60-C</w:t>
                  </w:r>
                </w:p>
              </w:tc>
              <w:tc>
                <w:tcPr>
                  <w:tcW w:w="873" w:type="pct"/>
                  <w:tcBorders>
                    <w:tl2br w:val="nil"/>
                    <w:tr2bl w:val="nil"/>
                  </w:tcBorders>
                  <w:vAlign w:val="center"/>
                </w:tcPr>
                <w:p>
                  <w:pPr>
                    <w:pStyle w:val="19"/>
                    <w:bidi w:val="0"/>
                    <w:rPr>
                      <w:rFonts w:hint="default"/>
                      <w:sz w:val="16"/>
                      <w:szCs w:val="16"/>
                    </w:rPr>
                  </w:pPr>
                  <w:r>
                    <w:rPr>
                      <w:rFonts w:hint="default"/>
                      <w:sz w:val="16"/>
                      <w:szCs w:val="16"/>
                    </w:rPr>
                    <w:t>Sb≤0.08，Cu≤1.0</w:t>
                  </w:r>
                </w:p>
              </w:tc>
              <w:tc>
                <w:tcPr>
                  <w:tcW w:w="365" w:type="pct"/>
                  <w:tcBorders>
                    <w:tl2br w:val="nil"/>
                    <w:tr2bl w:val="nil"/>
                  </w:tcBorders>
                  <w:vAlign w:val="center"/>
                </w:tcPr>
                <w:p>
                  <w:pPr>
                    <w:pStyle w:val="19"/>
                    <w:bidi w:val="0"/>
                    <w:rPr>
                      <w:rFonts w:hint="default"/>
                      <w:sz w:val="16"/>
                      <w:szCs w:val="16"/>
                    </w:rPr>
                  </w:pPr>
                  <w:r>
                    <w:rPr>
                      <w:rFonts w:hint="default"/>
                      <w:sz w:val="16"/>
                      <w:szCs w:val="16"/>
                    </w:rPr>
                    <w:t>≤0.20</w:t>
                  </w: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r>
                    <w:rPr>
                      <w:rFonts w:hint="default"/>
                      <w:sz w:val="16"/>
                      <w:szCs w:val="16"/>
                    </w:rPr>
                    <w:t>≤2.0</w:t>
                  </w:r>
                </w:p>
              </w:tc>
              <w:tc>
                <w:tcPr>
                  <w:tcW w:w="365" w:type="pct"/>
                  <w:tcBorders>
                    <w:tl2br w:val="nil"/>
                    <w:tr2bl w:val="nil"/>
                  </w:tcBorders>
                  <w:vAlign w:val="center"/>
                </w:tcPr>
                <w:p>
                  <w:pPr>
                    <w:pStyle w:val="19"/>
                    <w:bidi w:val="0"/>
                    <w:rPr>
                      <w:rFonts w:hint="default"/>
                      <w:sz w:val="16"/>
                      <w:szCs w:val="16"/>
                    </w:rPr>
                  </w:pPr>
                  <w:r>
                    <w:rPr>
                      <w:rFonts w:hint="default"/>
                      <w:sz w:val="16"/>
                      <w:szCs w:val="16"/>
                    </w:rPr>
                    <w:t>≤0.05</w:t>
                  </w:r>
                </w:p>
              </w:tc>
              <w:tc>
                <w:tcPr>
                  <w:tcW w:w="389" w:type="pct"/>
                  <w:tcBorders>
                    <w:tl2br w:val="nil"/>
                    <w:tr2bl w:val="nil"/>
                  </w:tcBorders>
                  <w:vAlign w:val="center"/>
                </w:tcPr>
                <w:p>
                  <w:pPr>
                    <w:pStyle w:val="19"/>
                    <w:bidi w:val="0"/>
                    <w:rPr>
                      <w:rFonts w:hint="default"/>
                      <w:sz w:val="16"/>
                      <w:szCs w:val="16"/>
                    </w:rPr>
                  </w:pPr>
                  <w:r>
                    <w:rPr>
                      <w:rFonts w:hint="default"/>
                      <w:sz w:val="16"/>
                      <w:szCs w:val="16"/>
                    </w:rPr>
                    <w:t>≤0.15</w:t>
                  </w:r>
                </w:p>
              </w:tc>
              <w:tc>
                <w:tcPr>
                  <w:tcW w:w="951" w:type="pct"/>
                  <w:tcBorders>
                    <w:tl2br w:val="nil"/>
                    <w:tr2bl w:val="nil"/>
                  </w:tcBorders>
                  <w:vAlign w:val="center"/>
                </w:tcPr>
                <w:p>
                  <w:pPr>
                    <w:pStyle w:val="19"/>
                    <w:bidi w:val="0"/>
                    <w:rPr>
                      <w:rFonts w:hint="default"/>
                      <w:sz w:val="16"/>
                      <w:szCs w:val="16"/>
                    </w:rPr>
                  </w:pPr>
                  <w:r>
                    <w:rPr>
                      <w:rFonts w:hint="default"/>
                      <w:sz w:val="16"/>
                      <w:szCs w:val="16"/>
                    </w:rPr>
                    <w:t>Mo55~65；Sn≤0.08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541" w:type="pct"/>
                  <w:vMerge w:val="continue"/>
                  <w:tcBorders>
                    <w:tl2br w:val="nil"/>
                    <w:tr2bl w:val="nil"/>
                  </w:tcBorders>
                  <w:vAlign w:val="center"/>
                </w:tcPr>
                <w:p>
                  <w:pPr>
                    <w:pStyle w:val="19"/>
                    <w:bidi w:val="0"/>
                    <w:rPr>
                      <w:rFonts w:hint="default"/>
                      <w:sz w:val="16"/>
                      <w:szCs w:val="16"/>
                    </w:rPr>
                  </w:pPr>
                </w:p>
              </w:tc>
              <w:tc>
                <w:tcPr>
                  <w:tcW w:w="734" w:type="pct"/>
                  <w:tcBorders>
                    <w:tl2br w:val="nil"/>
                    <w:tr2bl w:val="nil"/>
                  </w:tcBorders>
                  <w:vAlign w:val="center"/>
                </w:tcPr>
                <w:p>
                  <w:pPr>
                    <w:pStyle w:val="19"/>
                    <w:bidi w:val="0"/>
                    <w:rPr>
                      <w:rFonts w:hint="default"/>
                      <w:sz w:val="16"/>
                      <w:szCs w:val="16"/>
                    </w:rPr>
                  </w:pPr>
                  <w:r>
                    <w:rPr>
                      <w:rFonts w:hint="default"/>
                      <w:sz w:val="16"/>
                      <w:szCs w:val="16"/>
                    </w:rPr>
                    <w:t>FeMo55-B</w:t>
                  </w:r>
                </w:p>
              </w:tc>
              <w:tc>
                <w:tcPr>
                  <w:tcW w:w="873" w:type="pct"/>
                  <w:tcBorders>
                    <w:tl2br w:val="nil"/>
                    <w:tr2bl w:val="nil"/>
                  </w:tcBorders>
                  <w:vAlign w:val="center"/>
                </w:tcPr>
                <w:p>
                  <w:pPr>
                    <w:pStyle w:val="19"/>
                    <w:bidi w:val="0"/>
                    <w:rPr>
                      <w:rFonts w:hint="default"/>
                      <w:sz w:val="16"/>
                      <w:szCs w:val="16"/>
                    </w:rPr>
                  </w:pPr>
                  <w:r>
                    <w:rPr>
                      <w:rFonts w:hint="default"/>
                      <w:sz w:val="16"/>
                      <w:szCs w:val="16"/>
                    </w:rPr>
                    <w:t>Sb≤0.08，Cu≤1.0</w:t>
                  </w:r>
                </w:p>
              </w:tc>
              <w:tc>
                <w:tcPr>
                  <w:tcW w:w="365" w:type="pct"/>
                  <w:tcBorders>
                    <w:tl2br w:val="nil"/>
                    <w:tr2bl w:val="nil"/>
                  </w:tcBorders>
                  <w:vAlign w:val="center"/>
                </w:tcPr>
                <w:p>
                  <w:pPr>
                    <w:pStyle w:val="19"/>
                    <w:bidi w:val="0"/>
                    <w:rPr>
                      <w:rFonts w:hint="default"/>
                      <w:sz w:val="16"/>
                      <w:szCs w:val="16"/>
                    </w:rPr>
                  </w:pPr>
                  <w:r>
                    <w:rPr>
                      <w:rFonts w:hint="default"/>
                      <w:sz w:val="16"/>
                      <w:szCs w:val="16"/>
                    </w:rPr>
                    <w:t>≤0.25</w:t>
                  </w:r>
                </w:p>
              </w:tc>
              <w:tc>
                <w:tcPr>
                  <w:tcW w:w="389" w:type="pct"/>
                  <w:tcBorders>
                    <w:tl2br w:val="nil"/>
                    <w:tr2bl w:val="nil"/>
                  </w:tcBorders>
                  <w:vAlign w:val="center"/>
                </w:tcPr>
                <w:p>
                  <w:pPr>
                    <w:pStyle w:val="19"/>
                    <w:bidi w:val="0"/>
                    <w:rPr>
                      <w:rFonts w:hint="default"/>
                      <w:sz w:val="16"/>
                      <w:szCs w:val="16"/>
                    </w:rPr>
                  </w:pPr>
                </w:p>
              </w:tc>
              <w:tc>
                <w:tcPr>
                  <w:tcW w:w="389" w:type="pct"/>
                  <w:tcBorders>
                    <w:tl2br w:val="nil"/>
                    <w:tr2bl w:val="nil"/>
                  </w:tcBorders>
                  <w:vAlign w:val="center"/>
                </w:tcPr>
                <w:p>
                  <w:pPr>
                    <w:pStyle w:val="19"/>
                    <w:bidi w:val="0"/>
                    <w:rPr>
                      <w:rFonts w:hint="default"/>
                      <w:sz w:val="16"/>
                      <w:szCs w:val="16"/>
                    </w:rPr>
                  </w:pPr>
                  <w:r>
                    <w:rPr>
                      <w:rFonts w:hint="default"/>
                      <w:sz w:val="16"/>
                      <w:szCs w:val="16"/>
                    </w:rPr>
                    <w:t>≤1.5</w:t>
                  </w:r>
                </w:p>
              </w:tc>
              <w:tc>
                <w:tcPr>
                  <w:tcW w:w="365" w:type="pct"/>
                  <w:tcBorders>
                    <w:tl2br w:val="nil"/>
                    <w:tr2bl w:val="nil"/>
                  </w:tcBorders>
                  <w:vAlign w:val="center"/>
                </w:tcPr>
                <w:p>
                  <w:pPr>
                    <w:pStyle w:val="19"/>
                    <w:bidi w:val="0"/>
                    <w:rPr>
                      <w:rFonts w:hint="default"/>
                      <w:sz w:val="16"/>
                      <w:szCs w:val="16"/>
                    </w:rPr>
                  </w:pPr>
                  <w:r>
                    <w:rPr>
                      <w:rFonts w:hint="default"/>
                      <w:sz w:val="16"/>
                      <w:szCs w:val="16"/>
                    </w:rPr>
                    <w:t>≤0.10</w:t>
                  </w:r>
                </w:p>
              </w:tc>
              <w:tc>
                <w:tcPr>
                  <w:tcW w:w="389" w:type="pct"/>
                  <w:tcBorders>
                    <w:tl2br w:val="nil"/>
                    <w:tr2bl w:val="nil"/>
                  </w:tcBorders>
                  <w:vAlign w:val="center"/>
                </w:tcPr>
                <w:p>
                  <w:pPr>
                    <w:pStyle w:val="19"/>
                    <w:bidi w:val="0"/>
                    <w:rPr>
                      <w:rFonts w:hint="default"/>
                      <w:sz w:val="16"/>
                      <w:szCs w:val="16"/>
                    </w:rPr>
                  </w:pPr>
                  <w:r>
                    <w:rPr>
                      <w:rFonts w:hint="default"/>
                      <w:sz w:val="16"/>
                      <w:szCs w:val="16"/>
                    </w:rPr>
                    <w:t>≤0.15</w:t>
                  </w:r>
                </w:p>
              </w:tc>
              <w:tc>
                <w:tcPr>
                  <w:tcW w:w="951" w:type="pct"/>
                  <w:tcBorders>
                    <w:tl2br w:val="nil"/>
                    <w:tr2bl w:val="nil"/>
                  </w:tcBorders>
                  <w:vAlign w:val="center"/>
                </w:tcPr>
                <w:p>
                  <w:pPr>
                    <w:pStyle w:val="19"/>
                    <w:bidi w:val="0"/>
                    <w:rPr>
                      <w:rFonts w:hint="default"/>
                      <w:sz w:val="16"/>
                      <w:szCs w:val="16"/>
                    </w:rPr>
                  </w:pPr>
                  <w:r>
                    <w:rPr>
                      <w:rFonts w:hint="default"/>
                      <w:sz w:val="16"/>
                      <w:szCs w:val="16"/>
                    </w:rPr>
                    <w:t>Mo≥ 55；Sn≤0.08</w:t>
                  </w:r>
                </w:p>
              </w:tc>
            </w:tr>
          </w:tbl>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rPr>
            </w:pPr>
          </w:p>
          <w:p>
            <w:pPr>
              <w:pStyle w:val="21"/>
              <w:bidi w:val="0"/>
              <w:rPr>
                <w:rFonts w:hint="eastAsia"/>
                <w:lang w:val="en-US" w:eastAsia="zh-CN"/>
              </w:rPr>
            </w:pPr>
            <w:r>
              <w:rPr>
                <w:rFonts w:hint="eastAsia"/>
                <w:lang w:val="en-US" w:eastAsia="zh-CN"/>
              </w:rPr>
              <w:t>表2-7  萤石化学成分与物理性能</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1164"/>
              <w:gridCol w:w="1429"/>
              <w:gridCol w:w="740"/>
              <w:gridCol w:w="728"/>
              <w:gridCol w:w="757"/>
              <w:gridCol w:w="700"/>
              <w:gridCol w:w="740"/>
              <w:gridCol w:w="862"/>
              <w:gridCol w:w="7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pct"/>
                  <w:vMerge w:val="restart"/>
                  <w:vAlign w:val="center"/>
                </w:tcPr>
                <w:p>
                  <w:pPr>
                    <w:pStyle w:val="19"/>
                    <w:bidi w:val="0"/>
                    <w:rPr>
                      <w:rFonts w:hint="default" w:ascii="Times New Roman" w:hAnsi="Times New Roman" w:cs="Times New Roman"/>
                      <w:b/>
                      <w:bCs/>
                    </w:rPr>
                  </w:pPr>
                  <w:r>
                    <w:rPr>
                      <w:rFonts w:hint="default" w:ascii="Times New Roman" w:hAnsi="Times New Roman" w:cs="Times New Roman"/>
                      <w:b/>
                      <w:bCs/>
                    </w:rPr>
                    <w:t>名称</w:t>
                  </w:r>
                </w:p>
              </w:tc>
              <w:tc>
                <w:tcPr>
                  <w:tcW w:w="677" w:type="pct"/>
                  <w:vMerge w:val="restart"/>
                  <w:vAlign w:val="center"/>
                </w:tcPr>
                <w:p>
                  <w:pPr>
                    <w:pStyle w:val="19"/>
                    <w:bidi w:val="0"/>
                    <w:rPr>
                      <w:rFonts w:hint="default" w:ascii="Times New Roman" w:hAnsi="Times New Roman" w:cs="Times New Roman"/>
                      <w:b/>
                      <w:bCs/>
                    </w:rPr>
                  </w:pPr>
                  <w:r>
                    <w:rPr>
                      <w:rFonts w:hint="default" w:ascii="Times New Roman" w:hAnsi="Times New Roman" w:cs="Times New Roman"/>
                      <w:b/>
                      <w:bCs/>
                    </w:rPr>
                    <w:t>粒度mm</w:t>
                  </w:r>
                </w:p>
              </w:tc>
              <w:tc>
                <w:tcPr>
                  <w:tcW w:w="831" w:type="pct"/>
                  <w:vMerge w:val="restart"/>
                  <w:vAlign w:val="center"/>
                </w:tcPr>
                <w:p>
                  <w:pPr>
                    <w:pStyle w:val="19"/>
                    <w:bidi w:val="0"/>
                    <w:rPr>
                      <w:rFonts w:hint="default" w:ascii="Times New Roman" w:hAnsi="Times New Roman" w:cs="Times New Roman"/>
                      <w:b/>
                      <w:bCs/>
                    </w:rPr>
                  </w:pPr>
                  <w:r>
                    <w:rPr>
                      <w:rFonts w:hint="default" w:ascii="Times New Roman" w:hAnsi="Times New Roman" w:cs="Times New Roman"/>
                      <w:b/>
                      <w:bCs/>
                    </w:rPr>
                    <w:t>堆比重t/m</w:t>
                  </w:r>
                  <w:r>
                    <w:rPr>
                      <w:rFonts w:hint="default" w:ascii="Times New Roman" w:hAnsi="Times New Roman" w:cs="Times New Roman"/>
                      <w:b/>
                      <w:bCs/>
                      <w:vertAlign w:val="subscript"/>
                    </w:rPr>
                    <w:t>3</w:t>
                  </w:r>
                </w:p>
              </w:tc>
              <w:tc>
                <w:tcPr>
                  <w:tcW w:w="3066" w:type="pct"/>
                  <w:gridSpan w:val="7"/>
                  <w:vAlign w:val="center"/>
                </w:tcPr>
                <w:p>
                  <w:pPr>
                    <w:pStyle w:val="19"/>
                    <w:bidi w:val="0"/>
                    <w:rPr>
                      <w:rFonts w:hint="eastAsia" w:ascii="Times New Roman" w:hAnsi="Times New Roman" w:eastAsia="宋体" w:cs="Times New Roman"/>
                      <w:b/>
                      <w:bCs/>
                      <w:lang w:eastAsia="zh-CN"/>
                    </w:rPr>
                  </w:pPr>
                  <w:r>
                    <w:rPr>
                      <w:rFonts w:hint="default" w:ascii="Times New Roman" w:hAnsi="Times New Roman" w:cs="Times New Roman"/>
                      <w:b/>
                      <w:bCs/>
                    </w:rPr>
                    <w:t>成  份</w:t>
                  </w:r>
                  <w:r>
                    <w:rPr>
                      <w:rFonts w:hint="eastAsia" w:cs="Times New Roman"/>
                      <w:b/>
                      <w:bCs/>
                      <w:lang w:eastAsia="zh-CN"/>
                    </w:rPr>
                    <w:t>(</w:t>
                  </w:r>
                  <w:r>
                    <w:rPr>
                      <w:rFonts w:hint="eastAsia" w:cs="Times New Roman"/>
                      <w:b/>
                      <w:bCs/>
                      <w:lang w:val="en-US" w:eastAsia="zh-CN"/>
                    </w:rPr>
                    <w:t>%</w:t>
                  </w:r>
                  <w:r>
                    <w:rPr>
                      <w:rFonts w:hint="eastAsia" w:cs="Times New Roman"/>
                      <w:b/>
                      <w:bCs/>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pct"/>
                  <w:vMerge w:val="continue"/>
                  <w:vAlign w:val="center"/>
                </w:tcPr>
                <w:p>
                  <w:pPr>
                    <w:pStyle w:val="19"/>
                    <w:bidi w:val="0"/>
                    <w:rPr>
                      <w:rFonts w:hint="default" w:ascii="Times New Roman" w:hAnsi="Times New Roman" w:cs="Times New Roman"/>
                      <w:b/>
                      <w:bCs/>
                    </w:rPr>
                  </w:pPr>
                </w:p>
              </w:tc>
              <w:tc>
                <w:tcPr>
                  <w:tcW w:w="677" w:type="pct"/>
                  <w:vMerge w:val="continue"/>
                  <w:vAlign w:val="center"/>
                </w:tcPr>
                <w:p>
                  <w:pPr>
                    <w:pStyle w:val="19"/>
                    <w:bidi w:val="0"/>
                    <w:rPr>
                      <w:rFonts w:hint="default" w:ascii="Times New Roman" w:hAnsi="Times New Roman" w:cs="Times New Roman"/>
                      <w:b/>
                      <w:bCs/>
                    </w:rPr>
                  </w:pPr>
                </w:p>
              </w:tc>
              <w:tc>
                <w:tcPr>
                  <w:tcW w:w="831" w:type="pct"/>
                  <w:vMerge w:val="continue"/>
                  <w:vAlign w:val="center"/>
                </w:tcPr>
                <w:p>
                  <w:pPr>
                    <w:pStyle w:val="19"/>
                    <w:bidi w:val="0"/>
                    <w:rPr>
                      <w:rFonts w:hint="default" w:ascii="Times New Roman" w:hAnsi="Times New Roman" w:cs="Times New Roman"/>
                      <w:b/>
                      <w:bCs/>
                    </w:rPr>
                  </w:pPr>
                </w:p>
              </w:tc>
              <w:tc>
                <w:tcPr>
                  <w:tcW w:w="430" w:type="pct"/>
                  <w:vAlign w:val="center"/>
                </w:tcPr>
                <w:p>
                  <w:pPr>
                    <w:pStyle w:val="19"/>
                    <w:bidi w:val="0"/>
                    <w:rPr>
                      <w:rFonts w:hint="default" w:ascii="Times New Roman" w:hAnsi="Times New Roman" w:cs="Times New Roman"/>
                      <w:b/>
                      <w:bCs/>
                    </w:rPr>
                  </w:pPr>
                  <w:r>
                    <w:rPr>
                      <w:rFonts w:hint="default" w:ascii="Times New Roman" w:hAnsi="Times New Roman" w:cs="Times New Roman"/>
                      <w:b/>
                      <w:bCs/>
                    </w:rPr>
                    <w:t>CaO</w:t>
                  </w:r>
                </w:p>
              </w:tc>
              <w:tc>
                <w:tcPr>
                  <w:tcW w:w="423" w:type="pct"/>
                  <w:vAlign w:val="center"/>
                </w:tcPr>
                <w:p>
                  <w:pPr>
                    <w:pStyle w:val="19"/>
                    <w:bidi w:val="0"/>
                    <w:rPr>
                      <w:rFonts w:hint="default" w:ascii="Times New Roman" w:hAnsi="Times New Roman" w:cs="Times New Roman"/>
                      <w:b/>
                      <w:bCs/>
                    </w:rPr>
                  </w:pPr>
                  <w:r>
                    <w:rPr>
                      <w:rFonts w:hint="default" w:ascii="Times New Roman" w:hAnsi="Times New Roman" w:cs="Times New Roman"/>
                      <w:b/>
                      <w:bCs/>
                    </w:rPr>
                    <w:t>CaF</w:t>
                  </w:r>
                  <w:r>
                    <w:rPr>
                      <w:rFonts w:hint="default" w:ascii="Times New Roman" w:hAnsi="Times New Roman" w:cs="Times New Roman"/>
                      <w:b/>
                      <w:bCs/>
                      <w:vertAlign w:val="subscript"/>
                    </w:rPr>
                    <w:t>2</w:t>
                  </w:r>
                </w:p>
              </w:tc>
              <w:tc>
                <w:tcPr>
                  <w:tcW w:w="440" w:type="pct"/>
                  <w:vAlign w:val="center"/>
                </w:tcPr>
                <w:p>
                  <w:pPr>
                    <w:pStyle w:val="19"/>
                    <w:bidi w:val="0"/>
                    <w:rPr>
                      <w:rFonts w:hint="default" w:ascii="Times New Roman" w:hAnsi="Times New Roman" w:cs="Times New Roman"/>
                      <w:b/>
                      <w:bCs/>
                    </w:rPr>
                  </w:pPr>
                  <w:r>
                    <w:rPr>
                      <w:rFonts w:hint="default" w:ascii="Times New Roman" w:hAnsi="Times New Roman" w:cs="Times New Roman"/>
                      <w:b/>
                      <w:bCs/>
                    </w:rPr>
                    <w:t>MgO</w:t>
                  </w:r>
                </w:p>
              </w:tc>
              <w:tc>
                <w:tcPr>
                  <w:tcW w:w="407" w:type="pct"/>
                  <w:vAlign w:val="center"/>
                </w:tcPr>
                <w:p>
                  <w:pPr>
                    <w:pStyle w:val="19"/>
                    <w:bidi w:val="0"/>
                    <w:rPr>
                      <w:rFonts w:hint="default" w:ascii="Times New Roman" w:hAnsi="Times New Roman" w:cs="Times New Roman"/>
                      <w:b/>
                      <w:bCs/>
                    </w:rPr>
                  </w:pPr>
                  <w:r>
                    <w:rPr>
                      <w:rFonts w:hint="default" w:ascii="Times New Roman" w:hAnsi="Times New Roman" w:cs="Times New Roman"/>
                      <w:b/>
                      <w:bCs/>
                    </w:rPr>
                    <w:t>SiO</w:t>
                  </w:r>
                  <w:r>
                    <w:rPr>
                      <w:rFonts w:hint="default" w:ascii="Times New Roman" w:hAnsi="Times New Roman" w:cs="Times New Roman"/>
                      <w:b/>
                      <w:bCs/>
                      <w:vertAlign w:val="subscript"/>
                    </w:rPr>
                    <w:t>2</w:t>
                  </w:r>
                </w:p>
              </w:tc>
              <w:tc>
                <w:tcPr>
                  <w:tcW w:w="430" w:type="pct"/>
                  <w:vAlign w:val="center"/>
                </w:tcPr>
                <w:p>
                  <w:pPr>
                    <w:pStyle w:val="19"/>
                    <w:bidi w:val="0"/>
                    <w:rPr>
                      <w:rFonts w:hint="default" w:ascii="Times New Roman" w:hAnsi="Times New Roman" w:cs="Times New Roman"/>
                      <w:b/>
                      <w:bCs/>
                    </w:rPr>
                  </w:pPr>
                  <w:r>
                    <w:rPr>
                      <w:rFonts w:hint="default" w:ascii="Times New Roman" w:hAnsi="Times New Roman" w:cs="Times New Roman"/>
                      <w:b/>
                      <w:bCs/>
                    </w:rPr>
                    <w:t>S</w:t>
                  </w:r>
                </w:p>
              </w:tc>
              <w:tc>
                <w:tcPr>
                  <w:tcW w:w="501" w:type="pct"/>
                  <w:vAlign w:val="center"/>
                </w:tcPr>
                <w:p>
                  <w:pPr>
                    <w:pStyle w:val="19"/>
                    <w:bidi w:val="0"/>
                    <w:rPr>
                      <w:rFonts w:hint="default" w:ascii="Times New Roman" w:hAnsi="Times New Roman" w:cs="Times New Roman"/>
                      <w:b/>
                      <w:bCs/>
                    </w:rPr>
                  </w:pPr>
                  <w:r>
                    <w:rPr>
                      <w:rFonts w:hint="default" w:ascii="Times New Roman" w:hAnsi="Times New Roman" w:cs="Times New Roman"/>
                      <w:b/>
                      <w:bCs/>
                    </w:rPr>
                    <w:t>P</w:t>
                  </w:r>
                </w:p>
              </w:tc>
              <w:tc>
                <w:tcPr>
                  <w:tcW w:w="432" w:type="pct"/>
                  <w:vAlign w:val="center"/>
                </w:tcPr>
                <w:p>
                  <w:pPr>
                    <w:pStyle w:val="19"/>
                    <w:bidi w:val="0"/>
                    <w:rPr>
                      <w:rFonts w:hint="default" w:ascii="Times New Roman" w:hAnsi="Times New Roman" w:cs="Times New Roman"/>
                      <w:b/>
                      <w:bCs/>
                    </w:rPr>
                  </w:pPr>
                  <w:r>
                    <w:rPr>
                      <w:rFonts w:hint="default" w:ascii="Times New Roman" w:hAnsi="Times New Roman" w:cs="Times New Roman"/>
                      <w:b/>
                      <w:bCs/>
                    </w:rPr>
                    <w:t>H</w:t>
                  </w:r>
                  <w:r>
                    <w:rPr>
                      <w:rFonts w:hint="default" w:ascii="Times New Roman" w:hAnsi="Times New Roman" w:cs="Times New Roman"/>
                      <w:b/>
                      <w:bCs/>
                      <w:vertAlign w:val="subscript"/>
                    </w:rPr>
                    <w:t>2</w:t>
                  </w:r>
                  <w:r>
                    <w:rPr>
                      <w:rFonts w:hint="default" w:ascii="Times New Roman" w:hAnsi="Times New Roman" w:cs="Times New Roman"/>
                      <w:b/>
                      <w:bCs/>
                    </w:rPr>
                    <w:t>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24" w:type="pct"/>
                  <w:vAlign w:val="center"/>
                </w:tcPr>
                <w:p>
                  <w:pPr>
                    <w:pStyle w:val="19"/>
                    <w:bidi w:val="0"/>
                    <w:rPr>
                      <w:rFonts w:hint="default" w:ascii="Times New Roman" w:hAnsi="Times New Roman" w:cs="Times New Roman"/>
                    </w:rPr>
                  </w:pPr>
                  <w:r>
                    <w:rPr>
                      <w:rFonts w:hint="default" w:ascii="Times New Roman" w:hAnsi="Times New Roman" w:cs="Times New Roman"/>
                    </w:rPr>
                    <w:t>萤石</w:t>
                  </w:r>
                </w:p>
              </w:tc>
              <w:tc>
                <w:tcPr>
                  <w:tcW w:w="677" w:type="pct"/>
                  <w:vAlign w:val="center"/>
                </w:tcPr>
                <w:p>
                  <w:pPr>
                    <w:pStyle w:val="19"/>
                    <w:bidi w:val="0"/>
                    <w:rPr>
                      <w:rFonts w:hint="default" w:ascii="Times New Roman" w:hAnsi="Times New Roman" w:cs="Times New Roman"/>
                    </w:rPr>
                  </w:pPr>
                  <w:r>
                    <w:rPr>
                      <w:rFonts w:hint="default" w:ascii="Times New Roman" w:hAnsi="Times New Roman" w:cs="Times New Roman"/>
                    </w:rPr>
                    <w:t>5~50</w:t>
                  </w:r>
                </w:p>
              </w:tc>
              <w:tc>
                <w:tcPr>
                  <w:tcW w:w="831" w:type="pct"/>
                  <w:vAlign w:val="center"/>
                </w:tcPr>
                <w:p>
                  <w:pPr>
                    <w:pStyle w:val="19"/>
                    <w:bidi w:val="0"/>
                    <w:rPr>
                      <w:rFonts w:hint="default" w:ascii="Times New Roman" w:hAnsi="Times New Roman" w:cs="Times New Roman"/>
                    </w:rPr>
                  </w:pPr>
                  <w:r>
                    <w:rPr>
                      <w:rFonts w:hint="default" w:ascii="Times New Roman" w:hAnsi="Times New Roman" w:cs="Times New Roman"/>
                    </w:rPr>
                    <w:t>1</w:t>
                  </w:r>
                </w:p>
              </w:tc>
              <w:tc>
                <w:tcPr>
                  <w:tcW w:w="430" w:type="pct"/>
                  <w:vAlign w:val="center"/>
                </w:tcPr>
                <w:p>
                  <w:pPr>
                    <w:pStyle w:val="19"/>
                    <w:bidi w:val="0"/>
                    <w:rPr>
                      <w:rFonts w:hint="default" w:ascii="Times New Roman" w:hAnsi="Times New Roman" w:cs="Times New Roman"/>
                    </w:rPr>
                  </w:pPr>
                  <w:r>
                    <w:rPr>
                      <w:rFonts w:hint="default" w:ascii="Times New Roman" w:hAnsi="Times New Roman" w:cs="Times New Roman"/>
                    </w:rPr>
                    <w:sym w:font="Symbol" w:char="F0A3"/>
                  </w:r>
                  <w:r>
                    <w:rPr>
                      <w:rFonts w:hint="default" w:ascii="Times New Roman" w:hAnsi="Times New Roman" w:cs="Times New Roman"/>
                    </w:rPr>
                    <w:t>5.0</w:t>
                  </w:r>
                </w:p>
              </w:tc>
              <w:tc>
                <w:tcPr>
                  <w:tcW w:w="423" w:type="pct"/>
                  <w:vAlign w:val="center"/>
                </w:tcPr>
                <w:p>
                  <w:pPr>
                    <w:pStyle w:val="19"/>
                    <w:bidi w:val="0"/>
                    <w:rPr>
                      <w:rFonts w:hint="default" w:ascii="Times New Roman" w:hAnsi="Times New Roman" w:cs="Times New Roman"/>
                    </w:rPr>
                  </w:pPr>
                  <w:r>
                    <w:rPr>
                      <w:rFonts w:hint="default" w:ascii="Times New Roman" w:hAnsi="Times New Roman" w:cs="Times New Roman"/>
                    </w:rPr>
                    <w:sym w:font="Symbol" w:char="F0B3"/>
                  </w:r>
                  <w:r>
                    <w:rPr>
                      <w:rFonts w:hint="default" w:ascii="Times New Roman" w:hAnsi="Times New Roman" w:cs="Times New Roman"/>
                    </w:rPr>
                    <w:t>85</w:t>
                  </w:r>
                </w:p>
              </w:tc>
              <w:tc>
                <w:tcPr>
                  <w:tcW w:w="440" w:type="pct"/>
                  <w:vAlign w:val="center"/>
                </w:tcPr>
                <w:p>
                  <w:pPr>
                    <w:pStyle w:val="19"/>
                    <w:bidi w:val="0"/>
                    <w:rPr>
                      <w:rFonts w:hint="default" w:ascii="Times New Roman" w:hAnsi="Times New Roman" w:cs="Times New Roman"/>
                    </w:rPr>
                  </w:pPr>
                  <w:r>
                    <w:rPr>
                      <w:rFonts w:hint="default" w:ascii="Times New Roman" w:hAnsi="Times New Roman" w:cs="Times New Roman"/>
                    </w:rPr>
                    <w:t>-</w:t>
                  </w:r>
                </w:p>
              </w:tc>
              <w:tc>
                <w:tcPr>
                  <w:tcW w:w="407" w:type="pct"/>
                  <w:vAlign w:val="center"/>
                </w:tcPr>
                <w:p>
                  <w:pPr>
                    <w:pStyle w:val="19"/>
                    <w:bidi w:val="0"/>
                    <w:rPr>
                      <w:rFonts w:hint="default" w:ascii="Times New Roman" w:hAnsi="Times New Roman" w:cs="Times New Roman"/>
                    </w:rPr>
                  </w:pPr>
                  <w:r>
                    <w:rPr>
                      <w:rFonts w:hint="default" w:ascii="Times New Roman" w:hAnsi="Times New Roman" w:cs="Times New Roman"/>
                    </w:rPr>
                    <w:sym w:font="Symbol" w:char="F0A3"/>
                  </w:r>
                  <w:r>
                    <w:rPr>
                      <w:rFonts w:hint="default" w:ascii="Times New Roman" w:hAnsi="Times New Roman" w:cs="Times New Roman"/>
                    </w:rPr>
                    <w:t>4</w:t>
                  </w:r>
                </w:p>
              </w:tc>
              <w:tc>
                <w:tcPr>
                  <w:tcW w:w="430" w:type="pct"/>
                  <w:vAlign w:val="center"/>
                </w:tcPr>
                <w:p>
                  <w:pPr>
                    <w:pStyle w:val="19"/>
                    <w:bidi w:val="0"/>
                    <w:rPr>
                      <w:rFonts w:hint="default" w:ascii="Times New Roman" w:hAnsi="Times New Roman" w:cs="Times New Roman"/>
                    </w:rPr>
                  </w:pPr>
                  <w:r>
                    <w:rPr>
                      <w:rFonts w:hint="default" w:ascii="Times New Roman" w:hAnsi="Times New Roman" w:cs="Times New Roman"/>
                    </w:rPr>
                    <w:sym w:font="Symbol" w:char="F0A3"/>
                  </w:r>
                  <w:r>
                    <w:rPr>
                      <w:rFonts w:hint="default" w:ascii="Times New Roman" w:hAnsi="Times New Roman" w:cs="Times New Roman"/>
                    </w:rPr>
                    <w:t xml:space="preserve"> 0.1</w:t>
                  </w:r>
                </w:p>
              </w:tc>
              <w:tc>
                <w:tcPr>
                  <w:tcW w:w="501" w:type="pct"/>
                  <w:vAlign w:val="center"/>
                </w:tcPr>
                <w:p>
                  <w:pPr>
                    <w:pStyle w:val="19"/>
                    <w:bidi w:val="0"/>
                    <w:rPr>
                      <w:rFonts w:hint="default" w:ascii="Times New Roman" w:hAnsi="Times New Roman" w:cs="Times New Roman"/>
                    </w:rPr>
                  </w:pPr>
                  <w:r>
                    <w:rPr>
                      <w:rFonts w:hint="default" w:ascii="Times New Roman" w:hAnsi="Times New Roman" w:cs="Times New Roman"/>
                    </w:rPr>
                    <w:sym w:font="Symbol" w:char="F0A3"/>
                  </w:r>
                  <w:r>
                    <w:rPr>
                      <w:rFonts w:hint="default" w:ascii="Times New Roman" w:hAnsi="Times New Roman" w:cs="Times New Roman"/>
                    </w:rPr>
                    <w:t>0.06</w:t>
                  </w:r>
                </w:p>
              </w:tc>
              <w:tc>
                <w:tcPr>
                  <w:tcW w:w="432" w:type="pct"/>
                  <w:vAlign w:val="center"/>
                </w:tcPr>
                <w:p>
                  <w:pPr>
                    <w:pStyle w:val="19"/>
                    <w:bidi w:val="0"/>
                    <w:rPr>
                      <w:rFonts w:hint="default" w:ascii="Times New Roman" w:hAnsi="Times New Roman" w:cs="Times New Roman"/>
                    </w:rPr>
                  </w:pPr>
                  <w:r>
                    <w:rPr>
                      <w:rFonts w:hint="default" w:ascii="Times New Roman" w:hAnsi="Times New Roman" w:cs="Times New Roman"/>
                    </w:rPr>
                    <w:sym w:font="Symbol" w:char="F0A3"/>
                  </w:r>
                  <w:r>
                    <w:rPr>
                      <w:rFonts w:hint="default" w:ascii="Times New Roman" w:hAnsi="Times New Roman" w:cs="Times New Roman"/>
                    </w:rPr>
                    <w:t>0.5</w:t>
                  </w:r>
                </w:p>
              </w:tc>
            </w:tr>
          </w:tbl>
          <w:p>
            <w:pPr>
              <w:spacing w:line="480" w:lineRule="exact"/>
              <w:rPr>
                <w:rFonts w:hint="default" w:ascii="Times New Roman" w:hAnsi="Times New Roman" w:eastAsia="宋体" w:cs="Times New Roman"/>
                <w:bCs/>
                <w:lang w:val="en-US" w:eastAsia="zh-CN"/>
              </w:rPr>
            </w:pPr>
          </w:p>
          <w:p>
            <w:pPr>
              <w:pStyle w:val="21"/>
              <w:bidi w:val="0"/>
              <w:rPr>
                <w:rFonts w:hint="eastAsia"/>
                <w:lang w:val="en-US" w:eastAsia="zh-CN"/>
              </w:rPr>
            </w:pPr>
            <w:r>
              <w:rPr>
                <w:rFonts w:hint="eastAsia"/>
                <w:lang w:val="en-US" w:eastAsia="zh-CN"/>
              </w:rPr>
              <w:t>表2-8  活性石灰化学成分与物理性能</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4"/>
              <w:gridCol w:w="796"/>
              <w:gridCol w:w="742"/>
              <w:gridCol w:w="971"/>
              <w:gridCol w:w="971"/>
              <w:gridCol w:w="712"/>
              <w:gridCol w:w="687"/>
              <w:gridCol w:w="855"/>
              <w:gridCol w:w="14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93" w:type="pct"/>
                  <w:tcBorders>
                    <w:tl2br w:val="nil"/>
                    <w:tr2bl w:val="nil"/>
                  </w:tcBorders>
                  <w:vAlign w:val="center"/>
                </w:tcPr>
                <w:p>
                  <w:pPr>
                    <w:pStyle w:val="19"/>
                    <w:bidi w:val="0"/>
                    <w:rPr>
                      <w:rFonts w:hint="default" w:ascii="Times New Roman" w:hAnsi="Times New Roman" w:cs="Times New Roman"/>
                      <w:b/>
                      <w:bCs/>
                    </w:rPr>
                  </w:pPr>
                  <w:r>
                    <w:rPr>
                      <w:rFonts w:hint="default" w:ascii="Times New Roman" w:hAnsi="Times New Roman" w:cs="Times New Roman"/>
                      <w:b/>
                      <w:bCs/>
                    </w:rPr>
                    <w:t>元素</w:t>
                  </w:r>
                </w:p>
              </w:tc>
              <w:tc>
                <w:tcPr>
                  <w:tcW w:w="463" w:type="pct"/>
                  <w:tcBorders>
                    <w:tl2br w:val="nil"/>
                    <w:tr2bl w:val="nil"/>
                  </w:tcBorders>
                  <w:vAlign w:val="center"/>
                </w:tcPr>
                <w:p>
                  <w:pPr>
                    <w:pStyle w:val="19"/>
                    <w:bidi w:val="0"/>
                    <w:rPr>
                      <w:rFonts w:hint="default" w:ascii="Times New Roman" w:hAnsi="Times New Roman" w:cs="Times New Roman"/>
                      <w:b/>
                      <w:bCs/>
                    </w:rPr>
                  </w:pPr>
                  <w:r>
                    <w:rPr>
                      <w:rFonts w:hint="default" w:ascii="Times New Roman" w:hAnsi="Times New Roman" w:cs="Times New Roman"/>
                      <w:b/>
                      <w:bCs/>
                    </w:rPr>
                    <w:t>CaO</w:t>
                  </w:r>
                </w:p>
              </w:tc>
              <w:tc>
                <w:tcPr>
                  <w:tcW w:w="431" w:type="pct"/>
                  <w:tcBorders>
                    <w:tl2br w:val="nil"/>
                    <w:tr2bl w:val="nil"/>
                  </w:tcBorders>
                  <w:vAlign w:val="center"/>
                </w:tcPr>
                <w:p>
                  <w:pPr>
                    <w:pStyle w:val="19"/>
                    <w:bidi w:val="0"/>
                    <w:rPr>
                      <w:rFonts w:hint="default" w:ascii="Times New Roman" w:hAnsi="Times New Roman" w:cs="Times New Roman"/>
                      <w:b/>
                      <w:bCs/>
                    </w:rPr>
                  </w:pPr>
                  <w:r>
                    <w:rPr>
                      <w:rFonts w:hint="default" w:ascii="Times New Roman" w:hAnsi="Times New Roman" w:cs="Times New Roman"/>
                      <w:b/>
                      <w:bCs/>
                    </w:rPr>
                    <w:t>SiO</w:t>
                  </w:r>
                  <w:r>
                    <w:rPr>
                      <w:rFonts w:hint="default" w:ascii="Times New Roman" w:hAnsi="Times New Roman" w:cs="Times New Roman"/>
                      <w:b/>
                      <w:bCs/>
                      <w:vertAlign w:val="subscript"/>
                    </w:rPr>
                    <w:t>2</w:t>
                  </w:r>
                </w:p>
              </w:tc>
              <w:tc>
                <w:tcPr>
                  <w:tcW w:w="564" w:type="pct"/>
                  <w:tcBorders>
                    <w:tl2br w:val="nil"/>
                    <w:tr2bl w:val="nil"/>
                  </w:tcBorders>
                  <w:vAlign w:val="center"/>
                </w:tcPr>
                <w:p>
                  <w:pPr>
                    <w:pStyle w:val="19"/>
                    <w:bidi w:val="0"/>
                    <w:rPr>
                      <w:rFonts w:hint="default" w:ascii="Times New Roman" w:hAnsi="Times New Roman" w:cs="Times New Roman"/>
                      <w:b/>
                      <w:bCs/>
                    </w:rPr>
                  </w:pPr>
                  <w:r>
                    <w:rPr>
                      <w:rFonts w:hint="default" w:ascii="Times New Roman" w:hAnsi="Times New Roman" w:cs="Times New Roman"/>
                      <w:b/>
                      <w:bCs/>
                    </w:rPr>
                    <w:t>P</w:t>
                  </w:r>
                </w:p>
              </w:tc>
              <w:tc>
                <w:tcPr>
                  <w:tcW w:w="564" w:type="pct"/>
                  <w:tcBorders>
                    <w:tl2br w:val="nil"/>
                    <w:tr2bl w:val="nil"/>
                  </w:tcBorders>
                  <w:vAlign w:val="center"/>
                </w:tcPr>
                <w:p>
                  <w:pPr>
                    <w:pStyle w:val="19"/>
                    <w:bidi w:val="0"/>
                    <w:rPr>
                      <w:rFonts w:hint="default" w:ascii="Times New Roman" w:hAnsi="Times New Roman" w:cs="Times New Roman"/>
                      <w:b/>
                      <w:bCs/>
                    </w:rPr>
                  </w:pPr>
                  <w:r>
                    <w:rPr>
                      <w:rFonts w:hint="default" w:ascii="Times New Roman" w:hAnsi="Times New Roman" w:cs="Times New Roman"/>
                      <w:b/>
                      <w:bCs/>
                    </w:rPr>
                    <w:t>S</w:t>
                  </w:r>
                </w:p>
              </w:tc>
              <w:tc>
                <w:tcPr>
                  <w:tcW w:w="414" w:type="pct"/>
                  <w:tcBorders>
                    <w:tl2br w:val="nil"/>
                    <w:tr2bl w:val="nil"/>
                  </w:tcBorders>
                  <w:vAlign w:val="center"/>
                </w:tcPr>
                <w:p>
                  <w:pPr>
                    <w:pStyle w:val="19"/>
                    <w:bidi w:val="0"/>
                    <w:rPr>
                      <w:rFonts w:hint="default" w:ascii="Times New Roman" w:hAnsi="Times New Roman" w:cs="Times New Roman"/>
                      <w:b/>
                      <w:bCs/>
                    </w:rPr>
                  </w:pPr>
                  <w:r>
                    <w:rPr>
                      <w:rFonts w:hint="default" w:ascii="Times New Roman" w:hAnsi="Times New Roman" w:cs="Times New Roman"/>
                      <w:b/>
                      <w:bCs/>
                    </w:rPr>
                    <w:t>MgO</w:t>
                  </w:r>
                </w:p>
              </w:tc>
              <w:tc>
                <w:tcPr>
                  <w:tcW w:w="399" w:type="pct"/>
                  <w:tcBorders>
                    <w:tl2br w:val="nil"/>
                    <w:tr2bl w:val="nil"/>
                  </w:tcBorders>
                  <w:vAlign w:val="center"/>
                </w:tcPr>
                <w:p>
                  <w:pPr>
                    <w:pStyle w:val="19"/>
                    <w:bidi w:val="0"/>
                    <w:rPr>
                      <w:rFonts w:hint="default" w:ascii="Times New Roman" w:hAnsi="Times New Roman" w:cs="Times New Roman"/>
                      <w:b/>
                      <w:bCs/>
                    </w:rPr>
                  </w:pPr>
                  <w:r>
                    <w:rPr>
                      <w:rFonts w:hint="default" w:ascii="Times New Roman" w:hAnsi="Times New Roman" w:cs="Times New Roman"/>
                      <w:b/>
                      <w:bCs/>
                    </w:rPr>
                    <w:t>烧损</w:t>
                  </w:r>
                </w:p>
              </w:tc>
              <w:tc>
                <w:tcPr>
                  <w:tcW w:w="497" w:type="pct"/>
                  <w:tcBorders>
                    <w:tl2br w:val="nil"/>
                    <w:tr2bl w:val="nil"/>
                  </w:tcBorders>
                  <w:vAlign w:val="center"/>
                </w:tcPr>
                <w:p>
                  <w:pPr>
                    <w:pStyle w:val="19"/>
                    <w:bidi w:val="0"/>
                    <w:rPr>
                      <w:rFonts w:hint="default" w:ascii="Times New Roman" w:hAnsi="Times New Roman" w:cs="Times New Roman"/>
                      <w:b/>
                      <w:bCs/>
                    </w:rPr>
                  </w:pPr>
                  <w:r>
                    <w:rPr>
                      <w:rFonts w:hint="default" w:ascii="Times New Roman" w:hAnsi="Times New Roman" w:cs="Times New Roman"/>
                      <w:b/>
                      <w:bCs/>
                    </w:rPr>
                    <w:t>H</w:t>
                  </w:r>
                  <w:r>
                    <w:rPr>
                      <w:rFonts w:hint="default" w:ascii="Times New Roman" w:hAnsi="Times New Roman" w:cs="Times New Roman"/>
                      <w:b/>
                      <w:bCs/>
                      <w:vertAlign w:val="subscript"/>
                    </w:rPr>
                    <w:t>2</w:t>
                  </w:r>
                  <w:r>
                    <w:rPr>
                      <w:rFonts w:hint="default" w:ascii="Times New Roman" w:hAnsi="Times New Roman" w:cs="Times New Roman"/>
                      <w:b/>
                      <w:bCs/>
                    </w:rPr>
                    <w:t>O</w:t>
                  </w:r>
                </w:p>
              </w:tc>
              <w:tc>
                <w:tcPr>
                  <w:tcW w:w="871" w:type="pct"/>
                  <w:tcBorders>
                    <w:tl2br w:val="nil"/>
                    <w:tr2bl w:val="nil"/>
                  </w:tcBorders>
                  <w:vAlign w:val="center"/>
                </w:tcPr>
                <w:p>
                  <w:pPr>
                    <w:pStyle w:val="19"/>
                    <w:bidi w:val="0"/>
                    <w:rPr>
                      <w:rFonts w:hint="eastAsia" w:ascii="Times New Roman" w:hAnsi="Times New Roman" w:eastAsia="宋体" w:cs="Times New Roman"/>
                      <w:b/>
                      <w:bCs/>
                      <w:lang w:eastAsia="zh-CN"/>
                    </w:rPr>
                  </w:pPr>
                  <w:r>
                    <w:rPr>
                      <w:rFonts w:hint="default" w:ascii="Times New Roman" w:hAnsi="Times New Roman" w:cs="Times New Roman"/>
                      <w:b/>
                      <w:bCs/>
                    </w:rPr>
                    <w:t>粒度</w:t>
                  </w:r>
                  <w:r>
                    <w:rPr>
                      <w:rFonts w:hint="eastAsia" w:cs="Times New Roman"/>
                      <w:b/>
                      <w:bCs/>
                      <w:lang w:eastAsia="zh-CN"/>
                    </w:rPr>
                    <w:t>(</w:t>
                  </w:r>
                  <w:r>
                    <w:rPr>
                      <w:rFonts w:hint="default" w:ascii="Times New Roman" w:hAnsi="Times New Roman" w:cs="Times New Roman"/>
                      <w:b/>
                      <w:bCs/>
                    </w:rPr>
                    <w:t>mm</w:t>
                  </w:r>
                  <w:r>
                    <w:rPr>
                      <w:rFonts w:hint="eastAsia" w:cs="Times New Roman"/>
                      <w:b/>
                      <w:bCs/>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93" w:type="pct"/>
                  <w:tcBorders>
                    <w:tl2br w:val="nil"/>
                    <w:tr2bl w:val="nil"/>
                  </w:tcBorders>
                  <w:vAlign w:val="center"/>
                </w:tcPr>
                <w:p>
                  <w:pPr>
                    <w:pStyle w:val="19"/>
                    <w:bidi w:val="0"/>
                    <w:rPr>
                      <w:rFonts w:hint="eastAsia" w:ascii="Times New Roman" w:hAnsi="Times New Roman" w:eastAsia="宋体" w:cs="Times New Roman"/>
                      <w:lang w:eastAsia="zh-CN"/>
                    </w:rPr>
                  </w:pPr>
                  <w:r>
                    <w:rPr>
                      <w:rFonts w:hint="default" w:ascii="Times New Roman" w:hAnsi="Times New Roman" w:cs="Times New Roman"/>
                    </w:rPr>
                    <w:t>含量</w:t>
                  </w:r>
                  <w:r>
                    <w:rPr>
                      <w:rFonts w:hint="eastAsia" w:cs="Times New Roman"/>
                      <w:lang w:eastAsia="zh-CN"/>
                    </w:rPr>
                    <w:t>(</w:t>
                  </w:r>
                  <w:r>
                    <w:rPr>
                      <w:rFonts w:hint="eastAsia" w:cs="Times New Roman"/>
                      <w:lang w:val="en-US" w:eastAsia="zh-CN"/>
                    </w:rPr>
                    <w:t>%</w:t>
                  </w:r>
                  <w:r>
                    <w:rPr>
                      <w:rFonts w:hint="eastAsia" w:cs="Times New Roman"/>
                      <w:lang w:eastAsia="zh-CN"/>
                    </w:rPr>
                    <w:t>)</w:t>
                  </w:r>
                </w:p>
              </w:tc>
              <w:tc>
                <w:tcPr>
                  <w:tcW w:w="463" w:type="pct"/>
                  <w:tcBorders>
                    <w:tl2br w:val="nil"/>
                    <w:tr2bl w:val="nil"/>
                  </w:tcBorders>
                  <w:vAlign w:val="center"/>
                </w:tcPr>
                <w:p>
                  <w:pPr>
                    <w:pStyle w:val="19"/>
                    <w:bidi w:val="0"/>
                    <w:rPr>
                      <w:rFonts w:hint="default" w:ascii="Times New Roman" w:hAnsi="Times New Roman" w:cs="Times New Roman"/>
                    </w:rPr>
                  </w:pPr>
                  <w:r>
                    <w:rPr>
                      <w:rFonts w:hint="default" w:ascii="Times New Roman" w:hAnsi="Times New Roman" w:cs="Times New Roman"/>
                    </w:rPr>
                    <w:t>≥ 92</w:t>
                  </w:r>
                </w:p>
              </w:tc>
              <w:tc>
                <w:tcPr>
                  <w:tcW w:w="431" w:type="pct"/>
                  <w:tcBorders>
                    <w:tl2br w:val="nil"/>
                    <w:tr2bl w:val="nil"/>
                  </w:tcBorders>
                  <w:vAlign w:val="center"/>
                </w:tcPr>
                <w:p>
                  <w:pPr>
                    <w:pStyle w:val="19"/>
                    <w:bidi w:val="0"/>
                    <w:rPr>
                      <w:rFonts w:hint="default" w:ascii="Times New Roman" w:hAnsi="Times New Roman" w:cs="Times New Roman"/>
                    </w:rPr>
                  </w:pPr>
                  <w:r>
                    <w:rPr>
                      <w:rFonts w:hint="default" w:ascii="Times New Roman" w:hAnsi="Times New Roman" w:cs="Times New Roman"/>
                    </w:rPr>
                    <w:t>≤1.5</w:t>
                  </w:r>
                </w:p>
              </w:tc>
              <w:tc>
                <w:tcPr>
                  <w:tcW w:w="564" w:type="pct"/>
                  <w:tcBorders>
                    <w:tl2br w:val="nil"/>
                    <w:tr2bl w:val="nil"/>
                  </w:tcBorders>
                  <w:vAlign w:val="center"/>
                </w:tcPr>
                <w:p>
                  <w:pPr>
                    <w:pStyle w:val="19"/>
                    <w:bidi w:val="0"/>
                    <w:rPr>
                      <w:rFonts w:hint="default" w:ascii="Times New Roman" w:hAnsi="Times New Roman" w:cs="Times New Roman"/>
                    </w:rPr>
                  </w:pPr>
                  <w:r>
                    <w:rPr>
                      <w:rFonts w:hint="default" w:ascii="Times New Roman" w:hAnsi="Times New Roman" w:cs="Times New Roman"/>
                    </w:rPr>
                    <w:t>≤ 0.02</w:t>
                  </w:r>
                </w:p>
              </w:tc>
              <w:tc>
                <w:tcPr>
                  <w:tcW w:w="564" w:type="pct"/>
                  <w:tcBorders>
                    <w:tl2br w:val="nil"/>
                    <w:tr2bl w:val="nil"/>
                  </w:tcBorders>
                  <w:vAlign w:val="center"/>
                </w:tcPr>
                <w:p>
                  <w:pPr>
                    <w:pStyle w:val="19"/>
                    <w:bidi w:val="0"/>
                    <w:rPr>
                      <w:rFonts w:hint="default" w:ascii="Times New Roman" w:hAnsi="Times New Roman" w:cs="Times New Roman"/>
                    </w:rPr>
                  </w:pPr>
                  <w:r>
                    <w:rPr>
                      <w:rFonts w:hint="default" w:ascii="Times New Roman" w:hAnsi="Times New Roman" w:cs="Times New Roman"/>
                    </w:rPr>
                    <w:t>≤ 0.02</w:t>
                  </w:r>
                </w:p>
              </w:tc>
              <w:tc>
                <w:tcPr>
                  <w:tcW w:w="414" w:type="pct"/>
                  <w:tcBorders>
                    <w:tl2br w:val="nil"/>
                    <w:tr2bl w:val="nil"/>
                  </w:tcBorders>
                  <w:vAlign w:val="center"/>
                </w:tcPr>
                <w:p>
                  <w:pPr>
                    <w:pStyle w:val="19"/>
                    <w:bidi w:val="0"/>
                    <w:rPr>
                      <w:rFonts w:hint="default" w:ascii="Times New Roman" w:hAnsi="Times New Roman" w:cs="Times New Roman"/>
                    </w:rPr>
                  </w:pPr>
                  <w:r>
                    <w:rPr>
                      <w:rFonts w:hint="default" w:ascii="Times New Roman" w:hAnsi="Times New Roman" w:cs="Times New Roman"/>
                    </w:rPr>
                    <w:t>≤ 5</w:t>
                  </w:r>
                </w:p>
              </w:tc>
              <w:tc>
                <w:tcPr>
                  <w:tcW w:w="399" w:type="pct"/>
                  <w:tcBorders>
                    <w:tl2br w:val="nil"/>
                    <w:tr2bl w:val="nil"/>
                  </w:tcBorders>
                  <w:vAlign w:val="center"/>
                </w:tcPr>
                <w:p>
                  <w:pPr>
                    <w:pStyle w:val="19"/>
                    <w:bidi w:val="0"/>
                    <w:rPr>
                      <w:rFonts w:hint="default" w:ascii="Times New Roman" w:hAnsi="Times New Roman" w:cs="Times New Roman"/>
                    </w:rPr>
                  </w:pPr>
                  <w:r>
                    <w:rPr>
                      <w:rFonts w:hint="default" w:ascii="Times New Roman" w:hAnsi="Times New Roman" w:cs="Times New Roman"/>
                    </w:rPr>
                    <w:t>≤ 2</w:t>
                  </w:r>
                </w:p>
              </w:tc>
              <w:tc>
                <w:tcPr>
                  <w:tcW w:w="497" w:type="pct"/>
                  <w:tcBorders>
                    <w:tl2br w:val="nil"/>
                    <w:tr2bl w:val="nil"/>
                  </w:tcBorders>
                  <w:vAlign w:val="center"/>
                </w:tcPr>
                <w:p>
                  <w:pPr>
                    <w:pStyle w:val="19"/>
                    <w:bidi w:val="0"/>
                    <w:rPr>
                      <w:rFonts w:hint="default" w:ascii="Times New Roman" w:hAnsi="Times New Roman" w:cs="Times New Roman"/>
                    </w:rPr>
                  </w:pPr>
                  <w:r>
                    <w:rPr>
                      <w:rFonts w:hint="default" w:ascii="Times New Roman" w:hAnsi="Times New Roman" w:cs="Times New Roman"/>
                    </w:rPr>
                    <w:t>≤ 0.5</w:t>
                  </w:r>
                </w:p>
              </w:tc>
              <w:tc>
                <w:tcPr>
                  <w:tcW w:w="871" w:type="pct"/>
                  <w:tcBorders>
                    <w:tl2br w:val="nil"/>
                    <w:tr2bl w:val="nil"/>
                  </w:tcBorders>
                  <w:vAlign w:val="center"/>
                </w:tcPr>
                <w:p>
                  <w:pPr>
                    <w:pStyle w:val="19"/>
                    <w:bidi w:val="0"/>
                    <w:rPr>
                      <w:rFonts w:hint="default" w:ascii="Times New Roman" w:hAnsi="Times New Roman" w:cs="Times New Roman"/>
                    </w:rPr>
                  </w:pPr>
                  <w:r>
                    <w:rPr>
                      <w:rFonts w:hint="default" w:ascii="Times New Roman" w:hAnsi="Times New Roman" w:cs="Times New Roman"/>
                    </w:rPr>
                    <w:t>5</w:t>
                  </w:r>
                  <w:r>
                    <w:rPr>
                      <w:rFonts w:hint="eastAsia" w:cs="Times New Roman"/>
                      <w:lang w:eastAsia="zh-CN"/>
                    </w:rPr>
                    <w:t>~</w:t>
                  </w:r>
                  <w:r>
                    <w:rPr>
                      <w:rFonts w:hint="default" w:ascii="Times New Roman" w:hAnsi="Times New Roman" w:cs="Times New Roman"/>
                    </w:rPr>
                    <w:t>50</w:t>
                  </w:r>
                </w:p>
              </w:tc>
            </w:tr>
          </w:tbl>
          <w:p>
            <w:pPr>
              <w:spacing w:line="480" w:lineRule="exact"/>
              <w:rPr>
                <w:bCs/>
              </w:rPr>
            </w:pPr>
          </w:p>
          <w:p>
            <w:pPr>
              <w:bidi w:val="0"/>
              <w:rPr>
                <w:rFonts w:hint="eastAsia"/>
                <w:lang w:val="en-US" w:eastAsia="zh-CN"/>
              </w:rPr>
            </w:pPr>
          </w:p>
          <w:p>
            <w:pPr>
              <w:pStyle w:val="21"/>
              <w:bidi w:val="0"/>
              <w:rPr>
                <w:rFonts w:hint="eastAsia"/>
                <w:lang w:val="en-US" w:eastAsia="zh-CN"/>
              </w:rPr>
            </w:pPr>
            <w:r>
              <w:rPr>
                <w:rFonts w:hint="eastAsia"/>
                <w:lang w:val="en-US" w:eastAsia="zh-CN"/>
              </w:rPr>
              <w:t>表2-9  气体品质要求</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3"/>
              <w:gridCol w:w="2397"/>
              <w:gridCol w:w="4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tcBorders>
                    <w:tl2br w:val="nil"/>
                    <w:tr2bl w:val="nil"/>
                  </w:tcBorders>
                  <w:vAlign w:val="center"/>
                </w:tcPr>
                <w:p>
                  <w:pPr>
                    <w:pStyle w:val="19"/>
                    <w:bidi w:val="0"/>
                    <w:rPr>
                      <w:b/>
                      <w:bCs/>
                    </w:rPr>
                  </w:pPr>
                  <w:r>
                    <w:rPr>
                      <w:rFonts w:hint="eastAsia"/>
                      <w:b/>
                      <w:bCs/>
                    </w:rPr>
                    <w:t>序号</w:t>
                  </w:r>
                </w:p>
              </w:tc>
              <w:tc>
                <w:tcPr>
                  <w:tcW w:w="1394" w:type="pct"/>
                  <w:tcBorders>
                    <w:tl2br w:val="nil"/>
                    <w:tr2bl w:val="nil"/>
                  </w:tcBorders>
                  <w:vAlign w:val="center"/>
                </w:tcPr>
                <w:p>
                  <w:pPr>
                    <w:pStyle w:val="19"/>
                    <w:bidi w:val="0"/>
                    <w:rPr>
                      <w:b/>
                      <w:bCs/>
                    </w:rPr>
                  </w:pPr>
                  <w:r>
                    <w:rPr>
                      <w:rFonts w:hint="eastAsia"/>
                      <w:b/>
                      <w:bCs/>
                    </w:rPr>
                    <w:t>气体名称</w:t>
                  </w:r>
                </w:p>
              </w:tc>
              <w:tc>
                <w:tcPr>
                  <w:tcW w:w="2766" w:type="pct"/>
                  <w:tcBorders>
                    <w:tl2br w:val="nil"/>
                    <w:tr2bl w:val="nil"/>
                  </w:tcBorders>
                  <w:vAlign w:val="center"/>
                </w:tcPr>
                <w:p>
                  <w:pPr>
                    <w:pStyle w:val="19"/>
                    <w:bidi w:val="0"/>
                    <w:rPr>
                      <w:b/>
                      <w:bCs/>
                    </w:rPr>
                  </w:pPr>
                  <w:r>
                    <w:rPr>
                      <w:rFonts w:hint="eastAsia"/>
                      <w:b/>
                      <w:bCs/>
                    </w:rPr>
                    <w:t>纯度/热值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tcBorders>
                    <w:tl2br w:val="nil"/>
                    <w:tr2bl w:val="nil"/>
                  </w:tcBorders>
                  <w:vAlign w:val="center"/>
                </w:tcPr>
                <w:p>
                  <w:pPr>
                    <w:pStyle w:val="19"/>
                    <w:bidi w:val="0"/>
                  </w:pPr>
                  <w:r>
                    <w:rPr>
                      <w:rFonts w:hint="eastAsia"/>
                    </w:rPr>
                    <w:t>1</w:t>
                  </w:r>
                </w:p>
              </w:tc>
              <w:tc>
                <w:tcPr>
                  <w:tcW w:w="1394" w:type="pct"/>
                  <w:tcBorders>
                    <w:tl2br w:val="nil"/>
                    <w:tr2bl w:val="nil"/>
                  </w:tcBorders>
                  <w:vAlign w:val="center"/>
                </w:tcPr>
                <w:p>
                  <w:pPr>
                    <w:pStyle w:val="19"/>
                    <w:bidi w:val="0"/>
                  </w:pPr>
                  <w:r>
                    <w:rPr>
                      <w:rFonts w:hint="eastAsia"/>
                    </w:rPr>
                    <w:t>氧气</w:t>
                  </w:r>
                </w:p>
              </w:tc>
              <w:tc>
                <w:tcPr>
                  <w:tcW w:w="2766" w:type="pct"/>
                  <w:tcBorders>
                    <w:tl2br w:val="nil"/>
                    <w:tr2bl w:val="nil"/>
                  </w:tcBorders>
                  <w:vAlign w:val="center"/>
                </w:tcPr>
                <w:p>
                  <w:pPr>
                    <w:pStyle w:val="19"/>
                    <w:bidi w:val="0"/>
                  </w:pPr>
                  <w:r>
                    <w:rPr>
                      <w:rFonts w:hint="eastAsia"/>
                    </w:rPr>
                    <w:t>&gt;99.6%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tcBorders>
                    <w:tl2br w:val="nil"/>
                    <w:tr2bl w:val="nil"/>
                  </w:tcBorders>
                  <w:vAlign w:val="center"/>
                </w:tcPr>
                <w:p>
                  <w:pPr>
                    <w:pStyle w:val="19"/>
                    <w:bidi w:val="0"/>
                  </w:pPr>
                  <w:r>
                    <w:rPr>
                      <w:rFonts w:hint="eastAsia"/>
                    </w:rPr>
                    <w:t>2</w:t>
                  </w:r>
                </w:p>
              </w:tc>
              <w:tc>
                <w:tcPr>
                  <w:tcW w:w="1394" w:type="pct"/>
                  <w:tcBorders>
                    <w:tl2br w:val="nil"/>
                    <w:tr2bl w:val="nil"/>
                  </w:tcBorders>
                  <w:vAlign w:val="center"/>
                </w:tcPr>
                <w:p>
                  <w:pPr>
                    <w:pStyle w:val="19"/>
                    <w:bidi w:val="0"/>
                  </w:pPr>
                  <w:r>
                    <w:rPr>
                      <w:rFonts w:hint="eastAsia"/>
                    </w:rPr>
                    <w:t>氮气</w:t>
                  </w:r>
                </w:p>
              </w:tc>
              <w:tc>
                <w:tcPr>
                  <w:tcW w:w="2766" w:type="pct"/>
                  <w:tcBorders>
                    <w:tl2br w:val="nil"/>
                    <w:tr2bl w:val="nil"/>
                  </w:tcBorders>
                  <w:vAlign w:val="center"/>
                </w:tcPr>
                <w:p>
                  <w:pPr>
                    <w:pStyle w:val="19"/>
                    <w:bidi w:val="0"/>
                  </w:pPr>
                  <w:r>
                    <w:rPr>
                      <w:rFonts w:hint="eastAsia"/>
                    </w:rPr>
                    <w:t>&gt;99.9%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tcBorders>
                    <w:tl2br w:val="nil"/>
                    <w:tr2bl w:val="nil"/>
                  </w:tcBorders>
                  <w:vAlign w:val="center"/>
                </w:tcPr>
                <w:p>
                  <w:pPr>
                    <w:pStyle w:val="19"/>
                    <w:bidi w:val="0"/>
                  </w:pPr>
                  <w:r>
                    <w:rPr>
                      <w:rFonts w:hint="eastAsia"/>
                    </w:rPr>
                    <w:t>3</w:t>
                  </w:r>
                </w:p>
              </w:tc>
              <w:tc>
                <w:tcPr>
                  <w:tcW w:w="1394" w:type="pct"/>
                  <w:tcBorders>
                    <w:tl2br w:val="nil"/>
                    <w:tr2bl w:val="nil"/>
                  </w:tcBorders>
                  <w:vAlign w:val="center"/>
                </w:tcPr>
                <w:p>
                  <w:pPr>
                    <w:pStyle w:val="19"/>
                    <w:bidi w:val="0"/>
                  </w:pPr>
                  <w:r>
                    <w:rPr>
                      <w:rFonts w:hint="eastAsia"/>
                    </w:rPr>
                    <w:t>氩气</w:t>
                  </w:r>
                </w:p>
              </w:tc>
              <w:tc>
                <w:tcPr>
                  <w:tcW w:w="2766" w:type="pct"/>
                  <w:tcBorders>
                    <w:tl2br w:val="nil"/>
                    <w:tr2bl w:val="nil"/>
                  </w:tcBorders>
                  <w:vAlign w:val="center"/>
                </w:tcPr>
                <w:p>
                  <w:pPr>
                    <w:pStyle w:val="19"/>
                    <w:bidi w:val="0"/>
                  </w:pPr>
                  <w:r>
                    <w:rPr>
                      <w:rFonts w:hint="eastAsia"/>
                    </w:rPr>
                    <w:t>&gt;99.99%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9" w:type="pct"/>
                  <w:tcBorders>
                    <w:tl2br w:val="nil"/>
                    <w:tr2bl w:val="nil"/>
                  </w:tcBorders>
                  <w:vAlign w:val="center"/>
                </w:tcPr>
                <w:p>
                  <w:pPr>
                    <w:pStyle w:val="19"/>
                    <w:bidi w:val="0"/>
                  </w:pPr>
                  <w:r>
                    <w:rPr>
                      <w:rFonts w:hint="eastAsia"/>
                    </w:rPr>
                    <w:t>4</w:t>
                  </w:r>
                </w:p>
              </w:tc>
              <w:tc>
                <w:tcPr>
                  <w:tcW w:w="1394" w:type="pct"/>
                  <w:tcBorders>
                    <w:tl2br w:val="nil"/>
                    <w:tr2bl w:val="nil"/>
                  </w:tcBorders>
                  <w:vAlign w:val="center"/>
                </w:tcPr>
                <w:p>
                  <w:pPr>
                    <w:pStyle w:val="19"/>
                    <w:bidi w:val="0"/>
                  </w:pPr>
                  <w:r>
                    <w:rPr>
                      <w:rFonts w:hint="eastAsia"/>
                    </w:rPr>
                    <w:t>天然气</w:t>
                  </w:r>
                </w:p>
              </w:tc>
              <w:tc>
                <w:tcPr>
                  <w:tcW w:w="2766" w:type="pct"/>
                  <w:tcBorders>
                    <w:tl2br w:val="nil"/>
                    <w:tr2bl w:val="nil"/>
                  </w:tcBorders>
                  <w:vAlign w:val="center"/>
                </w:tcPr>
                <w:p>
                  <w:pPr>
                    <w:pStyle w:val="19"/>
                    <w:bidi w:val="0"/>
                  </w:pPr>
                  <w:r>
                    <w:rPr>
                      <w:rFonts w:hint="eastAsia"/>
                    </w:rPr>
                    <w:t>热值≥8500kcal/Nm</w:t>
                  </w:r>
                  <w:r>
                    <w:rPr>
                      <w:rFonts w:hint="eastAsia"/>
                      <w:vertAlign w:val="superscript"/>
                    </w:rPr>
                    <w:t>3</w:t>
                  </w:r>
                </w:p>
              </w:tc>
            </w:tr>
          </w:tbl>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bCs/>
                <w:color w:val="auto"/>
              </w:rPr>
            </w:pPr>
          </w:p>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b/>
                <w:color w:val="auto"/>
              </w:rPr>
            </w:pPr>
            <w:r>
              <w:rPr>
                <w:rFonts w:hint="eastAsia"/>
                <w:b/>
                <w:color w:val="auto"/>
              </w:rPr>
              <w:t>6、公用工程</w:t>
            </w:r>
          </w:p>
          <w:p>
            <w:pPr>
              <w:keepNext w:val="0"/>
              <w:keepLines w:val="0"/>
              <w:pageBreakBefore w:val="0"/>
              <w:widowControl w:val="0"/>
              <w:kinsoku/>
              <w:wordWrap/>
              <w:overflowPunct/>
              <w:topLinePunct w:val="0"/>
              <w:autoSpaceDE/>
              <w:autoSpaceDN/>
              <w:bidi w:val="0"/>
              <w:adjustRightInd/>
              <w:snapToGrid/>
              <w:spacing w:line="480" w:lineRule="exact"/>
              <w:ind w:left="0" w:firstLine="482"/>
              <w:textAlignment w:val="auto"/>
              <w:rPr>
                <w:b/>
                <w:color w:val="auto"/>
              </w:rPr>
            </w:pPr>
            <w:r>
              <w:rPr>
                <w:rFonts w:hint="eastAsia"/>
                <w:b/>
                <w:color w:val="auto"/>
                <w:lang w:eastAsia="zh-CN"/>
              </w:rPr>
              <w:t>(</w:t>
            </w:r>
            <w:r>
              <w:rPr>
                <w:rFonts w:hint="eastAsia"/>
                <w:b/>
                <w:color w:val="auto"/>
              </w:rPr>
              <w:t>1</w:t>
            </w:r>
            <w:r>
              <w:rPr>
                <w:rFonts w:hint="eastAsia"/>
                <w:b/>
                <w:color w:val="auto"/>
                <w:lang w:eastAsia="zh-CN"/>
              </w:rPr>
              <w:t>)</w:t>
            </w:r>
            <w:r>
              <w:rPr>
                <w:rFonts w:hint="eastAsia"/>
                <w:b/>
                <w:color w:val="auto"/>
                <w:lang w:val="en-US" w:eastAsia="zh-CN"/>
              </w:rPr>
              <w:t xml:space="preserve"> </w:t>
            </w:r>
            <w:r>
              <w:rPr>
                <w:rFonts w:hint="eastAsia"/>
                <w:b/>
                <w:color w:val="auto"/>
              </w:rPr>
              <w:t>给水工程</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①</w:t>
            </w:r>
            <w:r>
              <w:rPr>
                <w:rFonts w:hint="eastAsia" w:ascii="Times New Roman" w:hAnsi="Times New Roman" w:eastAsia="宋体" w:cs="Times New Roman"/>
                <w:bCs/>
                <w:color w:val="auto"/>
                <w:lang w:val="en-US" w:eastAsia="zh-CN"/>
              </w:rPr>
              <w:t>生活用水</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default" w:ascii="Times New Roman" w:hAnsi="Times New Roman" w:cs="Times New Roman"/>
                <w:bCs/>
                <w:color w:val="auto"/>
                <w:lang w:val="en-US" w:eastAsia="zh-CN"/>
              </w:rPr>
            </w:pPr>
            <w:r>
              <w:rPr>
                <w:rFonts w:hint="default" w:ascii="Times New Roman" w:hAnsi="Times New Roman" w:cs="Times New Roman"/>
                <w:bCs/>
                <w:color w:val="auto"/>
                <w:lang w:val="en-US" w:eastAsia="zh-CN"/>
              </w:rPr>
              <w:t>项目劳动定员50人，不在厂内食宿。根据《安徽省行业用水定额》</w:t>
            </w:r>
            <w:r>
              <w:rPr>
                <w:rFonts w:hint="eastAsia" w:cs="Times New Roman"/>
                <w:bCs/>
                <w:color w:val="auto"/>
                <w:lang w:val="en-US" w:eastAsia="zh-CN"/>
              </w:rPr>
              <w:t>(</w:t>
            </w:r>
            <w:r>
              <w:rPr>
                <w:rFonts w:hint="default" w:ascii="Times New Roman" w:hAnsi="Times New Roman" w:cs="Times New Roman"/>
                <w:bCs/>
                <w:color w:val="auto"/>
                <w:lang w:val="en-US" w:eastAsia="zh-CN"/>
              </w:rPr>
              <w:t>DB34/T 679-2019</w:t>
            </w:r>
            <w:r>
              <w:rPr>
                <w:rFonts w:hint="eastAsia" w:cs="Times New Roman"/>
                <w:bCs/>
                <w:color w:val="auto"/>
                <w:lang w:val="en-US" w:eastAsia="zh-CN"/>
              </w:rPr>
              <w:t>)</w:t>
            </w:r>
            <w:r>
              <w:rPr>
                <w:rFonts w:hint="default" w:ascii="Times New Roman" w:hAnsi="Times New Roman" w:cs="Times New Roman"/>
                <w:bCs/>
                <w:color w:val="auto"/>
                <w:lang w:val="en-US" w:eastAsia="zh-CN"/>
              </w:rPr>
              <w:t>，生活用水以60L/人·d计，则生活用水为3m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/d，900m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r>
              <w:rPr>
                <w:rFonts w:hint="eastAsia" w:ascii="Times New Roman" w:hAnsi="Times New Roman" w:cs="Times New Roman"/>
                <w:bCs/>
                <w:color w:val="auto"/>
                <w:lang w:val="en-US" w:eastAsia="zh-CN"/>
              </w:rPr>
              <w:t>，依托现有供水系统，由园区管网供给。</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default" w:eastAsia="宋体"/>
                <w:color w:val="auto"/>
                <w:lang w:val="en-US" w:eastAsia="zh-CN"/>
              </w:rPr>
            </w:pPr>
            <w:r>
              <w:rPr>
                <w:rFonts w:hint="default" w:ascii="Times New Roman" w:hAnsi="Times New Roman" w:eastAsia="宋体" w:cs="Times New Roman"/>
                <w:color w:val="auto"/>
              </w:rPr>
              <w:t>②</w:t>
            </w:r>
            <w:r>
              <w:rPr>
                <w:rFonts w:hint="eastAsia" w:ascii="Times New Roman" w:hAnsi="Times New Roman" w:eastAsia="宋体" w:cs="Times New Roman"/>
                <w:color w:val="auto"/>
                <w:lang w:val="en-US" w:eastAsia="zh-CN"/>
              </w:rPr>
              <w:t>生产用水</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eastAsia" w:ascii="Times New Roman" w:hAnsi="Times New Roman" w:cs="Times New Roman"/>
                <w:bCs/>
                <w:color w:val="auto"/>
                <w:lang w:val="en-US" w:eastAsia="zh-CN"/>
              </w:rPr>
            </w:pPr>
            <w:r>
              <w:rPr>
                <w:rFonts w:hint="eastAsia"/>
                <w:color w:val="auto"/>
                <w:lang w:val="en-US" w:eastAsia="zh-CN"/>
              </w:rPr>
              <w:t>项目生产用水主要为循环冷却水，主要用于电弧炉、精炼炉等设备。厂内</w:t>
            </w:r>
            <w:r>
              <w:rPr>
                <w:rFonts w:hint="eastAsia"/>
                <w:bCs/>
                <w:color w:val="auto"/>
                <w:lang w:val="en-US" w:eastAsia="zh-CN"/>
              </w:rPr>
              <w:t>设置1座循环水量200m</w:t>
            </w:r>
            <w:r>
              <w:rPr>
                <w:rFonts w:hint="eastAsia"/>
                <w:bCs/>
                <w:color w:val="auto"/>
                <w:vertAlign w:val="superscript"/>
                <w:lang w:val="en-US" w:eastAsia="zh-CN"/>
              </w:rPr>
              <w:t>3</w:t>
            </w:r>
            <w:r>
              <w:rPr>
                <w:rFonts w:hint="eastAsia"/>
                <w:bCs/>
                <w:color w:val="auto"/>
                <w:lang w:val="en-US" w:eastAsia="zh-CN"/>
              </w:rPr>
              <w:t>/h冷却塔，配置2个循环水池，容积分别为600m</w:t>
            </w:r>
            <w:r>
              <w:rPr>
                <w:rFonts w:hint="eastAsia"/>
                <w:bCs/>
                <w:color w:val="auto"/>
                <w:vertAlign w:val="superscript"/>
                <w:lang w:val="en-US" w:eastAsia="zh-CN"/>
              </w:rPr>
              <w:t>3</w:t>
            </w:r>
            <w:r>
              <w:rPr>
                <w:rFonts w:hint="eastAsia"/>
                <w:bCs/>
                <w:color w:val="auto"/>
                <w:vertAlign w:val="baseline"/>
                <w:lang w:val="en-US" w:eastAsia="zh-CN"/>
              </w:rPr>
              <w:t>(</w:t>
            </w:r>
            <w:r>
              <w:rPr>
                <w:rFonts w:hint="eastAsia"/>
                <w:bCs/>
                <w:color w:val="auto"/>
                <w:lang w:val="en-US" w:eastAsia="zh-CN"/>
              </w:rPr>
              <w:t>10</w:t>
            </w:r>
            <w:r>
              <w:rPr>
                <w:rFonts w:hint="default" w:ascii="Times New Roman" w:hAnsi="Times New Roman" w:cs="Times New Roman"/>
                <w:bCs/>
                <w:color w:val="auto"/>
                <w:lang w:val="en-US" w:eastAsia="zh-CN"/>
              </w:rPr>
              <w:t>×</w:t>
            </w:r>
            <w:r>
              <w:rPr>
                <w:rFonts w:hint="eastAsia" w:ascii="Times New Roman" w:hAnsi="Times New Roman" w:cs="Times New Roman"/>
                <w:bCs/>
                <w:color w:val="auto"/>
                <w:lang w:val="en-US" w:eastAsia="zh-CN"/>
              </w:rPr>
              <w:t>10</w:t>
            </w:r>
            <w:r>
              <w:rPr>
                <w:rFonts w:hint="default" w:ascii="Times New Roman" w:hAnsi="Times New Roman" w:cs="Times New Roman"/>
                <w:bCs/>
                <w:color w:val="auto"/>
                <w:lang w:val="en-US" w:eastAsia="zh-CN"/>
              </w:rPr>
              <w:t>×</w:t>
            </w:r>
            <w:r>
              <w:rPr>
                <w:rFonts w:hint="eastAsia" w:cs="Times New Roman"/>
                <w:bCs/>
                <w:color w:val="auto"/>
                <w:lang w:val="en-US" w:eastAsia="zh-CN"/>
              </w:rPr>
              <w:t>6m</w:t>
            </w:r>
            <w:r>
              <w:rPr>
                <w:rFonts w:hint="eastAsia"/>
                <w:bCs/>
                <w:color w:val="auto"/>
                <w:vertAlign w:val="baseline"/>
                <w:lang w:val="en-US" w:eastAsia="zh-CN"/>
              </w:rPr>
              <w:t>)</w:t>
            </w:r>
            <w:r>
              <w:rPr>
                <w:rFonts w:hint="eastAsia" w:cs="Times New Roman"/>
                <w:bCs/>
                <w:color w:val="auto"/>
                <w:lang w:val="en-US" w:eastAsia="zh-CN"/>
              </w:rPr>
              <w:t>和15</w:t>
            </w:r>
            <w:r>
              <w:rPr>
                <w:rFonts w:hint="eastAsia"/>
                <w:bCs/>
                <w:color w:val="auto"/>
                <w:lang w:val="en-US" w:eastAsia="zh-CN"/>
              </w:rPr>
              <w:t>0m</w:t>
            </w:r>
            <w:r>
              <w:rPr>
                <w:rFonts w:hint="eastAsia"/>
                <w:bCs/>
                <w:color w:val="auto"/>
                <w:vertAlign w:val="superscript"/>
                <w:lang w:val="en-US" w:eastAsia="zh-CN"/>
              </w:rPr>
              <w:t>3</w:t>
            </w:r>
            <w:r>
              <w:rPr>
                <w:rFonts w:hint="eastAsia"/>
                <w:bCs/>
                <w:color w:val="auto"/>
                <w:vertAlign w:val="baseline"/>
                <w:lang w:val="en-US" w:eastAsia="zh-CN"/>
              </w:rPr>
              <w:t>(</w:t>
            </w:r>
            <w:r>
              <w:rPr>
                <w:rFonts w:hint="eastAsia" w:cs="Times New Roman"/>
                <w:bCs/>
                <w:color w:val="auto"/>
                <w:lang w:val="en-US" w:eastAsia="zh-CN"/>
              </w:rPr>
              <w:t>5</w:t>
            </w:r>
            <w:r>
              <w:rPr>
                <w:rFonts w:hint="default" w:ascii="Times New Roman" w:hAnsi="Times New Roman" w:cs="Times New Roman"/>
                <w:bCs/>
                <w:color w:val="auto"/>
                <w:lang w:val="en-US" w:eastAsia="zh-CN"/>
              </w:rPr>
              <w:t>×</w:t>
            </w:r>
            <w:r>
              <w:rPr>
                <w:rFonts w:hint="eastAsia" w:cs="Times New Roman"/>
                <w:bCs/>
                <w:color w:val="auto"/>
                <w:lang w:val="en-US" w:eastAsia="zh-CN"/>
              </w:rPr>
              <w:t>5</w:t>
            </w:r>
            <w:r>
              <w:rPr>
                <w:rFonts w:hint="default" w:ascii="Times New Roman" w:hAnsi="Times New Roman" w:cs="Times New Roman"/>
                <w:bCs/>
                <w:color w:val="auto"/>
                <w:lang w:val="en-US" w:eastAsia="zh-CN"/>
              </w:rPr>
              <w:t>×</w:t>
            </w:r>
            <w:r>
              <w:rPr>
                <w:rFonts w:hint="eastAsia" w:cs="Times New Roman"/>
                <w:bCs/>
                <w:color w:val="auto"/>
                <w:lang w:val="en-US" w:eastAsia="zh-CN"/>
              </w:rPr>
              <w:t>6m</w:t>
            </w:r>
            <w:r>
              <w:rPr>
                <w:rFonts w:hint="eastAsia"/>
                <w:bCs/>
                <w:color w:val="auto"/>
                <w:vertAlign w:val="baseline"/>
                <w:lang w:val="en-US" w:eastAsia="zh-CN"/>
              </w:rPr>
              <w:t>)。</w:t>
            </w:r>
            <w:r>
              <w:rPr>
                <w:rFonts w:hint="eastAsia" w:ascii="Times New Roman" w:hAnsi="Times New Roman" w:cs="Times New Roman"/>
                <w:bCs/>
                <w:color w:val="auto"/>
                <w:lang w:val="en-US" w:eastAsia="zh-CN"/>
              </w:rPr>
              <w:t>依托现有供水系统，由园区管网供给。</w:t>
            </w:r>
          </w:p>
          <w:p>
            <w:pPr>
              <w:keepNext w:val="0"/>
              <w:keepLines w:val="0"/>
              <w:pageBreakBefore w:val="0"/>
              <w:widowControl w:val="0"/>
              <w:kinsoku/>
              <w:wordWrap/>
              <w:overflowPunct/>
              <w:topLinePunct w:val="0"/>
              <w:autoSpaceDE/>
              <w:autoSpaceDN/>
              <w:bidi w:val="0"/>
              <w:adjustRightInd/>
              <w:snapToGrid/>
              <w:spacing w:line="480" w:lineRule="exact"/>
              <w:ind w:left="0" w:firstLine="480" w:firstLineChars="200"/>
              <w:textAlignment w:val="auto"/>
              <w:rPr>
                <w:color w:val="auto"/>
                <w:sz w:val="24"/>
              </w:rPr>
            </w:pPr>
            <w:r>
              <w:rPr>
                <w:rFonts w:hint="eastAsia"/>
                <w:color w:val="auto"/>
                <w:sz w:val="24"/>
              </w:rPr>
              <w:t>项目冷却为间接冷却不接触物料或产品，冷却过程中不添加除垢剂，由于循环使用过程中会有损耗，需定期补充。根据《机械通风冷却塔工艺设计规范》(</w:t>
            </w:r>
            <w:r>
              <w:rPr>
                <w:color w:val="auto"/>
                <w:sz w:val="24"/>
              </w:rPr>
              <w:t>GB/T 50392-2016)</w:t>
            </w:r>
            <w:r>
              <w:rPr>
                <w:rFonts w:hint="eastAsia"/>
                <w:color w:val="auto"/>
                <w:sz w:val="24"/>
              </w:rPr>
              <w:t>，冷却塔蒸发水量按以下公式计算：</w:t>
            </w:r>
          </w:p>
          <w:p>
            <w:pPr>
              <w:keepNext w:val="0"/>
              <w:keepLines w:val="0"/>
              <w:pageBreakBefore w:val="0"/>
              <w:widowControl w:val="0"/>
              <w:kinsoku/>
              <w:wordWrap/>
              <w:overflowPunct/>
              <w:topLinePunct w:val="0"/>
              <w:autoSpaceDE/>
              <w:autoSpaceDN/>
              <w:bidi w:val="0"/>
              <w:adjustRightInd/>
              <w:snapToGrid/>
              <w:spacing w:line="480" w:lineRule="exact"/>
              <w:ind w:left="0" w:firstLine="60" w:firstLineChars="25"/>
              <w:textAlignment w:val="auto"/>
              <w:rPr>
                <w:color w:val="auto"/>
                <w:sz w:val="24"/>
              </w:rPr>
            </w:pPr>
            <w:r>
              <w:rPr>
                <w:color w:val="auto"/>
                <w:sz w:val="24"/>
              </w:rPr>
              <w:t>Qe=PeQ/1000</w:t>
            </w:r>
          </w:p>
          <w:p>
            <w:pPr>
              <w:keepNext w:val="0"/>
              <w:keepLines w:val="0"/>
              <w:pageBreakBefore w:val="0"/>
              <w:widowControl w:val="0"/>
              <w:kinsoku/>
              <w:wordWrap/>
              <w:overflowPunct/>
              <w:topLinePunct w:val="0"/>
              <w:autoSpaceDE/>
              <w:autoSpaceDN/>
              <w:bidi w:val="0"/>
              <w:adjustRightInd/>
              <w:snapToGrid/>
              <w:spacing w:line="480" w:lineRule="exact"/>
              <w:ind w:left="0" w:firstLine="60" w:firstLineChars="25"/>
              <w:textAlignment w:val="auto"/>
              <w:rPr>
                <w:rFonts w:hint="eastAsia"/>
                <w:color w:val="auto"/>
                <w:sz w:val="24"/>
              </w:rPr>
            </w:pPr>
            <w:r>
              <w:rPr>
                <w:color w:val="auto"/>
                <w:sz w:val="24"/>
              </w:rPr>
              <w:t>Pe=KeΔt</w:t>
            </w:r>
          </w:p>
          <w:p>
            <w:pPr>
              <w:keepNext w:val="0"/>
              <w:keepLines w:val="0"/>
              <w:pageBreakBefore w:val="0"/>
              <w:widowControl w:val="0"/>
              <w:kinsoku/>
              <w:wordWrap/>
              <w:overflowPunct/>
              <w:topLinePunct w:val="0"/>
              <w:autoSpaceDE/>
              <w:autoSpaceDN/>
              <w:bidi w:val="0"/>
              <w:adjustRightInd/>
              <w:snapToGrid/>
              <w:spacing w:line="480" w:lineRule="exact"/>
              <w:ind w:left="0" w:firstLine="480" w:firstLineChars="200"/>
              <w:textAlignment w:val="auto"/>
              <w:rPr>
                <w:color w:val="auto"/>
                <w:sz w:val="24"/>
              </w:rPr>
            </w:pPr>
            <w:r>
              <w:rPr>
                <w:rFonts w:hint="eastAsia"/>
                <w:color w:val="auto"/>
                <w:sz w:val="24"/>
              </w:rPr>
              <w:t>式中，Qe——蒸发损失量，m</w:t>
            </w:r>
            <w:r>
              <w:rPr>
                <w:color w:val="auto"/>
                <w:sz w:val="24"/>
                <w:vertAlign w:val="superscript"/>
              </w:rPr>
              <w:t>3</w:t>
            </w:r>
            <w:r>
              <w:rPr>
                <w:color w:val="auto"/>
                <w:sz w:val="24"/>
              </w:rPr>
              <w:t>/</w:t>
            </w:r>
            <w:r>
              <w:rPr>
                <w:rFonts w:hint="eastAsia"/>
                <w:color w:val="auto"/>
                <w:sz w:val="24"/>
              </w:rPr>
              <w:t>h；</w:t>
            </w:r>
          </w:p>
          <w:p>
            <w:pPr>
              <w:keepNext w:val="0"/>
              <w:keepLines w:val="0"/>
              <w:pageBreakBefore w:val="0"/>
              <w:widowControl w:val="0"/>
              <w:kinsoku/>
              <w:wordWrap/>
              <w:overflowPunct/>
              <w:topLinePunct w:val="0"/>
              <w:autoSpaceDE/>
              <w:autoSpaceDN/>
              <w:bidi w:val="0"/>
              <w:adjustRightInd/>
              <w:snapToGrid/>
              <w:spacing w:line="480" w:lineRule="exact"/>
              <w:ind w:left="0" w:firstLine="1200" w:firstLineChars="500"/>
              <w:textAlignment w:val="auto"/>
              <w:rPr>
                <w:rFonts w:hint="eastAsia"/>
                <w:color w:val="auto"/>
                <w:sz w:val="24"/>
              </w:rPr>
            </w:pPr>
            <w:r>
              <w:rPr>
                <w:rFonts w:hint="eastAsia"/>
                <w:color w:val="auto"/>
                <w:sz w:val="24"/>
              </w:rPr>
              <w:t>Pe——蒸发水量损失率，%；</w:t>
            </w:r>
          </w:p>
          <w:p>
            <w:pPr>
              <w:keepNext w:val="0"/>
              <w:keepLines w:val="0"/>
              <w:pageBreakBefore w:val="0"/>
              <w:widowControl w:val="0"/>
              <w:kinsoku/>
              <w:wordWrap/>
              <w:overflowPunct/>
              <w:topLinePunct w:val="0"/>
              <w:autoSpaceDE/>
              <w:autoSpaceDN/>
              <w:bidi w:val="0"/>
              <w:adjustRightInd/>
              <w:snapToGrid/>
              <w:spacing w:line="480" w:lineRule="exact"/>
              <w:ind w:left="0" w:firstLine="1200" w:firstLineChars="500"/>
              <w:textAlignment w:val="auto"/>
              <w:rPr>
                <w:rFonts w:hint="default" w:eastAsia="宋体"/>
                <w:color w:val="auto"/>
                <w:lang w:val="en-US" w:eastAsia="zh-CN"/>
              </w:rPr>
            </w:pPr>
            <w:r>
              <w:rPr>
                <w:rFonts w:hint="eastAsia"/>
                <w:color w:val="auto"/>
                <w:lang w:val="en-US" w:eastAsia="zh-CN"/>
              </w:rPr>
              <w:t>Q——循环水量，</w:t>
            </w:r>
            <w:r>
              <w:rPr>
                <w:rFonts w:hint="eastAsia"/>
                <w:color w:val="auto"/>
                <w:sz w:val="24"/>
              </w:rPr>
              <w:t>m</w:t>
            </w:r>
            <w:r>
              <w:rPr>
                <w:color w:val="auto"/>
                <w:sz w:val="24"/>
                <w:vertAlign w:val="superscript"/>
              </w:rPr>
              <w:t>3</w:t>
            </w:r>
            <w:r>
              <w:rPr>
                <w:color w:val="auto"/>
                <w:sz w:val="24"/>
              </w:rPr>
              <w:t>/</w:t>
            </w:r>
            <w:r>
              <w:rPr>
                <w:rFonts w:hint="eastAsia"/>
                <w:color w:val="auto"/>
                <w:sz w:val="24"/>
              </w:rPr>
              <w:t>h；</w:t>
            </w:r>
          </w:p>
          <w:p>
            <w:pPr>
              <w:keepNext w:val="0"/>
              <w:keepLines w:val="0"/>
              <w:pageBreakBefore w:val="0"/>
              <w:widowControl w:val="0"/>
              <w:kinsoku/>
              <w:wordWrap/>
              <w:overflowPunct/>
              <w:topLinePunct w:val="0"/>
              <w:autoSpaceDE/>
              <w:autoSpaceDN/>
              <w:bidi w:val="0"/>
              <w:adjustRightInd/>
              <w:snapToGrid/>
              <w:spacing w:line="480" w:lineRule="exact"/>
              <w:ind w:left="0" w:firstLine="1200" w:firstLineChars="500"/>
              <w:textAlignment w:val="auto"/>
              <w:rPr>
                <w:color w:val="auto"/>
                <w:sz w:val="24"/>
              </w:rPr>
            </w:pPr>
            <w:r>
              <w:rPr>
                <w:color w:val="auto"/>
                <w:sz w:val="24"/>
              </w:rPr>
              <w:t>Δt</w:t>
            </w:r>
            <w:r>
              <w:rPr>
                <w:rFonts w:hint="eastAsia"/>
                <w:color w:val="auto"/>
                <w:sz w:val="24"/>
              </w:rPr>
              <w:t>——冷却塔进水与出水温度差，</w:t>
            </w:r>
            <w:r>
              <w:rPr>
                <w:rFonts w:hint="eastAsia"/>
                <w:color w:val="auto"/>
                <w:sz w:val="24"/>
                <w:vertAlign w:val="superscript"/>
              </w:rPr>
              <w:t>o</w:t>
            </w:r>
            <w:r>
              <w:rPr>
                <w:rFonts w:hint="eastAsia"/>
                <w:color w:val="auto"/>
                <w:sz w:val="24"/>
              </w:rPr>
              <w:t>C，项目取</w:t>
            </w:r>
            <w:r>
              <w:rPr>
                <w:rFonts w:hint="eastAsia"/>
                <w:color w:val="auto"/>
                <w:sz w:val="24"/>
                <w:lang w:val="en-US" w:eastAsia="zh-CN"/>
              </w:rPr>
              <w:t>30</w:t>
            </w:r>
            <w:r>
              <w:rPr>
                <w:rFonts w:hint="eastAsia"/>
                <w:color w:val="auto"/>
                <w:sz w:val="24"/>
                <w:vertAlign w:val="superscript"/>
              </w:rPr>
              <w:t>o</w:t>
            </w:r>
            <w:r>
              <w:rPr>
                <w:rFonts w:hint="eastAsia"/>
                <w:color w:val="auto"/>
                <w:sz w:val="24"/>
              </w:rPr>
              <w:t>C；</w:t>
            </w:r>
          </w:p>
          <w:p>
            <w:pPr>
              <w:keepNext w:val="0"/>
              <w:keepLines w:val="0"/>
              <w:pageBreakBefore w:val="0"/>
              <w:widowControl w:val="0"/>
              <w:kinsoku/>
              <w:wordWrap/>
              <w:overflowPunct/>
              <w:topLinePunct w:val="0"/>
              <w:autoSpaceDE/>
              <w:autoSpaceDN/>
              <w:bidi w:val="0"/>
              <w:adjustRightInd/>
              <w:snapToGrid/>
              <w:spacing w:line="480" w:lineRule="exact"/>
              <w:ind w:left="0" w:firstLine="1200" w:firstLineChars="500"/>
              <w:textAlignment w:val="auto"/>
              <w:rPr>
                <w:color w:val="auto"/>
                <w:sz w:val="24"/>
              </w:rPr>
            </w:pPr>
            <w:r>
              <w:rPr>
                <w:rFonts w:hint="eastAsia"/>
                <w:color w:val="auto"/>
                <w:sz w:val="24"/>
              </w:rPr>
              <w:t>Ke——蒸发水量损失系数，1</w:t>
            </w:r>
            <w:r>
              <w:rPr>
                <w:color w:val="auto"/>
                <w:sz w:val="24"/>
              </w:rPr>
              <w:t>/</w:t>
            </w:r>
            <w:r>
              <w:rPr>
                <w:rFonts w:hint="eastAsia"/>
                <w:color w:val="auto"/>
                <w:sz w:val="24"/>
                <w:vertAlign w:val="superscript"/>
              </w:rPr>
              <w:t>o</w:t>
            </w:r>
            <w:r>
              <w:rPr>
                <w:rFonts w:hint="eastAsia"/>
                <w:color w:val="auto"/>
                <w:sz w:val="24"/>
              </w:rPr>
              <w:t>C，项目取0</w:t>
            </w:r>
            <w:r>
              <w:rPr>
                <w:color w:val="auto"/>
                <w:sz w:val="24"/>
              </w:rPr>
              <w:t>.</w:t>
            </w:r>
            <w:r>
              <w:rPr>
                <w:rFonts w:hint="eastAsia"/>
                <w:color w:val="auto"/>
                <w:sz w:val="24"/>
                <w:lang w:val="en-US" w:eastAsia="zh-CN"/>
              </w:rPr>
              <w:t>2</w:t>
            </w:r>
            <w:r>
              <w:rPr>
                <w:rFonts w:hint="eastAsia"/>
                <w:color w:val="auto"/>
                <w:sz w:val="24"/>
              </w:rPr>
              <w:t>；</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eastAsia" w:ascii="Times New Roman" w:hAnsi="Times New Roman" w:eastAsia="宋体" w:cs="Times New Roman"/>
                <w:bCs/>
                <w:color w:val="auto"/>
                <w:lang w:val="en-US" w:eastAsia="zh-CN"/>
              </w:rPr>
            </w:pPr>
            <w:r>
              <w:rPr>
                <w:rFonts w:hint="eastAsia"/>
                <w:color w:val="auto"/>
                <w:sz w:val="24"/>
              </w:rPr>
              <w:t>由上式计算可知，</w:t>
            </w:r>
            <w:bookmarkStart w:id="2" w:name="_Hlk102733739"/>
            <w:r>
              <w:rPr>
                <w:rFonts w:hint="eastAsia"/>
                <w:color w:val="auto"/>
                <w:sz w:val="24"/>
              </w:rPr>
              <w:t>冷却塔蒸发水量</w:t>
            </w:r>
            <w:r>
              <w:rPr>
                <w:rFonts w:hint="eastAsia"/>
                <w:color w:val="auto"/>
                <w:sz w:val="24"/>
                <w:lang w:val="en-US" w:eastAsia="zh-CN"/>
              </w:rPr>
              <w:t>1.2</w:t>
            </w:r>
            <w:r>
              <w:rPr>
                <w:rFonts w:hint="eastAsia"/>
                <w:color w:val="auto"/>
                <w:sz w:val="24"/>
              </w:rPr>
              <w:t>m</w:t>
            </w:r>
            <w:r>
              <w:rPr>
                <w:color w:val="auto"/>
                <w:sz w:val="24"/>
                <w:vertAlign w:val="superscript"/>
              </w:rPr>
              <w:t>3</w:t>
            </w:r>
            <w:r>
              <w:rPr>
                <w:color w:val="auto"/>
                <w:sz w:val="24"/>
              </w:rPr>
              <w:t>/</w:t>
            </w:r>
            <w:r>
              <w:rPr>
                <w:rFonts w:hint="eastAsia"/>
                <w:color w:val="auto"/>
                <w:sz w:val="24"/>
              </w:rPr>
              <w:t>h</w:t>
            </w:r>
            <w:bookmarkEnd w:id="2"/>
            <w:r>
              <w:rPr>
                <w:rFonts w:hint="eastAsia"/>
                <w:color w:val="auto"/>
                <w:sz w:val="24"/>
                <w:lang w:eastAsia="zh-CN"/>
              </w:rPr>
              <w:t>(</w:t>
            </w:r>
            <w:r>
              <w:rPr>
                <w:rFonts w:hint="eastAsia"/>
                <w:color w:val="auto"/>
                <w:sz w:val="24"/>
                <w:lang w:val="en-US" w:eastAsia="zh-CN"/>
              </w:rPr>
              <w:t>14.4</w:t>
            </w:r>
            <w:r>
              <w:rPr>
                <w:rFonts w:hint="eastAsia"/>
                <w:color w:val="auto"/>
                <w:sz w:val="24"/>
              </w:rPr>
              <w:t>m</w:t>
            </w:r>
            <w:r>
              <w:rPr>
                <w:color w:val="auto"/>
                <w:sz w:val="24"/>
                <w:vertAlign w:val="superscript"/>
              </w:rPr>
              <w:t>3</w:t>
            </w:r>
            <w:r>
              <w:rPr>
                <w:color w:val="auto"/>
                <w:sz w:val="24"/>
              </w:rPr>
              <w:t>/</w:t>
            </w:r>
            <w:r>
              <w:rPr>
                <w:rFonts w:hint="eastAsia"/>
                <w:color w:val="auto"/>
                <w:sz w:val="24"/>
                <w:lang w:val="en-US" w:eastAsia="zh-CN"/>
              </w:rPr>
              <w:t>d</w:t>
            </w:r>
            <w:r>
              <w:rPr>
                <w:rFonts w:hint="eastAsia"/>
                <w:color w:val="auto"/>
                <w:sz w:val="24"/>
                <w:lang w:eastAsia="zh-CN"/>
              </w:rPr>
              <w:t>)。</w:t>
            </w:r>
          </w:p>
          <w:p>
            <w:pPr>
              <w:keepNext w:val="0"/>
              <w:keepLines w:val="0"/>
              <w:pageBreakBefore w:val="0"/>
              <w:widowControl w:val="0"/>
              <w:kinsoku/>
              <w:wordWrap/>
              <w:overflowPunct/>
              <w:topLinePunct w:val="0"/>
              <w:autoSpaceDE/>
              <w:autoSpaceDN/>
              <w:bidi w:val="0"/>
              <w:adjustRightInd/>
              <w:snapToGrid/>
              <w:spacing w:line="480" w:lineRule="exact"/>
              <w:ind w:left="0" w:firstLine="482"/>
              <w:textAlignment w:val="auto"/>
              <w:rPr>
                <w:b/>
                <w:color w:val="auto"/>
              </w:rPr>
            </w:pPr>
            <w:r>
              <w:rPr>
                <w:rFonts w:hint="eastAsia"/>
                <w:b/>
                <w:color w:val="auto"/>
                <w:lang w:eastAsia="zh-CN"/>
              </w:rPr>
              <w:t>(</w:t>
            </w:r>
            <w:r>
              <w:rPr>
                <w:rFonts w:hint="eastAsia"/>
                <w:b/>
                <w:color w:val="auto"/>
              </w:rPr>
              <w:t>2</w:t>
            </w:r>
            <w:r>
              <w:rPr>
                <w:rFonts w:hint="eastAsia"/>
                <w:b/>
                <w:color w:val="auto"/>
                <w:lang w:eastAsia="zh-CN"/>
              </w:rPr>
              <w:t>)</w:t>
            </w:r>
            <w:r>
              <w:rPr>
                <w:rFonts w:hint="eastAsia"/>
                <w:b/>
                <w:color w:val="auto"/>
                <w:lang w:val="en-US" w:eastAsia="zh-CN"/>
              </w:rPr>
              <w:t xml:space="preserve"> </w:t>
            </w:r>
            <w:r>
              <w:rPr>
                <w:rFonts w:hint="eastAsia"/>
                <w:b/>
                <w:color w:val="auto"/>
              </w:rPr>
              <w:t>排水工程</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eastAsia" w:eastAsia="宋体"/>
                <w:bCs/>
                <w:color w:val="auto"/>
                <w:lang w:eastAsia="zh-CN"/>
              </w:rPr>
            </w:pPr>
            <w:r>
              <w:rPr>
                <w:rFonts w:hint="eastAsia"/>
                <w:bCs/>
                <w:color w:val="auto"/>
              </w:rPr>
              <w:t>项目根据“雨污分流、清污分流、分质处理、一水多用”的原则建设排水系统</w:t>
            </w:r>
            <w:r>
              <w:rPr>
                <w:rFonts w:hint="eastAsia"/>
                <w:bCs/>
                <w:color w:val="auto"/>
                <w:lang w:eastAsia="zh-CN"/>
              </w:rPr>
              <w:t>。</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default" w:ascii="Times New Roman" w:hAnsi="Times New Roman" w:eastAsia="宋体" w:cs="Times New Roman"/>
                <w:bCs/>
                <w:color w:val="auto"/>
                <w:lang w:val="en-US" w:eastAsia="zh-CN"/>
              </w:rPr>
            </w:pPr>
            <w:r>
              <w:rPr>
                <w:rFonts w:hint="default" w:ascii="Times New Roman" w:hAnsi="Times New Roman" w:eastAsia="宋体" w:cs="Times New Roman"/>
                <w:bCs/>
                <w:color w:val="auto"/>
                <w:lang w:val="en-US" w:eastAsia="zh-CN"/>
              </w:rPr>
              <w:t>①</w:t>
            </w:r>
            <w:r>
              <w:rPr>
                <w:rFonts w:hint="eastAsia" w:ascii="Times New Roman" w:hAnsi="Times New Roman" w:eastAsia="宋体" w:cs="Times New Roman"/>
                <w:bCs/>
                <w:color w:val="auto"/>
                <w:lang w:val="en-US" w:eastAsia="zh-CN"/>
              </w:rPr>
              <w:t>生活污水</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bCs/>
                <w:color w:val="auto"/>
              </w:rPr>
            </w:pPr>
            <w:r>
              <w:rPr>
                <w:rFonts w:hint="eastAsia" w:ascii="Times New Roman" w:hAnsi="Times New Roman" w:cs="Times New Roman"/>
                <w:bCs/>
                <w:color w:val="auto"/>
                <w:lang w:val="en-US" w:eastAsia="zh-CN"/>
              </w:rPr>
              <w:t>项目</w:t>
            </w:r>
            <w:r>
              <w:rPr>
                <w:rFonts w:hint="default" w:ascii="Times New Roman" w:hAnsi="Times New Roman" w:cs="Times New Roman"/>
                <w:bCs/>
                <w:color w:val="auto"/>
                <w:lang w:val="en-US" w:eastAsia="zh-CN"/>
              </w:rPr>
              <w:t>生活用水为3m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/d，900m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r>
              <w:rPr>
                <w:rFonts w:hint="eastAsia" w:ascii="Times New Roman" w:hAnsi="Times New Roman" w:cs="Times New Roman"/>
                <w:bCs/>
                <w:color w:val="auto"/>
                <w:lang w:val="en-US" w:eastAsia="zh-CN"/>
              </w:rPr>
              <w:t>，</w:t>
            </w:r>
            <w:r>
              <w:rPr>
                <w:rFonts w:hint="default" w:ascii="Times New Roman" w:hAnsi="Times New Roman" w:cs="Times New Roman"/>
                <w:bCs/>
                <w:color w:val="auto"/>
                <w:lang w:val="en-US" w:eastAsia="zh-CN"/>
              </w:rPr>
              <w:t>生活污水产污系数以0.85计，</w:t>
            </w:r>
            <w:r>
              <w:rPr>
                <w:rFonts w:hint="eastAsia" w:cs="Times New Roman"/>
                <w:bCs/>
                <w:color w:val="auto"/>
                <w:lang w:val="en-US" w:eastAsia="zh-CN"/>
              </w:rPr>
              <w:t>生活</w:t>
            </w:r>
            <w:r>
              <w:rPr>
                <w:rFonts w:hint="default" w:ascii="Times New Roman" w:hAnsi="Times New Roman" w:cs="Times New Roman"/>
                <w:bCs/>
                <w:color w:val="auto"/>
                <w:lang w:val="en-US" w:eastAsia="zh-CN"/>
              </w:rPr>
              <w:t>污水产生量为2.55m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/d，765m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default" w:eastAsia="宋体"/>
                <w:color w:val="auto"/>
                <w:lang w:val="en-US" w:eastAsia="zh-CN"/>
              </w:rPr>
            </w:pPr>
            <w:r>
              <w:rPr>
                <w:rFonts w:hint="default" w:ascii="Times New Roman" w:hAnsi="Times New Roman" w:eastAsia="宋体" w:cs="Times New Roman"/>
                <w:color w:val="auto"/>
              </w:rPr>
              <w:t>②</w:t>
            </w:r>
            <w:r>
              <w:rPr>
                <w:rFonts w:hint="eastAsia" w:ascii="Times New Roman" w:hAnsi="Times New Roman" w:eastAsia="宋体" w:cs="Times New Roman"/>
                <w:color w:val="auto"/>
                <w:lang w:val="en-US" w:eastAsia="zh-CN"/>
              </w:rPr>
              <w:t>生产废水</w:t>
            </w:r>
          </w:p>
          <w:p>
            <w:pPr>
              <w:keepNext w:val="0"/>
              <w:keepLines w:val="0"/>
              <w:pageBreakBefore w:val="0"/>
              <w:widowControl w:val="0"/>
              <w:kinsoku/>
              <w:wordWrap/>
              <w:overflowPunct/>
              <w:topLinePunct w:val="0"/>
              <w:autoSpaceDE/>
              <w:autoSpaceDN/>
              <w:bidi w:val="0"/>
              <w:adjustRightInd/>
              <w:snapToGrid/>
              <w:spacing w:line="480" w:lineRule="exact"/>
              <w:ind w:left="0"/>
              <w:textAlignment w:val="auto"/>
              <w:rPr>
                <w:rFonts w:hint="default" w:eastAsia="宋体"/>
                <w:bCs/>
                <w:color w:val="0000FF"/>
                <w:lang w:val="en-US" w:eastAsia="zh-CN"/>
              </w:rPr>
            </w:pPr>
            <w:r>
              <w:rPr>
                <w:rFonts w:hint="eastAsia"/>
                <w:color w:val="auto"/>
              </w:rPr>
              <w:t>项目生产废水主要为设备间接冷却用水，经降温后循环使用</w:t>
            </w:r>
            <w:r>
              <w:rPr>
                <w:rFonts w:hint="eastAsia"/>
                <w:color w:val="auto"/>
                <w:lang w:eastAsia="zh-CN"/>
              </w:rPr>
              <w:t>，</w:t>
            </w:r>
            <w:r>
              <w:rPr>
                <w:rFonts w:hint="eastAsia"/>
                <w:color w:val="auto"/>
                <w:lang w:val="en-US" w:eastAsia="zh-CN"/>
              </w:rPr>
              <w:t>为保持水质稳定需要定期排放</w:t>
            </w:r>
            <w:r>
              <w:rPr>
                <w:rFonts w:hint="eastAsia"/>
                <w:color w:val="auto"/>
                <w:sz w:val="24"/>
              </w:rPr>
              <w:t>，排污量按循环水量的</w:t>
            </w:r>
            <w:r>
              <w:rPr>
                <w:rFonts w:hint="eastAsia"/>
                <w:color w:val="auto"/>
                <w:sz w:val="24"/>
                <w:lang w:val="en-US" w:eastAsia="zh-CN"/>
              </w:rPr>
              <w:t>0.1</w:t>
            </w:r>
            <w:r>
              <w:rPr>
                <w:color w:val="auto"/>
                <w:sz w:val="24"/>
              </w:rPr>
              <w:t>%</w:t>
            </w:r>
            <w:r>
              <w:rPr>
                <w:rFonts w:hint="eastAsia"/>
                <w:color w:val="auto"/>
                <w:sz w:val="24"/>
              </w:rPr>
              <w:t>考虑，则循环冷却排污水约</w:t>
            </w:r>
            <w:r>
              <w:rPr>
                <w:rFonts w:hint="eastAsia"/>
                <w:color w:val="auto"/>
                <w:sz w:val="24"/>
                <w:lang w:val="en-US" w:eastAsia="zh-CN"/>
              </w:rPr>
              <w:t>0.2</w:t>
            </w:r>
            <w:r>
              <w:rPr>
                <w:rFonts w:hint="eastAsia"/>
                <w:color w:val="auto"/>
                <w:kern w:val="0"/>
                <w:sz w:val="24"/>
              </w:rPr>
              <w:t>m</w:t>
            </w:r>
            <w:r>
              <w:rPr>
                <w:rFonts w:hint="eastAsia"/>
                <w:color w:val="auto"/>
                <w:kern w:val="0"/>
                <w:sz w:val="24"/>
                <w:vertAlign w:val="superscript"/>
              </w:rPr>
              <w:t>3</w:t>
            </w:r>
            <w:r>
              <w:rPr>
                <w:rFonts w:hint="eastAsia"/>
                <w:color w:val="auto"/>
                <w:kern w:val="0"/>
                <w:sz w:val="24"/>
              </w:rPr>
              <w:t>/</w:t>
            </w:r>
            <w:r>
              <w:rPr>
                <w:rFonts w:hint="eastAsia"/>
                <w:color w:val="auto"/>
                <w:kern w:val="0"/>
                <w:sz w:val="24"/>
                <w:lang w:val="en-US" w:eastAsia="zh-CN"/>
              </w:rPr>
              <w:t>h(</w:t>
            </w:r>
            <w:r>
              <w:rPr>
                <w:rFonts w:hint="eastAsia"/>
                <w:color w:val="auto"/>
                <w:sz w:val="24"/>
                <w:lang w:val="en-US" w:eastAsia="zh-CN"/>
              </w:rPr>
              <w:t>2.4</w:t>
            </w:r>
            <w:r>
              <w:rPr>
                <w:rFonts w:hint="eastAsia"/>
                <w:color w:val="auto"/>
                <w:kern w:val="0"/>
                <w:sz w:val="24"/>
              </w:rPr>
              <w:t>m</w:t>
            </w:r>
            <w:r>
              <w:rPr>
                <w:rFonts w:hint="eastAsia"/>
                <w:color w:val="auto"/>
                <w:kern w:val="0"/>
                <w:sz w:val="24"/>
                <w:vertAlign w:val="superscript"/>
              </w:rPr>
              <w:t>3</w:t>
            </w:r>
            <w:r>
              <w:rPr>
                <w:rFonts w:hint="eastAsia"/>
                <w:color w:val="auto"/>
                <w:kern w:val="0"/>
                <w:sz w:val="24"/>
              </w:rPr>
              <w:t>/d</w:t>
            </w:r>
            <w:r>
              <w:rPr>
                <w:rFonts w:hint="eastAsia"/>
                <w:color w:val="auto"/>
                <w:kern w:val="0"/>
                <w:sz w:val="24"/>
                <w:lang w:val="en-US" w:eastAsia="zh-CN"/>
              </w:rPr>
              <w:t>)，与经化粪池预处理后生活污水，</w:t>
            </w:r>
            <w:r>
              <w:rPr>
                <w:rFonts w:hint="eastAsia"/>
                <w:color w:val="auto"/>
                <w:lang w:val="en-US" w:eastAsia="zh-CN"/>
              </w:rPr>
              <w:t>经由总排口排入</w:t>
            </w:r>
            <w:r>
              <w:rPr>
                <w:rFonts w:hint="eastAsia"/>
                <w:color w:val="auto"/>
                <w:kern w:val="0"/>
              </w:rPr>
              <w:t>怀远经济开发区污水处理厂</w:t>
            </w:r>
            <w:r>
              <w:rPr>
                <w:rFonts w:hint="eastAsia"/>
                <w:color w:val="auto"/>
                <w:kern w:val="0"/>
                <w:lang w:val="en-US" w:eastAsia="zh-CN"/>
              </w:rPr>
              <w:t>(一期)集中处理，达到《城镇污水处理厂污染物排放标准》(GB 18918-2002)一级A标准外排。</w:t>
            </w:r>
          </w:p>
          <w:p>
            <w:pPr>
              <w:pStyle w:val="21"/>
              <w:bidi w:val="0"/>
              <w:rPr>
                <w:color w:val="auto"/>
              </w:rPr>
            </w:pPr>
            <w:r>
              <w:rPr>
                <w:color w:val="auto"/>
              </w:rPr>
              <w:drawing>
                <wp:inline distT="0" distB="0" distL="114300" distR="114300">
                  <wp:extent cx="4692015" cy="4427855"/>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4"/>
                          <a:stretch>
                            <a:fillRect/>
                          </a:stretch>
                        </pic:blipFill>
                        <pic:spPr>
                          <a:xfrm>
                            <a:off x="0" y="0"/>
                            <a:ext cx="4692015" cy="4427855"/>
                          </a:xfrm>
                          <a:prstGeom prst="rect">
                            <a:avLst/>
                          </a:prstGeom>
                          <a:noFill/>
                          <a:ln>
                            <a:noFill/>
                          </a:ln>
                        </pic:spPr>
                      </pic:pic>
                    </a:graphicData>
                  </a:graphic>
                </wp:inline>
              </w:drawing>
            </w:r>
          </w:p>
          <w:p>
            <w:pPr>
              <w:pStyle w:val="23"/>
              <w:bidi w:val="0"/>
              <w:rPr>
                <w:rFonts w:hint="default" w:eastAsia="宋体"/>
                <w:color w:val="auto"/>
                <w:lang w:val="en-US" w:eastAsia="zh-CN"/>
              </w:rPr>
            </w:pPr>
            <w:r>
              <w:rPr>
                <w:rFonts w:hint="eastAsia"/>
                <w:color w:val="auto"/>
                <w:lang w:val="en-US" w:eastAsia="zh-CN"/>
              </w:rPr>
              <w:t>图2-1  项目水平衡图  单位：</w:t>
            </w:r>
            <w:r>
              <w:rPr>
                <w:rFonts w:hint="eastAsia"/>
                <w:color w:val="auto"/>
                <w:kern w:val="0"/>
                <w:sz w:val="24"/>
              </w:rPr>
              <w:t>m</w:t>
            </w:r>
            <w:r>
              <w:rPr>
                <w:rFonts w:hint="eastAsia"/>
                <w:color w:val="auto"/>
                <w:kern w:val="0"/>
                <w:sz w:val="24"/>
                <w:vertAlign w:val="superscript"/>
              </w:rPr>
              <w:t>3</w:t>
            </w:r>
            <w:r>
              <w:rPr>
                <w:rFonts w:hint="eastAsia"/>
                <w:color w:val="auto"/>
                <w:kern w:val="0"/>
                <w:sz w:val="24"/>
              </w:rPr>
              <w:t>/d</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b/>
                <w:color w:val="auto"/>
              </w:rPr>
            </w:pPr>
            <w:r>
              <w:rPr>
                <w:rFonts w:hint="eastAsia"/>
                <w:b/>
                <w:color w:val="auto"/>
                <w:lang w:eastAsia="zh-CN"/>
              </w:rPr>
              <w:t>(</w:t>
            </w:r>
            <w:r>
              <w:rPr>
                <w:rFonts w:hint="eastAsia"/>
                <w:b/>
                <w:color w:val="auto"/>
              </w:rPr>
              <w:t>3</w:t>
            </w:r>
            <w:r>
              <w:rPr>
                <w:rFonts w:hint="eastAsia"/>
                <w:b/>
                <w:color w:val="auto"/>
                <w:lang w:eastAsia="zh-CN"/>
              </w:rPr>
              <w:t>)</w:t>
            </w:r>
            <w:r>
              <w:rPr>
                <w:rFonts w:hint="eastAsia"/>
                <w:b/>
                <w:color w:val="auto"/>
                <w:lang w:val="en-US" w:eastAsia="zh-CN"/>
              </w:rPr>
              <w:t xml:space="preserve"> </w:t>
            </w:r>
            <w:r>
              <w:rPr>
                <w:rFonts w:hint="eastAsia"/>
                <w:b/>
                <w:color w:val="auto"/>
              </w:rPr>
              <w:t>供电工程</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项目</w:t>
            </w:r>
            <w:r>
              <w:rPr>
                <w:rFonts w:hint="eastAsia"/>
                <w:bCs/>
                <w:color w:val="auto"/>
                <w:lang w:val="en-US" w:eastAsia="zh-CN"/>
              </w:rPr>
              <w:t>用电量</w:t>
            </w:r>
            <w:r>
              <w:rPr>
                <w:rFonts w:hint="eastAsia"/>
                <w:bCs/>
                <w:color w:val="auto"/>
                <w:sz w:val="24"/>
                <w:szCs w:val="24"/>
                <w:lang w:val="en-US" w:eastAsia="zh-CN"/>
              </w:rPr>
              <w:t>约</w:t>
            </w:r>
            <w:r>
              <w:rPr>
                <w:rFonts w:hint="eastAsia"/>
                <w:color w:val="auto"/>
                <w:sz w:val="24"/>
                <w:szCs w:val="24"/>
                <w:highlight w:val="none"/>
                <w:lang w:val="en-US" w:eastAsia="zh-CN"/>
              </w:rPr>
              <w:t>2200</w:t>
            </w:r>
            <w:r>
              <w:rPr>
                <w:color w:val="auto"/>
                <w:sz w:val="24"/>
                <w:szCs w:val="24"/>
                <w:highlight w:val="none"/>
              </w:rPr>
              <w:t>×10</w:t>
            </w:r>
            <w:r>
              <w:rPr>
                <w:rFonts w:hint="eastAsia"/>
                <w:color w:val="auto"/>
                <w:sz w:val="24"/>
                <w:szCs w:val="24"/>
                <w:highlight w:val="none"/>
                <w:vertAlign w:val="superscript"/>
              </w:rPr>
              <w:t>4</w:t>
            </w:r>
            <w:r>
              <w:rPr>
                <w:color w:val="auto"/>
                <w:sz w:val="24"/>
                <w:szCs w:val="24"/>
                <w:highlight w:val="none"/>
              </w:rPr>
              <w:t>kWh</w:t>
            </w:r>
            <w:r>
              <w:rPr>
                <w:rFonts w:hint="eastAsia"/>
                <w:color w:val="auto"/>
                <w:sz w:val="24"/>
                <w:szCs w:val="24"/>
                <w:highlight w:val="none"/>
                <w:lang w:val="en-US" w:eastAsia="zh-CN"/>
              </w:rPr>
              <w:t>/a，</w:t>
            </w:r>
            <w:r>
              <w:rPr>
                <w:rFonts w:hint="eastAsia"/>
                <w:bCs/>
                <w:color w:val="auto"/>
              </w:rPr>
              <w:t>由</w:t>
            </w:r>
            <w:r>
              <w:rPr>
                <w:rFonts w:hint="eastAsia"/>
                <w:bCs/>
                <w:color w:val="auto"/>
                <w:lang w:val="en-US" w:eastAsia="zh-CN"/>
              </w:rPr>
              <w:t>开发区</w:t>
            </w:r>
            <w:r>
              <w:rPr>
                <w:rFonts w:hint="eastAsia"/>
                <w:bCs/>
                <w:color w:val="auto"/>
              </w:rPr>
              <w:t>变电所提供，配电站配置2500</w:t>
            </w:r>
            <w:r>
              <w:rPr>
                <w:rFonts w:hint="eastAsia"/>
                <w:bCs/>
                <w:color w:val="auto"/>
                <w:lang w:val="en-US" w:eastAsia="zh-CN"/>
              </w:rPr>
              <w:t>k</w:t>
            </w:r>
            <w:r>
              <w:rPr>
                <w:rFonts w:hint="eastAsia"/>
                <w:bCs/>
                <w:color w:val="auto"/>
              </w:rPr>
              <w:t>VA、1000</w:t>
            </w:r>
            <w:r>
              <w:rPr>
                <w:rFonts w:hint="eastAsia"/>
                <w:bCs/>
                <w:color w:val="auto"/>
                <w:lang w:val="en-US" w:eastAsia="zh-CN"/>
              </w:rPr>
              <w:t>k</w:t>
            </w:r>
            <w:r>
              <w:rPr>
                <w:rFonts w:hint="eastAsia"/>
                <w:bCs/>
                <w:color w:val="auto"/>
              </w:rPr>
              <w:t>VA变压器各一台，由该系统负责向正常运行工况下装置区内所有低压负荷供电。全厂负荷等级除消防为二级外，其他为三级。厂区内部供电采用放射与链式相结合方式供电。</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b/>
                <w:color w:val="auto"/>
              </w:rPr>
            </w:pPr>
            <w:r>
              <w:rPr>
                <w:rFonts w:hint="eastAsia"/>
                <w:b/>
                <w:color w:val="auto"/>
                <w:lang w:eastAsia="zh-CN"/>
              </w:rPr>
              <w:t>(</w:t>
            </w:r>
            <w:r>
              <w:rPr>
                <w:rFonts w:hint="eastAsia"/>
                <w:b/>
                <w:color w:val="auto"/>
              </w:rPr>
              <w:t>4</w:t>
            </w:r>
            <w:r>
              <w:rPr>
                <w:rFonts w:hint="eastAsia"/>
                <w:b/>
                <w:color w:val="auto"/>
                <w:lang w:eastAsia="zh-CN"/>
              </w:rPr>
              <w:t>)</w:t>
            </w:r>
            <w:r>
              <w:rPr>
                <w:rFonts w:hint="eastAsia"/>
                <w:b/>
                <w:color w:val="auto"/>
                <w:lang w:val="en-US" w:eastAsia="zh-CN"/>
              </w:rPr>
              <w:t xml:space="preserve"> 供气</w:t>
            </w:r>
            <w:r>
              <w:rPr>
                <w:rFonts w:hint="eastAsia"/>
                <w:b/>
                <w:color w:val="auto"/>
              </w:rPr>
              <w:t>工程</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color w:val="auto"/>
                <w:lang w:val="en-US" w:eastAsia="zh-CN"/>
              </w:rPr>
            </w:pPr>
            <w:r>
              <w:rPr>
                <w:rFonts w:hint="eastAsia"/>
                <w:color w:val="auto"/>
                <w:lang w:val="en-US" w:eastAsia="zh-CN"/>
              </w:rPr>
              <w:t>项目生产过程中使用氮气、氩气、氧气等气体均外购，厂区不设置制备系统。厂区设置1个30m</w:t>
            </w:r>
            <w:r>
              <w:rPr>
                <w:rFonts w:hint="eastAsia"/>
                <w:color w:val="auto"/>
                <w:vertAlign w:val="superscript"/>
                <w:lang w:val="en-US" w:eastAsia="zh-CN"/>
              </w:rPr>
              <w:t>3</w:t>
            </w:r>
            <w:r>
              <w:rPr>
                <w:rFonts w:hint="eastAsia"/>
                <w:color w:val="auto"/>
                <w:lang w:val="en-US" w:eastAsia="zh-CN"/>
              </w:rPr>
              <w:t>氮气储气罐、1个30m</w:t>
            </w:r>
            <w:r>
              <w:rPr>
                <w:rFonts w:hint="eastAsia"/>
                <w:color w:val="auto"/>
                <w:vertAlign w:val="superscript"/>
                <w:lang w:val="en-US" w:eastAsia="zh-CN"/>
              </w:rPr>
              <w:t>3</w:t>
            </w:r>
            <w:r>
              <w:rPr>
                <w:rFonts w:hint="eastAsia"/>
                <w:color w:val="auto"/>
                <w:lang w:val="en-US" w:eastAsia="zh-CN"/>
              </w:rPr>
              <w:t>氮气缓冲灌、1个30m</w:t>
            </w:r>
            <w:r>
              <w:rPr>
                <w:rFonts w:hint="eastAsia"/>
                <w:color w:val="auto"/>
                <w:vertAlign w:val="superscript"/>
                <w:lang w:val="en-US" w:eastAsia="zh-CN"/>
              </w:rPr>
              <w:t>3</w:t>
            </w:r>
            <w:r>
              <w:rPr>
                <w:rFonts w:hint="eastAsia"/>
                <w:color w:val="auto"/>
                <w:lang w:val="en-US" w:eastAsia="zh-CN"/>
              </w:rPr>
              <w:t>氧气储气罐、1个30m</w:t>
            </w:r>
            <w:r>
              <w:rPr>
                <w:rFonts w:hint="eastAsia"/>
                <w:color w:val="auto"/>
                <w:vertAlign w:val="superscript"/>
                <w:lang w:val="en-US" w:eastAsia="zh-CN"/>
              </w:rPr>
              <w:t>3</w:t>
            </w:r>
            <w:r>
              <w:rPr>
                <w:rFonts w:hint="eastAsia"/>
                <w:color w:val="auto"/>
                <w:lang w:val="en-US" w:eastAsia="zh-CN"/>
              </w:rPr>
              <w:t>氧气缓冲灌、1个20m</w:t>
            </w:r>
            <w:r>
              <w:rPr>
                <w:rFonts w:hint="eastAsia"/>
                <w:color w:val="auto"/>
                <w:vertAlign w:val="superscript"/>
                <w:lang w:val="en-US" w:eastAsia="zh-CN"/>
              </w:rPr>
              <w:t>3</w:t>
            </w:r>
            <w:r>
              <w:rPr>
                <w:rFonts w:hint="eastAsia"/>
                <w:color w:val="auto"/>
                <w:lang w:val="en-US" w:eastAsia="zh-CN"/>
              </w:rPr>
              <w:t>氩气储气罐、1个20m</w:t>
            </w:r>
            <w:r>
              <w:rPr>
                <w:rFonts w:hint="eastAsia"/>
                <w:color w:val="auto"/>
                <w:vertAlign w:val="superscript"/>
                <w:lang w:val="en-US" w:eastAsia="zh-CN"/>
              </w:rPr>
              <w:t>3</w:t>
            </w:r>
            <w:r>
              <w:rPr>
                <w:rFonts w:hint="eastAsia"/>
                <w:color w:val="auto"/>
                <w:lang w:val="en-US" w:eastAsia="zh-CN"/>
              </w:rPr>
              <w:t>氩气缓冲灌以及1个20m</w:t>
            </w:r>
            <w:r>
              <w:rPr>
                <w:rFonts w:hint="eastAsia"/>
                <w:color w:val="auto"/>
                <w:vertAlign w:val="superscript"/>
                <w:lang w:val="en-US" w:eastAsia="zh-CN"/>
              </w:rPr>
              <w:t>3</w:t>
            </w:r>
            <w:r>
              <w:rPr>
                <w:rFonts w:hint="eastAsia"/>
                <w:color w:val="auto"/>
                <w:lang w:val="en-US" w:eastAsia="zh-CN"/>
              </w:rPr>
              <w:t>空气罐。</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lang w:val="en-US"/>
              </w:rPr>
            </w:pPr>
            <w:r>
              <w:rPr>
                <w:rFonts w:hint="default" w:ascii="Times New Roman" w:hAnsi="Times New Roman" w:cs="Times New Roman"/>
                <w:color w:val="auto"/>
                <w:lang w:val="en-US" w:eastAsia="zh-CN"/>
              </w:rPr>
              <w:t>项目设置4台燃气式台车热处理炉，均采用天然气作为燃料，年耗量天然气108×10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Nm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/a，由开发区燃气管网供给，厂内不设置储罐。</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val="0"/>
                <w:color w:val="auto"/>
                <w:lang w:val="en-US" w:eastAsia="zh-CN"/>
              </w:rPr>
            </w:pPr>
            <w:r>
              <w:rPr>
                <w:rFonts w:hint="eastAsia"/>
                <w:b/>
                <w:bCs w:val="0"/>
                <w:color w:val="auto"/>
                <w:lang w:eastAsia="zh-CN"/>
              </w:rPr>
              <w:t>(</w:t>
            </w:r>
            <w:r>
              <w:rPr>
                <w:rFonts w:hint="eastAsia"/>
                <w:b/>
                <w:bCs w:val="0"/>
                <w:color w:val="auto"/>
                <w:lang w:val="en-US" w:eastAsia="zh-CN"/>
              </w:rPr>
              <w:t>5</w:t>
            </w:r>
            <w:r>
              <w:rPr>
                <w:rFonts w:hint="eastAsia"/>
                <w:b/>
                <w:bCs w:val="0"/>
                <w:color w:val="auto"/>
                <w:lang w:eastAsia="zh-CN"/>
              </w:rPr>
              <w:t>)</w:t>
            </w:r>
            <w:r>
              <w:rPr>
                <w:rFonts w:hint="eastAsia"/>
                <w:b/>
                <w:bCs w:val="0"/>
                <w:color w:val="auto"/>
                <w:lang w:val="en-US" w:eastAsia="zh-CN"/>
              </w:rPr>
              <w:t xml:space="preserve"> 消防工程</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项目根据规范要求设置室内外消火栓系统，灭火器系统。室外消火栓用水量为20L/s，室内消火栓用水量为10L/s；室内外消火栓系统共用一套临时高压系统。由位于泵房内的二台电动消火栓泵</w:t>
            </w:r>
            <w:r>
              <w:rPr>
                <w:rFonts w:hint="eastAsia"/>
                <w:color w:val="auto"/>
                <w:lang w:eastAsia="zh-CN"/>
              </w:rPr>
              <w:t>(</w:t>
            </w:r>
            <w:r>
              <w:rPr>
                <w:rFonts w:hint="eastAsia"/>
                <w:color w:val="auto"/>
              </w:rPr>
              <w:t>Q=30L/s，H=60m，一用一备</w:t>
            </w:r>
            <w:r>
              <w:rPr>
                <w:rFonts w:hint="eastAsia"/>
                <w:color w:val="auto"/>
                <w:lang w:eastAsia="zh-CN"/>
              </w:rPr>
              <w:t>)</w:t>
            </w:r>
            <w:r>
              <w:rPr>
                <w:rFonts w:hint="eastAsia"/>
                <w:color w:val="auto"/>
              </w:rPr>
              <w:t>加压后，分两路与室内外消火栓环状管网相连，室内环网管径为DN100；室外消火栓环状管网管径DN200。</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b/>
                <w:color w:val="auto"/>
              </w:rPr>
            </w:pPr>
            <w:r>
              <w:rPr>
                <w:b/>
                <w:color w:val="auto"/>
              </w:rPr>
              <w:t>7</w:t>
            </w:r>
            <w:r>
              <w:rPr>
                <w:rFonts w:hint="eastAsia"/>
                <w:b/>
                <w:color w:val="auto"/>
              </w:rPr>
              <w:t>、劳动定员及工作制度</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项目劳动定员为</w:t>
            </w:r>
            <w:r>
              <w:rPr>
                <w:rFonts w:hint="eastAsia"/>
                <w:bCs/>
                <w:color w:val="auto"/>
                <w:lang w:val="en-US" w:eastAsia="zh-CN"/>
              </w:rPr>
              <w:t>50</w:t>
            </w:r>
            <w:r>
              <w:rPr>
                <w:rFonts w:hint="eastAsia"/>
                <w:bCs/>
                <w:color w:val="auto"/>
              </w:rPr>
              <w:t>人，均不在厂内食宿，生产实行一班12小时工作制，年运行300d。</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b/>
                <w:color w:val="auto"/>
              </w:rPr>
            </w:pPr>
            <w:r>
              <w:rPr>
                <w:b/>
                <w:color w:val="auto"/>
              </w:rPr>
              <w:t>8</w:t>
            </w:r>
            <w:r>
              <w:rPr>
                <w:rFonts w:hint="eastAsia"/>
                <w:b/>
                <w:color w:val="auto"/>
              </w:rPr>
              <w:t>、厂区平面布置</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rPr>
            </w:pPr>
            <w:r>
              <w:rPr>
                <w:rFonts w:hint="eastAsia"/>
                <w:bCs/>
                <w:color w:val="auto"/>
              </w:rPr>
              <w:t>项目位于安徽省蚌埠市怀远县经济开发区，占地面积为</w:t>
            </w:r>
            <w:r>
              <w:rPr>
                <w:rFonts w:hint="eastAsia"/>
                <w:bCs/>
                <w:color w:val="auto"/>
                <w:lang w:val="en-US" w:eastAsia="zh-CN"/>
              </w:rPr>
              <w:t>26</w:t>
            </w:r>
            <w:r>
              <w:rPr>
                <w:rFonts w:hint="eastAsia"/>
                <w:bCs/>
                <w:color w:val="auto"/>
              </w:rPr>
              <w:t>000m</w:t>
            </w:r>
            <w:r>
              <w:rPr>
                <w:rFonts w:hint="eastAsia"/>
                <w:bCs/>
                <w:color w:val="auto"/>
                <w:vertAlign w:val="superscript"/>
              </w:rPr>
              <w:t>2</w:t>
            </w:r>
            <w:r>
              <w:rPr>
                <w:rFonts w:hint="eastAsia"/>
                <w:bCs/>
                <w:color w:val="auto"/>
              </w:rPr>
              <w:t>，总平面布置包括生产车间、</w:t>
            </w:r>
            <w:r>
              <w:rPr>
                <w:rFonts w:hint="eastAsia"/>
                <w:bCs/>
                <w:color w:val="auto"/>
                <w:lang w:val="en-US" w:eastAsia="zh-CN"/>
              </w:rPr>
              <w:t>原料车间</w:t>
            </w:r>
            <w:r>
              <w:rPr>
                <w:rFonts w:hint="eastAsia"/>
                <w:bCs/>
                <w:color w:val="auto"/>
              </w:rPr>
              <w:t>、</w:t>
            </w:r>
            <w:r>
              <w:rPr>
                <w:rFonts w:hint="eastAsia"/>
                <w:bCs/>
                <w:color w:val="auto"/>
                <w:lang w:val="en-US" w:eastAsia="zh-CN"/>
              </w:rPr>
              <w:t>成品库</w:t>
            </w:r>
            <w:r>
              <w:rPr>
                <w:rFonts w:hint="eastAsia"/>
                <w:bCs/>
                <w:color w:val="auto"/>
              </w:rPr>
              <w:t>、办公楼等。</w:t>
            </w:r>
          </w:p>
          <w:p>
            <w:pPr>
              <w:keepNext w:val="0"/>
              <w:keepLines w:val="0"/>
              <w:pageBreakBefore w:val="0"/>
              <w:widowControl w:val="0"/>
              <w:kinsoku/>
              <w:wordWrap/>
              <w:overflowPunct/>
              <w:topLinePunct w:val="0"/>
              <w:autoSpaceDE/>
              <w:autoSpaceDN/>
              <w:bidi w:val="0"/>
              <w:adjustRightInd/>
              <w:snapToGrid/>
              <w:spacing w:line="480" w:lineRule="exact"/>
              <w:textAlignment w:val="auto"/>
              <w:rPr>
                <w:bCs/>
                <w:color w:val="auto"/>
                <w:highlight w:val="none"/>
              </w:rPr>
            </w:pPr>
            <w:r>
              <w:rPr>
                <w:rFonts w:hint="eastAsia"/>
                <w:bCs/>
                <w:color w:val="auto"/>
                <w:highlight w:val="none"/>
              </w:rPr>
              <w:t>办公楼位于厂区西</w:t>
            </w:r>
            <w:r>
              <w:rPr>
                <w:rFonts w:hint="eastAsia"/>
                <w:bCs/>
                <w:color w:val="auto"/>
                <w:highlight w:val="none"/>
                <w:lang w:val="en-US" w:eastAsia="zh-CN"/>
              </w:rPr>
              <w:t>北</w:t>
            </w:r>
            <w:r>
              <w:rPr>
                <w:rFonts w:hint="eastAsia"/>
                <w:bCs/>
                <w:color w:val="auto"/>
                <w:highlight w:val="none"/>
              </w:rPr>
              <w:t>侧，</w:t>
            </w:r>
            <w:r>
              <w:rPr>
                <w:rFonts w:hint="eastAsia"/>
                <w:bCs/>
                <w:color w:val="auto"/>
                <w:highlight w:val="none"/>
                <w:lang w:val="en-US" w:eastAsia="zh-CN"/>
              </w:rPr>
              <w:t>与生产区域保持一定距离</w:t>
            </w:r>
            <w:r>
              <w:rPr>
                <w:rFonts w:hint="eastAsia"/>
                <w:bCs/>
                <w:color w:val="auto"/>
                <w:highlight w:val="none"/>
              </w:rPr>
              <w:t>，成品库位于厂区</w:t>
            </w:r>
            <w:r>
              <w:rPr>
                <w:rFonts w:hint="eastAsia"/>
                <w:bCs/>
                <w:color w:val="auto"/>
                <w:highlight w:val="none"/>
                <w:lang w:val="en-US" w:eastAsia="zh-CN"/>
              </w:rPr>
              <w:t>北</w:t>
            </w:r>
            <w:r>
              <w:rPr>
                <w:rFonts w:hint="eastAsia"/>
                <w:bCs/>
                <w:color w:val="auto"/>
                <w:highlight w:val="none"/>
              </w:rPr>
              <w:t>侧，原料车间位于厂区</w:t>
            </w:r>
            <w:r>
              <w:rPr>
                <w:rFonts w:hint="eastAsia"/>
                <w:bCs/>
                <w:color w:val="auto"/>
                <w:highlight w:val="none"/>
                <w:lang w:val="en-US" w:eastAsia="zh-CN"/>
              </w:rPr>
              <w:t>西侧</w:t>
            </w:r>
            <w:r>
              <w:rPr>
                <w:rFonts w:hint="eastAsia"/>
                <w:bCs/>
                <w:color w:val="auto"/>
                <w:highlight w:val="none"/>
              </w:rPr>
              <w:t>，紧邻生产车间，环保除尘设备位于</w:t>
            </w:r>
            <w:r>
              <w:rPr>
                <w:rFonts w:hint="eastAsia"/>
                <w:bCs/>
                <w:color w:val="auto"/>
                <w:highlight w:val="none"/>
                <w:lang w:val="en-US" w:eastAsia="zh-CN"/>
              </w:rPr>
              <w:t>生产</w:t>
            </w:r>
            <w:r>
              <w:rPr>
                <w:rFonts w:hint="eastAsia"/>
                <w:bCs/>
                <w:color w:val="auto"/>
                <w:highlight w:val="none"/>
              </w:rPr>
              <w:t>车间南面。</w:t>
            </w:r>
            <w:r>
              <w:rPr>
                <w:rFonts w:hint="eastAsia"/>
                <w:color w:val="auto"/>
              </w:rPr>
              <w:t>蚌埠</w:t>
            </w:r>
            <w:r>
              <w:rPr>
                <w:color w:val="auto"/>
              </w:rPr>
              <w:t>气象站</w:t>
            </w:r>
            <w:r>
              <w:rPr>
                <w:rFonts w:hint="eastAsia"/>
                <w:color w:val="auto"/>
                <w:lang w:val="en-US" w:eastAsia="zh-CN"/>
              </w:rPr>
              <w:t>多年气候统计资料</w:t>
            </w:r>
            <w:r>
              <w:rPr>
                <w:rFonts w:hint="eastAsia"/>
                <w:bCs/>
                <w:color w:val="auto"/>
                <w:highlight w:val="none"/>
              </w:rPr>
              <w:t>可知，项目所在地常年主导风向为东北偏东风，</w:t>
            </w:r>
            <w:r>
              <w:rPr>
                <w:rFonts w:hint="eastAsia"/>
                <w:bCs/>
                <w:color w:val="auto"/>
                <w:highlight w:val="none"/>
                <w:lang w:val="en-US" w:eastAsia="zh-CN"/>
              </w:rPr>
              <w:t>办公</w:t>
            </w:r>
            <w:r>
              <w:rPr>
                <w:rFonts w:hint="eastAsia"/>
                <w:bCs/>
                <w:color w:val="auto"/>
                <w:highlight w:val="none"/>
              </w:rPr>
              <w:t>区位于西北方向，项目</w:t>
            </w:r>
            <w:r>
              <w:rPr>
                <w:rFonts w:hint="eastAsia"/>
                <w:bCs/>
                <w:color w:val="auto"/>
                <w:highlight w:val="none"/>
                <w:lang w:val="en-US" w:eastAsia="zh-CN"/>
              </w:rPr>
              <w:t>平面</w:t>
            </w:r>
            <w:r>
              <w:rPr>
                <w:rFonts w:hint="eastAsia"/>
                <w:bCs/>
                <w:color w:val="auto"/>
                <w:highlight w:val="none"/>
              </w:rPr>
              <w:t>布置较为合理。</w:t>
            </w:r>
          </w:p>
          <w:p>
            <w:pPr>
              <w:spacing w:line="480" w:lineRule="exact"/>
              <w:rPr>
                <w:bCs/>
              </w:rPr>
            </w:pPr>
          </w:p>
          <w:p>
            <w:pPr>
              <w:spacing w:line="480" w:lineRule="exact"/>
              <w:rPr>
                <w:bCs/>
              </w:rPr>
            </w:pPr>
          </w:p>
          <w:p>
            <w:pPr>
              <w:pStyle w:val="2"/>
              <w:rPr>
                <w:bCs/>
              </w:rPr>
            </w:pPr>
          </w:p>
          <w:p>
            <w:pPr>
              <w:bidi w:val="0"/>
            </w:pPr>
          </w:p>
          <w:p>
            <w:pPr>
              <w:pStyle w:val="21"/>
              <w:bidi w:val="0"/>
              <w:rPr>
                <w:rFonts w:hint="eastAsia"/>
                <w:lang w:eastAsia="zh-CN"/>
              </w:rPr>
            </w:pPr>
            <w:r>
              <w:rPr>
                <w:rFonts w:hint="eastAsia"/>
                <w:lang w:eastAsia="zh-CN"/>
              </w:rPr>
              <w:drawing>
                <wp:inline distT="0" distB="0" distL="114300" distR="114300">
                  <wp:extent cx="5454650" cy="3859530"/>
                  <wp:effectExtent l="0" t="0" r="12700" b="7620"/>
                  <wp:docPr id="17" name="图片 17" descr="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平面布置图"/>
                          <pic:cNvPicPr>
                            <a:picLocks noChangeAspect="1"/>
                          </pic:cNvPicPr>
                        </pic:nvPicPr>
                        <pic:blipFill>
                          <a:blip r:embed="rId15">
                            <a:clrChange>
                              <a:clrFrom>
                                <a:srgbClr val="F0F0F0">
                                  <a:alpha val="100000"/>
                                </a:srgbClr>
                              </a:clrFrom>
                              <a:clrTo>
                                <a:srgbClr val="F0F0F0">
                                  <a:alpha val="100000"/>
                                  <a:alpha val="0"/>
                                </a:srgbClr>
                              </a:clrTo>
                            </a:clrChange>
                          </a:blip>
                          <a:stretch>
                            <a:fillRect/>
                          </a:stretch>
                        </pic:blipFill>
                        <pic:spPr>
                          <a:xfrm>
                            <a:off x="0" y="0"/>
                            <a:ext cx="5454650" cy="3859530"/>
                          </a:xfrm>
                          <a:prstGeom prst="rect">
                            <a:avLst/>
                          </a:prstGeom>
                        </pic:spPr>
                      </pic:pic>
                    </a:graphicData>
                  </a:graphic>
                </wp:inline>
              </w:drawing>
            </w:r>
          </w:p>
          <w:p>
            <w:pPr>
              <w:pStyle w:val="23"/>
              <w:bidi w:val="0"/>
              <w:rPr>
                <w:rFonts w:hint="default" w:eastAsia="宋体"/>
                <w:lang w:val="en-US" w:eastAsia="zh-CN"/>
              </w:rPr>
            </w:pPr>
            <w:r>
              <w:rPr>
                <w:rFonts w:hint="eastAsia"/>
                <w:lang w:val="en-US" w:eastAsia="zh-CN"/>
              </w:rPr>
              <w:t>图2-2  项目平面布置示意图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251" w:type="pct"/>
          </w:tcPr>
          <w:p>
            <w:pPr>
              <w:widowControl/>
              <w:spacing w:line="480" w:lineRule="exact"/>
              <w:ind w:firstLine="0" w:firstLineChars="0"/>
              <w:jc w:val="center"/>
              <w:rPr>
                <w:b/>
                <w:bCs/>
                <w:kern w:val="0"/>
              </w:rPr>
            </w:pPr>
            <w:r>
              <w:rPr>
                <w:b/>
                <w:bCs/>
                <w:kern w:val="0"/>
              </w:rPr>
              <w:t>工艺流程和产排污环节</w:t>
            </w:r>
          </w:p>
        </w:tc>
        <w:tc>
          <w:tcPr>
            <w:tcW w:w="4748" w:type="pct"/>
          </w:tcPr>
          <w:p>
            <w:pPr>
              <w:spacing w:line="480" w:lineRule="exact"/>
              <w:ind w:left="0" w:leftChars="0" w:firstLine="0" w:firstLineChars="0"/>
              <w:rPr>
                <w:b/>
              </w:rPr>
            </w:pPr>
            <w:r>
              <w:rPr>
                <w:rFonts w:hint="eastAsia"/>
                <w:b/>
              </w:rPr>
              <w:t>1、工艺流程</w:t>
            </w:r>
          </w:p>
          <w:p>
            <w:pPr>
              <w:bidi w:val="0"/>
              <w:rPr>
                <w:rFonts w:hint="eastAsia"/>
                <w:lang w:val="en-US" w:eastAsia="zh-CN"/>
              </w:rPr>
            </w:pPr>
            <w:r>
              <w:rPr>
                <w:rFonts w:hint="eastAsia"/>
                <w:lang w:val="en-US" w:eastAsia="zh-CN"/>
              </w:rPr>
              <w:t>项目生产工艺流程如图2-3所示。</w:t>
            </w:r>
          </w:p>
          <w:p>
            <w:pPr>
              <w:pStyle w:val="21"/>
              <w:bidi w:val="0"/>
            </w:pPr>
            <w:r>
              <w:drawing>
                <wp:inline distT="0" distB="0" distL="114300" distR="114300">
                  <wp:extent cx="4319905" cy="655891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6"/>
                          <a:stretch>
                            <a:fillRect/>
                          </a:stretch>
                        </pic:blipFill>
                        <pic:spPr>
                          <a:xfrm>
                            <a:off x="0" y="0"/>
                            <a:ext cx="4319905" cy="6558915"/>
                          </a:xfrm>
                          <a:prstGeom prst="rect">
                            <a:avLst/>
                          </a:prstGeom>
                          <a:noFill/>
                          <a:ln>
                            <a:noFill/>
                          </a:ln>
                        </pic:spPr>
                      </pic:pic>
                    </a:graphicData>
                  </a:graphic>
                </wp:inline>
              </w:drawing>
            </w:r>
          </w:p>
          <w:p>
            <w:pPr>
              <w:pStyle w:val="21"/>
              <w:keepNext w:val="0"/>
              <w:keepLines w:val="0"/>
              <w:pageBreakBefore w:val="0"/>
              <w:widowControl w:val="0"/>
              <w:kinsoku/>
              <w:wordWrap/>
              <w:overflowPunct/>
              <w:topLinePunct w:val="0"/>
              <w:autoSpaceDE/>
              <w:autoSpaceDN/>
              <w:bidi w:val="0"/>
              <w:adjustRightInd/>
              <w:snapToGrid/>
              <w:spacing w:before="0"/>
              <w:textAlignment w:val="auto"/>
              <w:rPr>
                <w:rFonts w:hint="eastAsia"/>
                <w:lang w:val="en-US" w:eastAsia="zh-CN"/>
              </w:rPr>
            </w:pPr>
            <w:r>
              <w:rPr>
                <w:rFonts w:hint="eastAsia"/>
                <w:lang w:val="en-US" w:eastAsia="zh-CN"/>
              </w:rPr>
              <w:t>图2-3  项目生产工艺流程示意图</w:t>
            </w:r>
          </w:p>
          <w:p>
            <w:pPr>
              <w:pStyle w:val="23"/>
              <w:bidi w:val="0"/>
              <w:rPr>
                <w:rFonts w:hint="default"/>
                <w:lang w:val="en-US" w:eastAsia="zh-CN"/>
              </w:rPr>
            </w:pPr>
            <w:r>
              <w:rPr>
                <w:rFonts w:hint="eastAsia"/>
                <w:lang w:val="en-US" w:eastAsia="zh-CN"/>
              </w:rPr>
              <w:t>(注：图中虚线框内生产工艺根据需求使用)</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b/>
                <w:bCs/>
                <w:color w:val="auto"/>
                <w:lang w:val="en-US"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lang w:val="en-US" w:eastAsia="zh-CN"/>
              </w:rPr>
              <w:t xml:space="preserve"> 原料准备</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lang w:eastAsia="zh-CN"/>
              </w:rPr>
            </w:pPr>
            <w:r>
              <w:rPr>
                <w:rFonts w:hint="eastAsia"/>
                <w:color w:val="auto"/>
                <w:lang w:val="en-US" w:eastAsia="zh-CN"/>
              </w:rPr>
              <w:t>废钢</w:t>
            </w:r>
            <w:r>
              <w:rPr>
                <w:rFonts w:hint="eastAsia"/>
                <w:color w:val="auto"/>
                <w:lang w:eastAsia="zh-CN"/>
              </w:rPr>
              <w:t>通过市场采购，</w:t>
            </w:r>
            <w:r>
              <w:rPr>
                <w:rFonts w:hint="eastAsia"/>
                <w:color w:val="auto"/>
                <w:lang w:val="en-US" w:eastAsia="zh-CN"/>
              </w:rPr>
              <w:t>厂内仅</w:t>
            </w:r>
            <w:r>
              <w:rPr>
                <w:rFonts w:hint="eastAsia"/>
                <w:color w:val="auto"/>
                <w:lang w:eastAsia="zh-CN"/>
              </w:rPr>
              <w:t>对原料进行分类、整理和压包，</w:t>
            </w:r>
            <w:r>
              <w:rPr>
                <w:rFonts w:hint="eastAsia"/>
                <w:color w:val="auto"/>
                <w:lang w:val="en-US" w:eastAsia="zh-CN"/>
              </w:rPr>
              <w:t>不进行切割、破碎等加工。原料准备</w:t>
            </w:r>
            <w:r>
              <w:rPr>
                <w:rFonts w:hint="eastAsia"/>
                <w:color w:val="auto"/>
                <w:lang w:eastAsia="zh-CN"/>
              </w:rPr>
              <w:t>过程中会产生噪声。</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b/>
                <w:bCs/>
                <w:color w:val="auto"/>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lang w:val="en-US" w:eastAsia="zh-CN"/>
              </w:rPr>
              <w:t xml:space="preserve"> 原料熔化</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通过行车吊运投放到电弧炉中，通电后依靠电弧散发出的热量将固态原料熔化成液体，同步启动碳氧枪助熔，并加入石灰、萤石</w:t>
            </w:r>
            <w:r>
              <w:rPr>
                <w:rFonts w:hint="eastAsia"/>
                <w:color w:val="auto"/>
                <w:lang w:val="en-US" w:eastAsia="zh-CN"/>
              </w:rPr>
              <w:t>等</w:t>
            </w:r>
            <w:r>
              <w:rPr>
                <w:rFonts w:hint="eastAsia"/>
                <w:color w:val="auto"/>
              </w:rPr>
              <w:t>造渣材料。电炉熔化过程可以脱碳、脱磷、造渣、去除气体和夹杂物并提高钢液温度等作用。待炉内废钢全部熔清后，钢液温度、磷、碳等符合要求后，扒除氧化渣、造稀薄渣，预脱氧，然后搅拌取样进行钢液化验、测温</w:t>
            </w:r>
            <w:r>
              <w:rPr>
                <w:rFonts w:hint="eastAsia"/>
                <w:color w:val="auto"/>
                <w:lang w:eastAsia="zh-CN"/>
              </w:rPr>
              <w:t>。</w:t>
            </w:r>
            <w:r>
              <w:rPr>
                <w:rFonts w:hint="eastAsia"/>
                <w:color w:val="auto"/>
              </w:rPr>
              <w:t>每炉熔化时间约</w:t>
            </w:r>
            <w:r>
              <w:rPr>
                <w:rFonts w:hint="eastAsia"/>
                <w:color w:val="auto"/>
                <w:lang w:val="en-US" w:eastAsia="zh-CN"/>
              </w:rPr>
              <w:t>4h</w:t>
            </w:r>
            <w:r>
              <w:rPr>
                <w:rFonts w:hint="eastAsia"/>
                <w:color w:val="auto"/>
              </w:rPr>
              <w:t>，钢液</w:t>
            </w:r>
            <w:r>
              <w:rPr>
                <w:rFonts w:hint="eastAsia"/>
                <w:color w:val="auto"/>
                <w:lang w:val="en-US" w:eastAsia="zh-CN"/>
              </w:rPr>
              <w:t>4</w:t>
            </w:r>
            <w:r>
              <w:rPr>
                <w:rFonts w:hint="eastAsia"/>
                <w:color w:val="auto"/>
              </w:rPr>
              <w:t>0</w:t>
            </w:r>
            <w:r>
              <w:rPr>
                <w:rFonts w:hint="eastAsia"/>
                <w:color w:val="auto"/>
                <w:lang w:val="en-US" w:eastAsia="zh-CN"/>
              </w:rPr>
              <w:t>t</w:t>
            </w:r>
            <w:r>
              <w:rPr>
                <w:rFonts w:hint="eastAsia"/>
                <w:color w:val="auto"/>
              </w:rPr>
              <w:t>，此过程中使用循环冷却水对电弧炉进行冷却。</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电弧炉主要技术参数如下：</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公称容量            </w:t>
            </w:r>
            <w:r>
              <w:rPr>
                <w:rFonts w:hint="eastAsia"/>
                <w:color w:val="auto"/>
                <w:lang w:val="en-US" w:eastAsia="zh-CN"/>
              </w:rPr>
              <w:t>50</w:t>
            </w:r>
            <w:r>
              <w:rPr>
                <w:rFonts w:hint="eastAsia"/>
                <w:color w:val="auto"/>
              </w:rPr>
              <w:t>t</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炉壳内径            φ</w:t>
            </w:r>
            <w:r>
              <w:rPr>
                <w:rFonts w:hint="eastAsia"/>
                <w:color w:val="auto"/>
                <w:lang w:val="en-US" w:eastAsia="zh-CN"/>
              </w:rPr>
              <w:t>46</w:t>
            </w:r>
            <w:r>
              <w:rPr>
                <w:rFonts w:hint="eastAsia"/>
                <w:color w:val="auto"/>
              </w:rPr>
              <w:t>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操作方式            右旋</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变压器额定容量      </w:t>
            </w:r>
            <w:r>
              <w:rPr>
                <w:rFonts w:hint="eastAsia"/>
                <w:color w:val="auto"/>
                <w:lang w:val="en-US" w:eastAsia="zh-CN"/>
              </w:rPr>
              <w:t>70</w:t>
            </w:r>
            <w:r>
              <w:rPr>
                <w:rFonts w:hint="eastAsia"/>
                <w:color w:val="auto"/>
              </w:rPr>
              <w:t>00kVA</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变压器一次电压      35kV</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变压器二次电压      </w:t>
            </w:r>
            <w:r>
              <w:rPr>
                <w:rFonts w:hint="eastAsia"/>
                <w:color w:val="auto"/>
                <w:lang w:val="en-US" w:eastAsia="zh-CN"/>
              </w:rPr>
              <w:t>150~225</w:t>
            </w:r>
            <w:r>
              <w:rPr>
                <w:rFonts w:hint="eastAsia"/>
                <w:color w:val="auto"/>
              </w:rPr>
              <w:t>V</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rPr>
            </w:pPr>
            <w:r>
              <w:rPr>
                <w:rFonts w:hint="eastAsia"/>
                <w:color w:val="auto"/>
              </w:rPr>
              <w:t xml:space="preserve">变压器二次额定电流  </w:t>
            </w:r>
            <w:r>
              <w:rPr>
                <w:rFonts w:hint="eastAsia"/>
                <w:color w:val="auto"/>
                <w:lang w:val="en-US" w:eastAsia="zh-CN"/>
              </w:rPr>
              <w:t>17962</w:t>
            </w:r>
            <w:r>
              <w:rPr>
                <w:rFonts w:hint="eastAsia"/>
                <w:color w:val="auto"/>
              </w:rPr>
              <w:t>A</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lang w:val="en-US" w:eastAsia="zh-CN"/>
              </w:rPr>
              <w:t>该</w:t>
            </w:r>
            <w:r>
              <w:rPr>
                <w:rFonts w:hint="eastAsia"/>
                <w:color w:val="auto"/>
              </w:rPr>
              <w:t>工序产生高温烟气</w:t>
            </w:r>
            <w:r>
              <w:rPr>
                <w:rFonts w:hint="eastAsia"/>
                <w:color w:val="auto"/>
                <w:lang w:eastAsia="zh-CN"/>
              </w:rPr>
              <w:t>(</w:t>
            </w:r>
            <w:r>
              <w:rPr>
                <w:rFonts w:hint="eastAsia"/>
                <w:color w:val="auto"/>
                <w:lang w:val="en-US" w:eastAsia="zh-CN"/>
              </w:rPr>
              <w:t>G1</w:t>
            </w:r>
            <w:r>
              <w:rPr>
                <w:rFonts w:hint="eastAsia"/>
                <w:color w:val="auto"/>
                <w:lang w:eastAsia="zh-CN"/>
              </w:rPr>
              <w:t>)</w:t>
            </w:r>
            <w:r>
              <w:rPr>
                <w:rFonts w:hint="eastAsia"/>
                <w:color w:val="auto"/>
              </w:rPr>
              <w:t>、</w:t>
            </w:r>
            <w:r>
              <w:rPr>
                <w:rFonts w:hint="eastAsia"/>
                <w:color w:val="auto"/>
                <w:lang w:val="en-US" w:eastAsia="zh-CN"/>
              </w:rPr>
              <w:t>冶炼废渣(S1)</w:t>
            </w:r>
            <w:r>
              <w:rPr>
                <w:rFonts w:hint="eastAsia"/>
                <w:color w:val="auto"/>
              </w:rPr>
              <w:t>和间接冷却排水</w:t>
            </w:r>
            <w:r>
              <w:rPr>
                <w:rFonts w:hint="eastAsia"/>
                <w:color w:val="auto"/>
                <w:lang w:eastAsia="zh-CN"/>
              </w:rPr>
              <w:t>(</w:t>
            </w:r>
            <w:r>
              <w:rPr>
                <w:rFonts w:hint="eastAsia"/>
                <w:color w:val="auto"/>
                <w:lang w:val="en-US" w:eastAsia="zh-CN"/>
              </w:rPr>
              <w:t>W1</w:t>
            </w:r>
            <w:r>
              <w:rPr>
                <w:rFonts w:hint="eastAsia"/>
                <w:color w:val="auto"/>
                <w:lang w:eastAsia="zh-CN"/>
              </w:rPr>
              <w:t>)</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 xml:space="preserve"> 合金熔融</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rPr>
            </w:pPr>
            <w:r>
              <w:rPr>
                <w:rFonts w:hint="eastAsia"/>
                <w:color w:val="auto"/>
              </w:rPr>
              <w:t>合金料槽倾翻车将合金原料加入合金熔融炉内，通电熔化。待炉料全部熔清后，继续通电升温，当熔融合金温度升至1600</w:t>
            </w:r>
            <w:r>
              <w:rPr>
                <w:rFonts w:hint="eastAsia"/>
                <w:color w:val="auto"/>
                <w:vertAlign w:val="superscript"/>
                <w:lang w:val="en-US" w:eastAsia="zh-CN"/>
              </w:rPr>
              <w:t>o</w:t>
            </w:r>
            <w:r>
              <w:rPr>
                <w:rFonts w:hint="eastAsia"/>
                <w:color w:val="auto"/>
              </w:rPr>
              <w:t>C时，停电准备倾炉出熔融合金。出熔融合金前，钢包车运行至待出熔融合金位，倾炉出熔融合金，炉内熔融合金出到钢包车上的钢包中，当钢包中熔融合金量达到要求后，炉子回倾准备下一炉加料及熔炼。</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lang w:val="en-US" w:eastAsia="zh-CN"/>
              </w:rPr>
            </w:pPr>
            <w:r>
              <w:rPr>
                <w:rFonts w:hint="eastAsia"/>
                <w:color w:val="auto"/>
                <w:lang w:val="en-US" w:eastAsia="zh-CN"/>
              </w:rPr>
              <w:t>合金熔融炉主要技术参数如下：</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color w:val="auto"/>
                <w:lang w:val="en-US" w:eastAsia="zh-CN"/>
              </w:rPr>
            </w:pPr>
            <w:r>
              <w:rPr>
                <w:rFonts w:hint="eastAsia"/>
                <w:color w:val="auto"/>
              </w:rPr>
              <w:t xml:space="preserve">公称容量            </w:t>
            </w:r>
            <w:r>
              <w:rPr>
                <w:rFonts w:hint="eastAsia"/>
                <w:color w:val="auto"/>
                <w:lang w:val="en-US" w:eastAsia="zh-CN"/>
              </w:rPr>
              <w:t>5t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eastAsia="宋体"/>
                <w:color w:val="auto"/>
                <w:lang w:val="en-US" w:eastAsia="zh-CN"/>
              </w:rPr>
            </w:pPr>
            <w:r>
              <w:rPr>
                <w:rFonts w:hint="eastAsia"/>
                <w:color w:val="auto"/>
              </w:rPr>
              <w:t>工作温度            1600</w:t>
            </w:r>
            <w:r>
              <w:rPr>
                <w:rFonts w:hint="eastAsia"/>
                <w:color w:val="auto"/>
                <w:vertAlign w:val="superscript"/>
                <w:lang w:val="en-US" w:eastAsia="zh-CN"/>
              </w:rPr>
              <w:t>o</w:t>
            </w:r>
            <w:r>
              <w:rPr>
                <w:rFonts w:hint="eastAsia"/>
                <w:color w:val="auto"/>
                <w:lang w:val="en-US" w:eastAsia="zh-CN"/>
              </w:rPr>
              <w:t>C</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rPr>
            </w:pPr>
            <w:r>
              <w:rPr>
                <w:rFonts w:hint="eastAsia"/>
                <w:color w:val="auto"/>
              </w:rPr>
              <w:t>最高</w:t>
            </w:r>
            <w:r>
              <w:rPr>
                <w:rFonts w:hint="eastAsia"/>
                <w:color w:val="auto"/>
                <w:lang w:val="en-US" w:eastAsia="zh-CN"/>
              </w:rPr>
              <w:t>稳定工作温度</w:t>
            </w:r>
            <w:r>
              <w:rPr>
                <w:rFonts w:hint="eastAsia"/>
                <w:color w:val="auto"/>
              </w:rPr>
              <w:t xml:space="preserve">    1750</w:t>
            </w:r>
            <w:r>
              <w:rPr>
                <w:rFonts w:hint="eastAsia"/>
                <w:color w:val="auto"/>
                <w:vertAlign w:val="superscript"/>
                <w:lang w:val="en-US" w:eastAsia="zh-CN"/>
              </w:rPr>
              <w:t>o</w:t>
            </w:r>
            <w:r>
              <w:rPr>
                <w:rFonts w:hint="eastAsia"/>
                <w:color w:val="auto"/>
                <w:lang w:val="en-US" w:eastAsia="zh-CN"/>
              </w:rPr>
              <w:t>C</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eastAsia="宋体"/>
                <w:color w:val="auto"/>
                <w:lang w:val="en-US" w:eastAsia="zh-CN"/>
              </w:rPr>
            </w:pPr>
            <w:r>
              <w:rPr>
                <w:rFonts w:hint="eastAsia"/>
                <w:color w:val="auto"/>
              </w:rPr>
              <w:t>炉衬厚度            150</w:t>
            </w:r>
            <w:r>
              <w:rPr>
                <w:rFonts w:hint="eastAsia"/>
                <w:color w:val="auto"/>
                <w:lang w:val="en-US" w:eastAsia="zh-CN"/>
              </w:rPr>
              <w:t>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eastAsia="宋体"/>
                <w:color w:val="auto"/>
                <w:lang w:val="en-US" w:eastAsia="zh-CN"/>
              </w:rPr>
            </w:pPr>
            <w:r>
              <w:rPr>
                <w:rFonts w:hint="eastAsia"/>
                <w:color w:val="auto"/>
              </w:rPr>
              <w:t>感应圈内径          1410</w:t>
            </w:r>
            <w:r>
              <w:rPr>
                <w:rFonts w:hint="eastAsia"/>
                <w:color w:val="auto"/>
                <w:lang w:val="en-US" w:eastAsia="zh-CN"/>
              </w:rPr>
              <w:t>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eastAsia="宋体"/>
                <w:color w:val="auto"/>
                <w:lang w:val="en-US" w:eastAsia="zh-CN"/>
              </w:rPr>
            </w:pPr>
            <w:r>
              <w:rPr>
                <w:rFonts w:hint="eastAsia"/>
                <w:color w:val="auto"/>
              </w:rPr>
              <w:t>感应圈高度          1620</w:t>
            </w:r>
            <w:r>
              <w:rPr>
                <w:rFonts w:hint="eastAsia"/>
                <w:color w:val="auto"/>
                <w:lang w:val="en-US" w:eastAsia="zh-CN"/>
              </w:rPr>
              <w:t>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eastAsia="宋体"/>
                <w:color w:val="auto"/>
                <w:lang w:val="en-US" w:eastAsia="zh-CN"/>
              </w:rPr>
            </w:pPr>
            <w:r>
              <w:rPr>
                <w:rFonts w:hint="eastAsia"/>
                <w:color w:val="auto"/>
              </w:rPr>
              <w:t>变压器</w:t>
            </w:r>
            <w:r>
              <w:rPr>
                <w:rFonts w:hint="eastAsia"/>
                <w:color w:val="auto"/>
                <w:lang w:val="en-US" w:eastAsia="zh-CN"/>
              </w:rPr>
              <w:t>额定</w:t>
            </w:r>
            <w:r>
              <w:rPr>
                <w:rFonts w:hint="eastAsia"/>
                <w:color w:val="auto"/>
              </w:rPr>
              <w:t>容量      3150</w:t>
            </w:r>
            <w:r>
              <w:rPr>
                <w:rFonts w:hint="eastAsia"/>
                <w:color w:val="auto"/>
                <w:lang w:val="en-US" w:eastAsia="zh-CN"/>
              </w:rPr>
              <w:t>kVA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eastAsia="宋体"/>
                <w:color w:val="auto"/>
                <w:lang w:val="en-US" w:eastAsia="zh-CN"/>
              </w:rPr>
            </w:pPr>
            <w:r>
              <w:rPr>
                <w:rFonts w:hint="eastAsia"/>
                <w:color w:val="auto"/>
              </w:rPr>
              <w:t>变压器一次电压      10</w:t>
            </w:r>
            <w:r>
              <w:rPr>
                <w:rFonts w:hint="eastAsia"/>
                <w:color w:val="auto"/>
                <w:lang w:val="en-US" w:eastAsia="zh-CN"/>
              </w:rPr>
              <w:t>kV</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eastAsia="宋体"/>
                <w:color w:val="auto"/>
                <w:lang w:val="en-US" w:eastAsia="zh-CN"/>
              </w:rPr>
            </w:pPr>
            <w:r>
              <w:rPr>
                <w:rFonts w:hint="eastAsia"/>
                <w:color w:val="auto"/>
              </w:rPr>
              <w:t>变压器二次电压      75</w:t>
            </w:r>
            <w:r>
              <w:rPr>
                <w:rFonts w:hint="eastAsia"/>
                <w:color w:val="auto"/>
                <w:lang w:val="en-US" w:eastAsia="zh-CN"/>
              </w:rPr>
              <w:t>V</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lang w:val="en-US" w:eastAsia="zh-CN"/>
              </w:rPr>
            </w:pPr>
            <w:r>
              <w:rPr>
                <w:rFonts w:hint="eastAsia"/>
                <w:color w:val="auto"/>
              </w:rPr>
              <w:t>额定输入电流        2280</w:t>
            </w:r>
            <w:r>
              <w:rPr>
                <w:rFonts w:hint="eastAsia"/>
                <w:color w:val="auto"/>
                <w:lang w:val="en-US" w:eastAsia="zh-CN"/>
              </w:rPr>
              <w:t>A</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该工序产生高温烟气</w:t>
            </w:r>
            <w:r>
              <w:rPr>
                <w:rFonts w:hint="eastAsia"/>
                <w:color w:val="auto"/>
                <w:lang w:eastAsia="zh-CN"/>
              </w:rPr>
              <w:t>(</w:t>
            </w:r>
            <w:r>
              <w:rPr>
                <w:rFonts w:hint="eastAsia"/>
                <w:color w:val="auto"/>
                <w:lang w:val="en-US" w:eastAsia="zh-CN"/>
              </w:rPr>
              <w:t>G2</w:t>
            </w:r>
            <w:r>
              <w:rPr>
                <w:rFonts w:hint="eastAsia"/>
                <w:color w:val="auto"/>
                <w:lang w:eastAsia="zh-CN"/>
              </w:rPr>
              <w:t>)</w:t>
            </w:r>
            <w:r>
              <w:rPr>
                <w:rFonts w:hint="eastAsia"/>
                <w:color w:val="auto"/>
              </w:rPr>
              <w:t>、间接冷却排水</w:t>
            </w:r>
            <w:r>
              <w:rPr>
                <w:rFonts w:hint="eastAsia"/>
                <w:color w:val="auto"/>
                <w:lang w:eastAsia="zh-CN"/>
              </w:rPr>
              <w:t>(</w:t>
            </w:r>
            <w:r>
              <w:rPr>
                <w:rFonts w:hint="eastAsia"/>
                <w:color w:val="auto"/>
                <w:lang w:val="en-US" w:eastAsia="zh-CN"/>
              </w:rPr>
              <w:t>W1</w:t>
            </w:r>
            <w:r>
              <w:rPr>
                <w:rFonts w:hint="eastAsia"/>
                <w:color w:val="auto"/>
                <w:lang w:eastAsia="zh-CN"/>
              </w:rPr>
              <w:t>)</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val="0"/>
                <w:color w:val="auto"/>
                <w:lang w:val="en-US" w:eastAsia="zh-CN"/>
              </w:rPr>
            </w:pPr>
            <w:r>
              <w:rPr>
                <w:rFonts w:hint="eastAsia"/>
                <w:b/>
                <w:bCs w:val="0"/>
                <w:color w:val="auto"/>
                <w:lang w:eastAsia="zh-CN"/>
              </w:rPr>
              <w:t>(</w:t>
            </w:r>
            <w:r>
              <w:rPr>
                <w:rFonts w:hint="eastAsia"/>
                <w:b/>
                <w:bCs w:val="0"/>
                <w:color w:val="auto"/>
                <w:lang w:val="en-US" w:eastAsia="zh-CN"/>
              </w:rPr>
              <w:t>4</w:t>
            </w:r>
            <w:r>
              <w:rPr>
                <w:rFonts w:hint="eastAsia"/>
                <w:b/>
                <w:bCs w:val="0"/>
                <w:color w:val="auto"/>
                <w:lang w:eastAsia="zh-CN"/>
              </w:rPr>
              <w:t>)</w:t>
            </w:r>
            <w:r>
              <w:rPr>
                <w:rFonts w:hint="eastAsia"/>
                <w:b/>
                <w:bCs w:val="0"/>
                <w:color w:val="auto"/>
                <w:lang w:val="en-US" w:eastAsia="zh-CN"/>
              </w:rPr>
              <w:t xml:space="preserve"> AOD炉精炼</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bCs/>
                <w:color w:val="auto"/>
              </w:rPr>
              <w:t>AOD炉的要点是真空条件下，炉顶吹入氧气脱碳，从炉底吹入氩气和氮气混合气体搅拌钢液去除气体、夹杂物。项目AOD炉操作工序：①钢水兑入后进行扒渣，使渣量</w:t>
            </w:r>
            <w:r>
              <w:rPr>
                <w:rFonts w:hint="default" w:ascii="Times New Roman" w:hAnsi="Times New Roman" w:cs="Times New Roman"/>
                <w:bCs/>
                <w:color w:val="auto"/>
              </w:rPr>
              <w:t>≤</w:t>
            </w:r>
            <w:r>
              <w:rPr>
                <w:rFonts w:hint="eastAsia"/>
                <w:bCs/>
                <w:color w:val="auto"/>
              </w:rPr>
              <w:t>0.5%；②钢包放入真空罐，供氩气和氮气、测温、合盖，抽真空；③吹氧预脱碳，使硅渣化；④真空条件下吹氧脱碳，通过磁氧分析仪控制吹氧终点；⑤停氧后提高真空度，进行真空碳脱氧；⑥添加合金料调整成分并造渣还原；⑦停氩，加合金终脱氧，开罐。AOD精炼炉平均处理时间为</w:t>
            </w:r>
            <w:r>
              <w:rPr>
                <w:rFonts w:hint="eastAsia"/>
                <w:bCs/>
                <w:color w:val="auto"/>
                <w:lang w:val="en-US" w:eastAsia="zh-CN"/>
              </w:rPr>
              <w:t>3h</w:t>
            </w:r>
            <w:r>
              <w:rPr>
                <w:rFonts w:hint="eastAsia"/>
                <w:bCs/>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lang w:val="en-US" w:eastAsia="zh-CN"/>
              </w:rPr>
            </w:pPr>
            <w:r>
              <w:rPr>
                <w:rFonts w:hint="eastAsia"/>
                <w:color w:val="auto"/>
                <w:lang w:val="en-US" w:eastAsia="zh-CN"/>
              </w:rPr>
              <w:t>AOD炉主要技术参数如下：</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lang w:eastAsia="zh-CN"/>
              </w:rPr>
            </w:pPr>
            <w:r>
              <w:rPr>
                <w:rFonts w:hint="eastAsia"/>
                <w:color w:val="auto"/>
              </w:rPr>
              <w:t xml:space="preserve">公称容量         </w:t>
            </w:r>
            <w:r>
              <w:rPr>
                <w:rFonts w:hint="eastAsia"/>
                <w:color w:val="auto"/>
                <w:lang w:val="en-US" w:eastAsia="zh-CN"/>
              </w:rPr>
              <w:t xml:space="preserve">  </w:t>
            </w:r>
            <w:r>
              <w:rPr>
                <w:rFonts w:hint="eastAsia"/>
                <w:color w:val="auto"/>
              </w:rPr>
              <w:t xml:space="preserve">   </w:t>
            </w:r>
            <w:r>
              <w:rPr>
                <w:rFonts w:hint="eastAsia"/>
                <w:color w:val="auto"/>
                <w:lang w:val="en-US" w:eastAsia="zh-CN"/>
              </w:rPr>
              <w:t>3</w:t>
            </w:r>
            <w:r>
              <w:rPr>
                <w:color w:val="auto"/>
              </w:rPr>
              <w:t>0</w:t>
            </w:r>
            <w:r>
              <w:rPr>
                <w:rFonts w:hint="eastAsia"/>
                <w:color w:val="auto"/>
                <w:lang w:val="en-US" w:eastAsia="zh-CN"/>
              </w:rPr>
              <w:t>t</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型式              </w:t>
            </w:r>
            <w:r>
              <w:rPr>
                <w:rFonts w:hint="eastAsia"/>
                <w:color w:val="auto"/>
                <w:lang w:val="en-US" w:eastAsia="zh-CN"/>
              </w:rPr>
              <w:t xml:space="preserve">  </w:t>
            </w:r>
            <w:r>
              <w:rPr>
                <w:rFonts w:hint="eastAsia"/>
                <w:color w:val="auto"/>
              </w:rPr>
              <w:t xml:space="preserve">  炉体可更换型</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风口数量          </w:t>
            </w:r>
            <w:r>
              <w:rPr>
                <w:rFonts w:hint="eastAsia"/>
                <w:color w:val="auto"/>
                <w:lang w:val="en-US" w:eastAsia="zh-CN"/>
              </w:rPr>
              <w:t xml:space="preserve">  </w:t>
            </w:r>
            <w:r>
              <w:rPr>
                <w:rFonts w:hint="eastAsia"/>
                <w:color w:val="auto"/>
              </w:rPr>
              <w:t xml:space="preserve">  4</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风口布置          </w:t>
            </w:r>
            <w:r>
              <w:rPr>
                <w:rFonts w:hint="eastAsia"/>
                <w:color w:val="auto"/>
                <w:lang w:val="en-US" w:eastAsia="zh-CN"/>
              </w:rPr>
              <w:t xml:space="preserve">  </w:t>
            </w:r>
            <w:r>
              <w:rPr>
                <w:rFonts w:hint="eastAsia"/>
                <w:color w:val="auto"/>
              </w:rPr>
              <w:t xml:space="preserve">  炉壁水平布置</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炉壳直径          </w:t>
            </w:r>
            <w:r>
              <w:rPr>
                <w:rFonts w:hint="eastAsia"/>
                <w:color w:val="auto"/>
                <w:lang w:val="en-US" w:eastAsia="zh-CN"/>
              </w:rPr>
              <w:t xml:space="preserve">  </w:t>
            </w:r>
            <w:r>
              <w:rPr>
                <w:rFonts w:hint="eastAsia"/>
                <w:color w:val="auto"/>
              </w:rPr>
              <w:t xml:space="preserve">  约3000mm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炉壳高度           </w:t>
            </w:r>
            <w:r>
              <w:rPr>
                <w:rFonts w:hint="eastAsia"/>
                <w:color w:val="auto"/>
                <w:lang w:val="en-US" w:eastAsia="zh-CN"/>
              </w:rPr>
              <w:t xml:space="preserve">  </w:t>
            </w:r>
            <w:r>
              <w:rPr>
                <w:rFonts w:hint="eastAsia"/>
                <w:color w:val="auto"/>
              </w:rPr>
              <w:t xml:space="preserve"> 约4400mm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 xml:space="preserve">炉口直径            </w:t>
            </w:r>
            <w:r>
              <w:rPr>
                <w:rFonts w:hint="eastAsia"/>
                <w:color w:val="auto"/>
                <w:lang w:val="en-US" w:eastAsia="zh-CN"/>
              </w:rPr>
              <w:t xml:space="preserve">  </w:t>
            </w:r>
            <w:r>
              <w:rPr>
                <w:rFonts w:hint="eastAsia"/>
                <w:color w:val="auto"/>
              </w:rPr>
              <w:t>约1200mm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rPr>
            </w:pPr>
            <w:r>
              <w:rPr>
                <w:rFonts w:hint="eastAsia"/>
                <w:color w:val="auto"/>
              </w:rPr>
              <w:t xml:space="preserve">设备冷却水进水压力    </w:t>
            </w:r>
            <w:r>
              <w:rPr>
                <w:rFonts w:hint="default" w:ascii="Times New Roman" w:hAnsi="Times New Roman" w:cs="Times New Roman"/>
                <w:color w:val="auto"/>
              </w:rPr>
              <w:t>≥</w:t>
            </w:r>
            <w:r>
              <w:rPr>
                <w:rFonts w:hint="eastAsia"/>
                <w:color w:val="auto"/>
              </w:rPr>
              <w:t>0.4MPa</w:t>
            </w:r>
          </w:p>
          <w:p>
            <w:pPr>
              <w:pStyle w:val="2"/>
              <w:keepNext w:val="0"/>
              <w:keepLines w:val="0"/>
              <w:pageBreakBefore w:val="0"/>
              <w:widowControl w:val="0"/>
              <w:kinsoku/>
              <w:wordWrap/>
              <w:overflowPunct/>
              <w:topLinePunct w:val="0"/>
              <w:autoSpaceDE/>
              <w:autoSpaceDN/>
              <w:bidi w:val="0"/>
              <w:adjustRightInd/>
              <w:snapToGrid/>
              <w:spacing w:after="0" w:line="480" w:lineRule="exact"/>
              <w:textAlignment w:val="auto"/>
              <w:rPr>
                <w:color w:val="auto"/>
              </w:rPr>
            </w:pPr>
            <w:r>
              <w:rPr>
                <w:rFonts w:hint="eastAsia"/>
                <w:color w:val="auto"/>
              </w:rPr>
              <w:t>该工序产生高温烟气</w:t>
            </w:r>
            <w:r>
              <w:rPr>
                <w:rFonts w:hint="eastAsia"/>
                <w:color w:val="auto"/>
                <w:lang w:eastAsia="zh-CN"/>
              </w:rPr>
              <w:t>(</w:t>
            </w:r>
            <w:r>
              <w:rPr>
                <w:rFonts w:hint="eastAsia"/>
                <w:color w:val="auto"/>
                <w:lang w:val="en-US" w:eastAsia="zh-CN"/>
              </w:rPr>
              <w:t>G3</w:t>
            </w:r>
            <w:r>
              <w:rPr>
                <w:rFonts w:hint="eastAsia"/>
                <w:color w:val="auto"/>
                <w:lang w:eastAsia="zh-CN"/>
              </w:rPr>
              <w:t>)</w:t>
            </w:r>
            <w:r>
              <w:rPr>
                <w:rFonts w:hint="eastAsia"/>
                <w:color w:val="auto"/>
              </w:rPr>
              <w:t>、</w:t>
            </w:r>
            <w:r>
              <w:rPr>
                <w:rFonts w:hint="eastAsia"/>
                <w:color w:val="auto"/>
                <w:lang w:val="en-US" w:eastAsia="zh-CN"/>
              </w:rPr>
              <w:t>冶炼废渣(S3)</w:t>
            </w:r>
            <w:r>
              <w:rPr>
                <w:rFonts w:hint="eastAsia"/>
                <w:color w:val="auto"/>
              </w:rPr>
              <w:t>和间接冷却排水</w:t>
            </w:r>
            <w:r>
              <w:rPr>
                <w:rFonts w:hint="eastAsia"/>
                <w:color w:val="auto"/>
                <w:lang w:eastAsia="zh-CN"/>
              </w:rPr>
              <w:t>(</w:t>
            </w:r>
            <w:r>
              <w:rPr>
                <w:rFonts w:hint="eastAsia"/>
                <w:color w:val="auto"/>
                <w:lang w:val="en-US" w:eastAsia="zh-CN"/>
              </w:rPr>
              <w:t>W1</w:t>
            </w:r>
            <w:r>
              <w:rPr>
                <w:rFonts w:hint="eastAsia"/>
                <w:color w:val="auto"/>
                <w:lang w:eastAsia="zh-CN"/>
              </w:rPr>
              <w:t>)</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color w:val="auto"/>
                <w:lang w:val="en-US" w:eastAsia="zh-CN"/>
              </w:rPr>
            </w:pPr>
            <w:r>
              <w:rPr>
                <w:rFonts w:hint="eastAsia"/>
                <w:color w:val="auto"/>
                <w:lang w:val="en-US" w:eastAsia="zh-CN"/>
              </w:rPr>
              <w:t>AOD精炼后的钢水，根据客户需求进入LF炉和VOD炉精炼。</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b/>
                <w:bCs/>
                <w:color w:val="auto"/>
                <w:lang w:val="en-US" w:eastAsia="zh-CN"/>
              </w:rPr>
            </w:pPr>
            <w:r>
              <w:rPr>
                <w:rFonts w:hint="eastAsia"/>
                <w:b/>
                <w:bCs/>
                <w:color w:val="auto"/>
                <w:lang w:eastAsia="zh-CN"/>
              </w:rPr>
              <w:t>(</w:t>
            </w:r>
            <w:r>
              <w:rPr>
                <w:rFonts w:hint="eastAsia"/>
                <w:b/>
                <w:bCs/>
                <w:color w:val="auto"/>
                <w:lang w:val="en-US" w:eastAsia="zh-CN"/>
              </w:rPr>
              <w:t>5</w:t>
            </w:r>
            <w:r>
              <w:rPr>
                <w:rFonts w:hint="eastAsia"/>
                <w:b/>
                <w:bCs/>
                <w:color w:val="auto"/>
                <w:lang w:eastAsia="zh-CN"/>
              </w:rPr>
              <w:t>)</w:t>
            </w:r>
            <w:r>
              <w:rPr>
                <w:rFonts w:hint="eastAsia"/>
                <w:b/>
                <w:bCs/>
                <w:color w:val="auto"/>
                <w:lang w:val="en-US" w:eastAsia="zh-CN"/>
              </w:rPr>
              <w:t xml:space="preserve"> LF炉精炼</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lang w:val="en-US" w:eastAsia="zh-CN"/>
              </w:rPr>
              <w:t>LF</w:t>
            </w:r>
            <w:r>
              <w:rPr>
                <w:color w:val="auto"/>
              </w:rPr>
              <w:t>炉受钢后接通氩气</w:t>
            </w:r>
            <w:r>
              <w:rPr>
                <w:rFonts w:hint="eastAsia"/>
                <w:color w:val="auto"/>
                <w:lang w:eastAsia="zh-CN"/>
              </w:rPr>
              <w:t>(</w:t>
            </w:r>
            <w:r>
              <w:rPr>
                <w:color w:val="auto"/>
              </w:rPr>
              <w:t>钢液搅拌均匀，有助于去除气体和夹杂物</w:t>
            </w:r>
            <w:r>
              <w:rPr>
                <w:rFonts w:hint="eastAsia"/>
                <w:color w:val="auto"/>
                <w:lang w:eastAsia="zh-CN"/>
              </w:rPr>
              <w:t>)</w:t>
            </w:r>
            <w:r>
              <w:rPr>
                <w:color w:val="auto"/>
              </w:rPr>
              <w:t>，在还原气氛下</w:t>
            </w:r>
            <w:r>
              <w:rPr>
                <w:rFonts w:hint="eastAsia"/>
                <w:color w:val="auto"/>
                <w:lang w:val="en-US" w:eastAsia="zh-CN"/>
              </w:rPr>
              <w:t>喂丝</w:t>
            </w:r>
            <w:r>
              <w:rPr>
                <w:rFonts w:hint="eastAsia"/>
                <w:color w:val="auto"/>
                <w:lang w:eastAsia="zh-CN"/>
              </w:rPr>
              <w:t>(</w:t>
            </w:r>
            <w:r>
              <w:rPr>
                <w:color w:val="auto"/>
              </w:rPr>
              <w:t>铝丝</w:t>
            </w:r>
            <w:r>
              <w:rPr>
                <w:rFonts w:hint="eastAsia"/>
                <w:color w:val="auto"/>
                <w:lang w:eastAsia="zh-CN"/>
              </w:rPr>
              <w:t>)</w:t>
            </w:r>
            <w:r>
              <w:rPr>
                <w:color w:val="auto"/>
              </w:rPr>
              <w:t>，通过电极埋弧造渣，完成钢液脱硫、脱氧，测温取样后加入合金料调整钢液成分，直至满足钢种成分要求，最后吊走钢包。项目LF精炼炉平均作业时间为</w:t>
            </w:r>
            <w:r>
              <w:rPr>
                <w:rFonts w:hint="eastAsia"/>
                <w:color w:val="auto"/>
                <w:lang w:val="en-US" w:eastAsia="zh-CN"/>
              </w:rPr>
              <w:t>2.5h</w:t>
            </w:r>
            <w:r>
              <w:rPr>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LF炉主要技术参数如下：</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eastAsia"/>
                <w:color w:val="auto"/>
              </w:rPr>
              <w:t>公称容量</w:t>
            </w:r>
            <w:r>
              <w:rPr>
                <w:rFonts w:hint="default" w:ascii="Times New Roman" w:hAnsi="Times New Roman" w:cs="Times New Roman"/>
                <w:color w:val="auto"/>
              </w:rPr>
              <w:t xml:space="preserve">            </w:t>
            </w:r>
            <w:r>
              <w:rPr>
                <w:rFonts w:hint="default" w:ascii="Times New Roman" w:hAnsi="Times New Roman" w:cs="Times New Roman"/>
                <w:color w:val="auto"/>
                <w:lang w:val="en-US" w:eastAsia="zh-CN"/>
              </w:rPr>
              <w:t>30</w:t>
            </w:r>
            <w:r>
              <w:rPr>
                <w:rFonts w:hint="default" w:ascii="Times New Roman" w:hAnsi="Times New Roman" w:cs="Times New Roman"/>
                <w:color w:val="auto"/>
              </w:rPr>
              <w:t>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熔池直径            φ1400mm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变压器额定容量      3000kVA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变压器一次电压      10kV</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变压器二次电压      185~170~135V</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变压器二次额定电流  10189A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氩气工作压力        0.6</w:t>
            </w:r>
            <w:r>
              <w:rPr>
                <w:rFonts w:hint="default" w:ascii="Times New Roman" w:hAnsi="Times New Roman" w:cs="Times New Roman"/>
                <w:color w:val="auto"/>
                <w:lang w:val="en-US" w:eastAsia="zh-CN"/>
              </w:rPr>
              <w:t>~</w:t>
            </w:r>
            <w:r>
              <w:rPr>
                <w:rFonts w:hint="default" w:ascii="Times New Roman" w:hAnsi="Times New Roman" w:cs="Times New Roman"/>
                <w:color w:val="auto"/>
              </w:rPr>
              <w:t>0.8MPa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氩气耗量            200L/min</w:t>
            </w:r>
          </w:p>
          <w:p>
            <w:pPr>
              <w:pStyle w:val="2"/>
              <w:keepNext w:val="0"/>
              <w:keepLines w:val="0"/>
              <w:pageBreakBefore w:val="0"/>
              <w:widowControl w:val="0"/>
              <w:kinsoku/>
              <w:wordWrap/>
              <w:overflowPunct/>
              <w:topLinePunct w:val="0"/>
              <w:autoSpaceDE/>
              <w:autoSpaceDN/>
              <w:bidi w:val="0"/>
              <w:adjustRightInd/>
              <w:snapToGrid/>
              <w:spacing w:after="0" w:line="480" w:lineRule="exact"/>
              <w:textAlignment w:val="auto"/>
              <w:rPr>
                <w:rFonts w:hint="default"/>
                <w:color w:val="auto"/>
              </w:rPr>
            </w:pPr>
            <w:r>
              <w:rPr>
                <w:rFonts w:hint="eastAsia"/>
                <w:color w:val="auto"/>
              </w:rPr>
              <w:t>该工序产生高温烟气</w:t>
            </w:r>
            <w:r>
              <w:rPr>
                <w:rFonts w:hint="eastAsia"/>
                <w:color w:val="auto"/>
                <w:lang w:eastAsia="zh-CN"/>
              </w:rPr>
              <w:t>(</w:t>
            </w:r>
            <w:r>
              <w:rPr>
                <w:rFonts w:hint="eastAsia"/>
                <w:color w:val="auto"/>
                <w:lang w:val="en-US" w:eastAsia="zh-CN"/>
              </w:rPr>
              <w:t>G4</w:t>
            </w:r>
            <w:r>
              <w:rPr>
                <w:rFonts w:hint="eastAsia"/>
                <w:color w:val="auto"/>
                <w:lang w:eastAsia="zh-CN"/>
              </w:rPr>
              <w:t>)</w:t>
            </w:r>
            <w:r>
              <w:rPr>
                <w:rFonts w:hint="eastAsia"/>
                <w:color w:val="auto"/>
              </w:rPr>
              <w:t>、</w:t>
            </w:r>
            <w:r>
              <w:rPr>
                <w:rFonts w:hint="eastAsia"/>
                <w:color w:val="auto"/>
                <w:lang w:val="en-US" w:eastAsia="zh-CN"/>
              </w:rPr>
              <w:t>冶炼废渣(S4)</w:t>
            </w:r>
            <w:r>
              <w:rPr>
                <w:rFonts w:hint="eastAsia"/>
                <w:color w:val="auto"/>
              </w:rPr>
              <w:t>和间接冷却排水</w:t>
            </w:r>
            <w:r>
              <w:rPr>
                <w:rFonts w:hint="eastAsia"/>
                <w:color w:val="auto"/>
                <w:lang w:eastAsia="zh-CN"/>
              </w:rPr>
              <w:t>(</w:t>
            </w:r>
            <w:r>
              <w:rPr>
                <w:rFonts w:hint="eastAsia"/>
                <w:color w:val="auto"/>
                <w:lang w:val="en-US" w:eastAsia="zh-CN"/>
              </w:rPr>
              <w:t>W1</w:t>
            </w:r>
            <w:r>
              <w:rPr>
                <w:rFonts w:hint="eastAsia"/>
                <w:color w:val="auto"/>
                <w:lang w:eastAsia="zh-CN"/>
              </w:rPr>
              <w:t>)</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b/>
                <w:bCs/>
                <w:color w:val="auto"/>
                <w:lang w:val="en-US" w:eastAsia="zh-CN"/>
              </w:rPr>
            </w:pPr>
            <w:r>
              <w:rPr>
                <w:rFonts w:hint="eastAsia"/>
                <w:b/>
                <w:bCs/>
                <w:color w:val="auto"/>
                <w:lang w:eastAsia="zh-CN"/>
              </w:rPr>
              <w:t>(</w:t>
            </w:r>
            <w:r>
              <w:rPr>
                <w:rFonts w:hint="eastAsia"/>
                <w:b/>
                <w:bCs/>
                <w:color w:val="auto"/>
                <w:lang w:val="en-US" w:eastAsia="zh-CN"/>
              </w:rPr>
              <w:t>6</w:t>
            </w:r>
            <w:r>
              <w:rPr>
                <w:rFonts w:hint="eastAsia"/>
                <w:b/>
                <w:bCs/>
                <w:color w:val="auto"/>
                <w:lang w:eastAsia="zh-CN"/>
              </w:rPr>
              <w:t>)</w:t>
            </w:r>
            <w:r>
              <w:rPr>
                <w:rFonts w:hint="eastAsia"/>
                <w:b/>
                <w:bCs/>
                <w:color w:val="auto"/>
                <w:lang w:val="en-US" w:eastAsia="zh-CN"/>
              </w:rPr>
              <w:t xml:space="preserve"> VOD炉精炼</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rPr>
            </w:pPr>
            <w:r>
              <w:rPr>
                <w:rFonts w:hint="eastAsia"/>
                <w:color w:val="auto"/>
              </w:rPr>
              <w:t>V</w:t>
            </w:r>
            <w:r>
              <w:rPr>
                <w:rFonts w:hint="eastAsia"/>
                <w:color w:val="auto"/>
                <w:lang w:val="en-US" w:eastAsia="zh-CN"/>
              </w:rPr>
              <w:t>O</w:t>
            </w:r>
            <w:r>
              <w:rPr>
                <w:rFonts w:hint="eastAsia"/>
                <w:color w:val="auto"/>
              </w:rPr>
              <w:t>D炉在真空下吹氧、脱碳、真空除气、真空下合金成分微调，达到精炼钢目的。基本工序为：吊钢包到VD炉处理工位座入真空罐，移动罐盖车到位并落实罐盖，开启主截止阀，抽真空9分钟，VD保持真空15分钟。关闭主截止阀，提升罐盖，罐盖车开至待机位，喂丝、软搅拌、测温取样、定氢、定氧，加保温剂等。</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VOD炉主要技术参数如下：</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eastAsia"/>
                <w:color w:val="auto"/>
              </w:rPr>
              <w:t>公称容量</w:t>
            </w:r>
            <w:r>
              <w:rPr>
                <w:rFonts w:hint="default" w:ascii="Times New Roman" w:hAnsi="Times New Roman" w:cs="Times New Roman"/>
                <w:color w:val="auto"/>
              </w:rPr>
              <w:t xml:space="preserve">        </w:t>
            </w:r>
            <w:r>
              <w:rPr>
                <w:rFonts w:hint="eastAsia" w:cs="Times New Roman"/>
                <w:color w:val="auto"/>
                <w:lang w:val="en-US" w:eastAsia="zh-CN"/>
              </w:rPr>
              <w:t xml:space="preserve">    </w:t>
            </w:r>
            <w:r>
              <w:rPr>
                <w:rFonts w:hint="default" w:ascii="Times New Roman" w:hAnsi="Times New Roman" w:cs="Times New Roman"/>
                <w:color w:val="auto"/>
              </w:rPr>
              <w:t xml:space="preserve">  </w:t>
            </w:r>
            <w:r>
              <w:rPr>
                <w:rFonts w:hint="eastAsia" w:cs="Times New Roman"/>
                <w:color w:val="auto"/>
                <w:lang w:val="en-US" w:eastAsia="zh-CN"/>
              </w:rPr>
              <w:t>3</w:t>
            </w:r>
            <w:r>
              <w:rPr>
                <w:rFonts w:hint="default" w:ascii="Times New Roman" w:hAnsi="Times New Roman" w:cs="Times New Roman"/>
                <w:color w:val="auto"/>
              </w:rPr>
              <w:t>0t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钢包自由空间          ≥1000mm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真空罐直径            4200mm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真空罐高度            4600mm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罐盖直径              4400mm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罐盖总高度            1400mm</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吹氩系统压力          0.8</w:t>
            </w:r>
            <w:r>
              <w:rPr>
                <w:rFonts w:hint="eastAsia" w:cs="Times New Roman"/>
                <w:color w:val="auto"/>
                <w:lang w:val="en-US" w:eastAsia="zh-CN"/>
              </w:rPr>
              <w:t>~</w:t>
            </w:r>
            <w:r>
              <w:rPr>
                <w:rFonts w:hint="default" w:ascii="Times New Roman" w:hAnsi="Times New Roman" w:cs="Times New Roman"/>
                <w:color w:val="auto"/>
              </w:rPr>
              <w:t>1.2MPa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吹氩系统耗量          175NL/min</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压缩空气压力          0.5</w:t>
            </w:r>
            <w:r>
              <w:rPr>
                <w:rFonts w:hint="eastAsia" w:cs="Times New Roman"/>
                <w:color w:val="auto"/>
                <w:lang w:val="en-US" w:eastAsia="zh-CN"/>
              </w:rPr>
              <w:t>~</w:t>
            </w:r>
            <w:r>
              <w:rPr>
                <w:rFonts w:hint="default" w:ascii="Times New Roman" w:hAnsi="Times New Roman" w:cs="Times New Roman"/>
                <w:color w:val="auto"/>
              </w:rPr>
              <w:t>0.6MPa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压缩空气最大耗量      2Nm</w:t>
            </w:r>
            <w:r>
              <w:rPr>
                <w:rFonts w:hint="default" w:ascii="Times New Roman" w:hAnsi="Times New Roman" w:cs="Times New Roman"/>
                <w:color w:val="auto"/>
                <w:vertAlign w:val="superscript"/>
              </w:rPr>
              <w:t>3</w:t>
            </w:r>
            <w:r>
              <w:rPr>
                <w:rFonts w:hint="default" w:ascii="Times New Roman" w:hAnsi="Times New Roman" w:cs="Times New Roman"/>
                <w:color w:val="auto"/>
              </w:rPr>
              <w:t>/min</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设备冷却水进水压力    ≥0.4MPa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设备冷却水耗量        40m3/h</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真空泵系统工作真空度  67Pa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泵口极限真空度        ≤20Pa</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rPr>
            </w:pPr>
            <w:r>
              <w:rPr>
                <w:rFonts w:hint="default" w:ascii="Times New Roman" w:hAnsi="Times New Roman" w:cs="Times New Roman"/>
                <w:color w:val="auto"/>
              </w:rPr>
              <w:t>抽气能力              ≥40000m</w:t>
            </w:r>
            <w:r>
              <w:rPr>
                <w:rFonts w:hint="default" w:ascii="Times New Roman" w:hAnsi="Times New Roman" w:cs="Times New Roman"/>
                <w:color w:val="auto"/>
                <w:vertAlign w:val="superscript"/>
              </w:rPr>
              <w:t>3</w:t>
            </w:r>
            <w:r>
              <w:rPr>
                <w:rFonts w:hint="default" w:ascii="Times New Roman" w:hAnsi="Times New Roman" w:cs="Times New Roman"/>
                <w:color w:val="auto"/>
              </w:rPr>
              <w:t>/h</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lang w:eastAsia="zh-CN"/>
              </w:rPr>
            </w:pPr>
            <w:r>
              <w:rPr>
                <w:rFonts w:hint="eastAsia"/>
                <w:color w:val="auto"/>
              </w:rPr>
              <w:t>该工序产生高温烟气</w:t>
            </w:r>
            <w:r>
              <w:rPr>
                <w:rFonts w:hint="eastAsia"/>
                <w:color w:val="auto"/>
                <w:lang w:eastAsia="zh-CN"/>
              </w:rPr>
              <w:t>(</w:t>
            </w:r>
            <w:r>
              <w:rPr>
                <w:rFonts w:hint="eastAsia"/>
                <w:color w:val="auto"/>
                <w:lang w:val="en-US" w:eastAsia="zh-CN"/>
              </w:rPr>
              <w:t>G5</w:t>
            </w:r>
            <w:r>
              <w:rPr>
                <w:rFonts w:hint="eastAsia"/>
                <w:color w:val="auto"/>
                <w:lang w:eastAsia="zh-CN"/>
              </w:rPr>
              <w:t>)</w:t>
            </w:r>
            <w:r>
              <w:rPr>
                <w:rFonts w:hint="eastAsia"/>
                <w:color w:val="auto"/>
              </w:rPr>
              <w:t>、</w:t>
            </w:r>
            <w:r>
              <w:rPr>
                <w:rFonts w:hint="eastAsia"/>
                <w:color w:val="auto"/>
                <w:lang w:val="en-US" w:eastAsia="zh-CN"/>
              </w:rPr>
              <w:t>冶炼废渣(S5)</w:t>
            </w:r>
            <w:r>
              <w:rPr>
                <w:rFonts w:hint="eastAsia"/>
                <w:color w:val="auto"/>
              </w:rPr>
              <w:t>和间接冷却排水</w:t>
            </w:r>
            <w:r>
              <w:rPr>
                <w:rFonts w:hint="eastAsia"/>
                <w:color w:val="auto"/>
                <w:lang w:eastAsia="zh-CN"/>
              </w:rPr>
              <w:t>(</w:t>
            </w:r>
            <w:r>
              <w:rPr>
                <w:rFonts w:hint="eastAsia"/>
                <w:color w:val="auto"/>
                <w:lang w:val="en-US" w:eastAsia="zh-CN"/>
              </w:rPr>
              <w:t>W1</w:t>
            </w:r>
            <w:r>
              <w:rPr>
                <w:rFonts w:hint="eastAsia"/>
                <w:color w:val="auto"/>
                <w:lang w:eastAsia="zh-CN"/>
              </w:rPr>
              <w:t>)</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7</w:t>
            </w:r>
            <w:r>
              <w:rPr>
                <w:rFonts w:hint="eastAsia"/>
                <w:b/>
                <w:bCs/>
                <w:color w:val="auto"/>
                <w:lang w:eastAsia="zh-CN"/>
              </w:rPr>
              <w:t>)</w:t>
            </w:r>
            <w:r>
              <w:rPr>
                <w:rFonts w:hint="eastAsia"/>
                <w:b/>
                <w:bCs/>
                <w:color w:val="auto"/>
                <w:lang w:val="en-US" w:eastAsia="zh-CN"/>
              </w:rPr>
              <w:t xml:space="preserve"> 浇铸</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根据产品要求不同，选用不同规格的钢坯模，每次浇铸前对钢坯模进行打磨等表面机械清理，将清理后的钢坯模放入浇铸工位。项目熔炼</w:t>
            </w:r>
            <w:r>
              <w:rPr>
                <w:rFonts w:hint="eastAsia"/>
                <w:color w:val="auto"/>
                <w:lang w:val="en-US" w:eastAsia="zh-CN"/>
              </w:rPr>
              <w:t>钢水</w:t>
            </w:r>
            <w:r>
              <w:rPr>
                <w:rFonts w:hint="eastAsia"/>
                <w:color w:val="auto"/>
              </w:rPr>
              <w:t>采用浇铸，熔炼好的金属溶液通过行车吊运至浇铸工位，缓慢倾动浇包，金属溶液注入铸型内，进行浇铸。浇铸完成后，利用热胀冷缩原理，铸件自然冷却后，自动脱模。</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rPr>
            </w:pPr>
            <w:r>
              <w:rPr>
                <w:rFonts w:hint="eastAsia"/>
                <w:color w:val="auto"/>
              </w:rPr>
              <w:t>该工序</w:t>
            </w:r>
            <w:r>
              <w:rPr>
                <w:rFonts w:hint="eastAsia"/>
                <w:color w:val="auto"/>
                <w:lang w:val="en-US" w:eastAsia="zh-CN"/>
              </w:rPr>
              <w:t>产生烟尘</w:t>
            </w:r>
            <w:r>
              <w:rPr>
                <w:rFonts w:hint="eastAsia"/>
                <w:color w:val="auto"/>
                <w:lang w:eastAsia="zh-CN"/>
              </w:rPr>
              <w:t>(</w:t>
            </w:r>
            <w:r>
              <w:rPr>
                <w:rFonts w:hint="eastAsia"/>
                <w:color w:val="auto"/>
                <w:lang w:val="en-US" w:eastAsia="zh-CN"/>
              </w:rPr>
              <w:t>G6</w:t>
            </w:r>
            <w:r>
              <w:rPr>
                <w:rFonts w:hint="eastAsia"/>
                <w:color w:val="auto"/>
                <w:lang w:eastAsia="zh-CN"/>
              </w:rPr>
              <w:t>)</w:t>
            </w:r>
            <w:r>
              <w:rPr>
                <w:rFonts w:hint="eastAsia"/>
                <w:color w:val="auto"/>
              </w:rPr>
              <w:t>、</w:t>
            </w:r>
            <w:r>
              <w:rPr>
                <w:rFonts w:hint="eastAsia"/>
                <w:color w:val="auto"/>
                <w:lang w:val="en-US" w:eastAsia="zh-CN"/>
              </w:rPr>
              <w:t>钢渣(S6)</w:t>
            </w:r>
            <w:r>
              <w:rPr>
                <w:rFonts w:hint="eastAsia"/>
                <w:color w:val="auto"/>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8</w:t>
            </w:r>
            <w:r>
              <w:rPr>
                <w:rFonts w:hint="eastAsia"/>
                <w:b/>
                <w:bCs/>
                <w:color w:val="auto"/>
                <w:lang w:eastAsia="zh-CN"/>
              </w:rPr>
              <w:t>)</w:t>
            </w:r>
            <w:r>
              <w:rPr>
                <w:rFonts w:hint="eastAsia"/>
                <w:b/>
                <w:bCs/>
                <w:color w:val="auto"/>
                <w:lang w:val="en-US" w:eastAsia="zh-CN"/>
              </w:rPr>
              <w:t xml:space="preserve"> 热处理</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lang w:eastAsia="zh-CN"/>
              </w:rPr>
            </w:pPr>
            <w:r>
              <w:rPr>
                <w:rFonts w:hint="default" w:ascii="Times New Roman" w:hAnsi="Times New Roman" w:cs="Times New Roman"/>
                <w:color w:val="auto"/>
              </w:rPr>
              <w:t>为保证产品将来应用时所需的硬度和耐磨强度，需要对其进行热处理。项目采用燃气式台车加热炉完成钢坯的热处理。热处理主要为正火及回火。正火是将钢构件加热到Ac3</w:t>
            </w:r>
            <w:r>
              <w:rPr>
                <w:rFonts w:hint="eastAsia" w:cs="Times New Roman"/>
                <w:color w:val="auto"/>
                <w:lang w:eastAsia="zh-CN"/>
              </w:rPr>
              <w:t>(</w:t>
            </w:r>
            <w:r>
              <w:rPr>
                <w:rFonts w:hint="default" w:ascii="Times New Roman" w:hAnsi="Times New Roman" w:cs="Times New Roman"/>
                <w:color w:val="auto"/>
              </w:rPr>
              <w:t>Ac是指加热时自由铁素体全部转变为奥氏体的终了温度</w:t>
            </w:r>
            <w:r>
              <w:rPr>
                <w:rFonts w:hint="eastAsia" w:cs="Times New Roman"/>
                <w:color w:val="auto"/>
                <w:lang w:eastAsia="zh-CN"/>
              </w:rPr>
              <w:t>)</w:t>
            </w:r>
            <w:r>
              <w:rPr>
                <w:rFonts w:hint="default" w:ascii="Times New Roman" w:hAnsi="Times New Roman" w:cs="Times New Roman"/>
                <w:color w:val="auto"/>
              </w:rPr>
              <w:t>温度以上30</w:t>
            </w:r>
            <w:r>
              <w:rPr>
                <w:rFonts w:hint="eastAsia" w:ascii="Times New Roman" w:hAnsi="Times New Roman" w:cs="Times New Roman"/>
                <w:color w:val="auto"/>
                <w:lang w:val="en-US" w:eastAsia="zh-CN"/>
              </w:rPr>
              <w:t>~</w:t>
            </w:r>
            <w:r>
              <w:rPr>
                <w:rFonts w:hint="default" w:ascii="Times New Roman" w:hAnsi="Times New Roman" w:cs="Times New Roman"/>
                <w:color w:val="auto"/>
              </w:rPr>
              <w:t>50℃后，保温一段时间出炉空冷，其目的是在于使晶粒细化和碳化物分布均匀化。回火是工件冷却后加热到Ac1</w:t>
            </w:r>
            <w:r>
              <w:rPr>
                <w:rFonts w:hint="eastAsia" w:cs="Times New Roman"/>
                <w:color w:val="auto"/>
                <w:lang w:eastAsia="zh-CN"/>
              </w:rPr>
              <w:t>(</w:t>
            </w:r>
            <w:r>
              <w:rPr>
                <w:rFonts w:hint="default" w:ascii="Times New Roman" w:hAnsi="Times New Roman" w:cs="Times New Roman"/>
                <w:color w:val="auto"/>
              </w:rPr>
              <w:t>加热时珠光体向奥氏体转变的开始温度</w:t>
            </w:r>
            <w:r>
              <w:rPr>
                <w:rFonts w:hint="eastAsia" w:cs="Times New Roman"/>
                <w:color w:val="auto"/>
                <w:lang w:eastAsia="zh-CN"/>
              </w:rPr>
              <w:t>)</w:t>
            </w:r>
            <w:r>
              <w:rPr>
                <w:rFonts w:hint="default" w:ascii="Times New Roman" w:hAnsi="Times New Roman" w:cs="Times New Roman"/>
                <w:color w:val="auto"/>
              </w:rPr>
              <w:t>以下的某一温度，保温一定时间，然后冷却到室温的热处理工艺。项目热处理通过正火、回火等热处理使</w:t>
            </w:r>
            <w:r>
              <w:rPr>
                <w:rFonts w:hint="eastAsia" w:ascii="Times New Roman" w:hAnsi="Times New Roman" w:cs="Times New Roman"/>
                <w:color w:val="auto"/>
                <w:lang w:val="en-US" w:eastAsia="zh-CN"/>
              </w:rPr>
              <w:t>铸件</w:t>
            </w:r>
            <w:r>
              <w:rPr>
                <w:rFonts w:hint="default" w:ascii="Times New Roman" w:hAnsi="Times New Roman" w:cs="Times New Roman"/>
                <w:color w:val="auto"/>
              </w:rPr>
              <w:t>经过工件软化，改善塑性和韧性，使化学成分均匀化，去除残余应力，得到预期的物理性能</w:t>
            </w:r>
            <w:r>
              <w:rPr>
                <w:rFonts w:hint="default" w:ascii="Times New Roman" w:hAnsi="Times New Roman" w:cs="Times New Roman"/>
                <w:color w:val="auto"/>
                <w:lang w:eastAsia="zh-CN"/>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auto"/>
                <w:lang w:val="en-US" w:eastAsia="zh-CN"/>
              </w:rPr>
            </w:pPr>
            <w:r>
              <w:rPr>
                <w:rFonts w:hint="eastAsia"/>
                <w:color w:val="auto"/>
                <w:lang w:val="en-US" w:eastAsia="zh-CN"/>
              </w:rPr>
              <w:t>项目设置4台燃气式台车热处理炉，均采用天然气作为燃料，燃烧过程</w:t>
            </w:r>
            <w:r>
              <w:rPr>
                <w:rFonts w:hint="eastAsia" w:ascii="Times New Roman" w:hAnsi="Times New Roman" w:cs="Times New Roman"/>
                <w:color w:val="auto"/>
                <w:lang w:val="en-US" w:eastAsia="zh-CN"/>
              </w:rPr>
              <w:t>产生燃烧废气</w:t>
            </w:r>
            <w:r>
              <w:rPr>
                <w:rFonts w:hint="eastAsia" w:cs="Times New Roman"/>
                <w:color w:val="auto"/>
                <w:lang w:val="en-US" w:eastAsia="zh-CN"/>
              </w:rPr>
              <w:t>(</w:t>
            </w:r>
            <w:r>
              <w:rPr>
                <w:rFonts w:hint="eastAsia" w:ascii="Times New Roman" w:hAnsi="Times New Roman" w:cs="Times New Roman"/>
                <w:color w:val="auto"/>
                <w:lang w:val="en-US" w:eastAsia="zh-CN"/>
              </w:rPr>
              <w:t>G7</w:t>
            </w:r>
            <w:r>
              <w:rPr>
                <w:rFonts w:hint="eastAsia" w:cs="Times New Roman"/>
                <w:color w:val="auto"/>
                <w:lang w:val="en-US" w:eastAsia="zh-CN"/>
              </w:rPr>
              <w:t>)</w:t>
            </w:r>
            <w:r>
              <w:rPr>
                <w:rFonts w:hint="eastAsia" w:ascii="Times New Roman" w:hAnsi="Times New Roman" w:cs="Times New Roman"/>
                <w:color w:val="auto"/>
                <w:lang w:val="en-US" w:eastAsia="zh-CN"/>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9</w:t>
            </w:r>
            <w:r>
              <w:rPr>
                <w:rFonts w:hint="eastAsia"/>
                <w:b/>
                <w:bCs/>
                <w:color w:val="auto"/>
                <w:lang w:eastAsia="zh-CN"/>
              </w:rPr>
              <w:t>)</w:t>
            </w:r>
            <w:r>
              <w:rPr>
                <w:rFonts w:hint="eastAsia"/>
                <w:b/>
                <w:bCs/>
                <w:color w:val="auto"/>
                <w:lang w:val="en-US" w:eastAsia="zh-CN"/>
              </w:rPr>
              <w:t xml:space="preserve"> 锻压</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铸件软化后，采用液压机进行热锻成型，锻造成产品的最终形状。</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10</w:t>
            </w:r>
            <w:r>
              <w:rPr>
                <w:rFonts w:hint="eastAsia"/>
                <w:b/>
                <w:bCs/>
                <w:color w:val="auto"/>
                <w:lang w:eastAsia="zh-CN"/>
              </w:rPr>
              <w:t>)</w:t>
            </w:r>
            <w:r>
              <w:rPr>
                <w:rFonts w:hint="eastAsia"/>
                <w:b/>
                <w:bCs/>
                <w:color w:val="auto"/>
                <w:lang w:val="en-US" w:eastAsia="zh-CN"/>
              </w:rPr>
              <w:t xml:space="preserve"> 修磨</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lang w:val="en-US" w:eastAsia="zh-CN"/>
              </w:rPr>
            </w:pPr>
            <w:r>
              <w:rPr>
                <w:rFonts w:hint="eastAsia"/>
                <w:color w:val="auto"/>
                <w:lang w:val="en-US" w:eastAsia="zh-CN"/>
              </w:rPr>
              <w:t>经过锻压后的铸件剔除毛刺后即为成品。该工序产生钢渣(S7)。</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rFonts w:hint="default" w:eastAsia="宋体"/>
                <w:b/>
                <w:lang w:val="en-US" w:eastAsia="zh-CN"/>
              </w:rPr>
            </w:pPr>
            <w:r>
              <w:rPr>
                <w:rFonts w:hint="eastAsia"/>
                <w:b/>
                <w:lang w:val="en-US" w:eastAsia="zh-CN"/>
              </w:rPr>
              <w:t>2</w:t>
            </w:r>
            <w:r>
              <w:rPr>
                <w:rFonts w:hint="eastAsia"/>
                <w:b/>
              </w:rPr>
              <w:t>、</w:t>
            </w:r>
            <w:r>
              <w:rPr>
                <w:rFonts w:hint="eastAsia"/>
                <w:b/>
                <w:lang w:val="en-US" w:eastAsia="zh-CN"/>
              </w:rPr>
              <w:t>物料平衡</w:t>
            </w:r>
          </w:p>
          <w:p>
            <w:pPr>
              <w:pStyle w:val="2"/>
              <w:keepNext w:val="0"/>
              <w:keepLines w:val="0"/>
              <w:pageBreakBefore w:val="0"/>
              <w:widowControl w:val="0"/>
              <w:kinsoku/>
              <w:wordWrap/>
              <w:overflowPunct/>
              <w:topLinePunct w:val="0"/>
              <w:autoSpaceDE/>
              <w:autoSpaceDN/>
              <w:bidi w:val="0"/>
              <w:adjustRightInd/>
              <w:snapToGrid/>
              <w:spacing w:after="0" w:line="480" w:lineRule="exact"/>
              <w:textAlignment w:val="auto"/>
              <w:rPr>
                <w:rFonts w:hint="eastAsia"/>
                <w:color w:val="auto"/>
                <w:lang w:val="en-US" w:eastAsia="zh-CN"/>
              </w:rPr>
            </w:pPr>
            <w:r>
              <w:rPr>
                <w:rFonts w:hint="eastAsia"/>
                <w:color w:val="auto"/>
                <w:lang w:val="en-US" w:eastAsia="zh-CN"/>
              </w:rPr>
              <w:t>项目物料平衡见图2-4。</w: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pStyle w:val="21"/>
              <w:bidi w:val="0"/>
              <w:rPr>
                <w:rFonts w:hint="default"/>
                <w:lang w:val="en-US" w:eastAsia="zh-CN"/>
              </w:rPr>
            </w:pPr>
            <w:r>
              <w:drawing>
                <wp:inline distT="0" distB="0" distL="114300" distR="114300">
                  <wp:extent cx="4319905" cy="7051040"/>
                  <wp:effectExtent l="0" t="0" r="0" b="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17"/>
                          <a:stretch>
                            <a:fillRect/>
                          </a:stretch>
                        </pic:blipFill>
                        <pic:spPr>
                          <a:xfrm>
                            <a:off x="0" y="0"/>
                            <a:ext cx="4319905" cy="7051040"/>
                          </a:xfrm>
                          <a:prstGeom prst="rect">
                            <a:avLst/>
                          </a:prstGeom>
                          <a:noFill/>
                          <a:ln>
                            <a:noFill/>
                          </a:ln>
                        </pic:spPr>
                      </pic:pic>
                    </a:graphicData>
                  </a:graphic>
                </wp:inline>
              </w:drawing>
            </w:r>
          </w:p>
          <w:p>
            <w:pPr>
              <w:pStyle w:val="23"/>
              <w:bidi w:val="0"/>
              <w:rPr>
                <w:rFonts w:hint="default"/>
                <w:lang w:val="en-US" w:eastAsia="zh-CN"/>
              </w:rPr>
            </w:pPr>
            <w:r>
              <w:rPr>
                <w:rFonts w:hint="eastAsia"/>
                <w:lang w:val="en-US" w:eastAsia="zh-CN"/>
              </w:rPr>
              <w:t>图2-4  项目物料平衡示意图  单位：t/a</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b/>
              </w:rPr>
            </w:pPr>
            <w:r>
              <w:rPr>
                <w:rFonts w:hint="eastAsia"/>
                <w:b/>
                <w:lang w:val="en-US" w:eastAsia="zh-CN"/>
              </w:rPr>
              <w:t>3</w:t>
            </w:r>
            <w:r>
              <w:rPr>
                <w:rFonts w:hint="eastAsia"/>
                <w:b/>
              </w:rPr>
              <w:t>、产排污环节</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bCs/>
                <w:lang w:val="en-US" w:eastAsia="zh-CN"/>
              </w:rPr>
            </w:pPr>
            <w:r>
              <w:rPr>
                <w:rFonts w:hint="eastAsia"/>
                <w:bCs/>
                <w:lang w:val="en-US" w:eastAsia="zh-CN"/>
              </w:rPr>
              <w:t>项目主要产排污环节及污染因子详见表2-10。</w:t>
            </w:r>
          </w:p>
          <w:p>
            <w:pPr>
              <w:pStyle w:val="2"/>
              <w:keepNext w:val="0"/>
              <w:keepLines w:val="0"/>
              <w:pageBreakBefore w:val="0"/>
              <w:widowControl w:val="0"/>
              <w:kinsoku/>
              <w:wordWrap/>
              <w:overflowPunct/>
              <w:topLinePunct w:val="0"/>
              <w:autoSpaceDE/>
              <w:autoSpaceDN/>
              <w:bidi w:val="0"/>
              <w:adjustRightInd/>
              <w:snapToGrid/>
              <w:spacing w:after="0" w:line="480" w:lineRule="exact"/>
              <w:textAlignment w:val="auto"/>
              <w:rPr>
                <w:rFonts w:hint="eastAsia"/>
                <w:bCs/>
                <w:lang w:val="en-US" w:eastAsia="zh-CN"/>
              </w:rPr>
            </w:pP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lang w:val="en-US" w:eastAsia="zh-CN"/>
              </w:rPr>
            </w:pPr>
          </w:p>
          <w:p>
            <w:pPr>
              <w:pStyle w:val="21"/>
              <w:bidi w:val="0"/>
              <w:rPr>
                <w:rFonts w:hint="default"/>
                <w:lang w:val="en-US" w:eastAsia="zh-CN"/>
              </w:rPr>
            </w:pPr>
            <w:r>
              <w:rPr>
                <w:rFonts w:hint="eastAsia"/>
                <w:lang w:val="en-US" w:eastAsia="zh-CN"/>
              </w:rPr>
              <w:t>表2-10  项目产排污环节及污染因子一览表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6"/>
              <w:gridCol w:w="1336"/>
              <w:gridCol w:w="3216"/>
              <w:gridCol w:w="3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b/>
                      <w:bCs/>
                      <w:vertAlign w:val="baseline"/>
                      <w:lang w:val="en-US" w:eastAsia="zh-CN"/>
                    </w:rPr>
                  </w:pPr>
                  <w:r>
                    <w:rPr>
                      <w:rFonts w:hint="eastAsia"/>
                      <w:b/>
                      <w:bCs/>
                      <w:vertAlign w:val="baseline"/>
                      <w:lang w:val="en-US" w:eastAsia="zh-CN"/>
                    </w:rPr>
                    <w:t>类别</w:t>
                  </w: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b/>
                      <w:bCs/>
                      <w:vertAlign w:val="baseline"/>
                      <w:lang w:val="en-US" w:eastAsia="zh-CN"/>
                    </w:rPr>
                  </w:pPr>
                  <w:r>
                    <w:rPr>
                      <w:rFonts w:hint="eastAsia"/>
                      <w:b/>
                      <w:bCs/>
                      <w:vertAlign w:val="baseline"/>
                      <w:lang w:val="en-US" w:eastAsia="zh-CN"/>
                    </w:rPr>
                    <w:t>编号</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b/>
                      <w:bCs/>
                      <w:vertAlign w:val="baseline"/>
                      <w:lang w:val="en-US" w:eastAsia="zh-CN"/>
                    </w:rPr>
                  </w:pPr>
                  <w:r>
                    <w:rPr>
                      <w:rFonts w:hint="eastAsia"/>
                      <w:b/>
                      <w:bCs/>
                      <w:vertAlign w:val="baseline"/>
                      <w:lang w:val="en-US" w:eastAsia="zh-CN"/>
                    </w:rPr>
                    <w:t>产污环节</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b/>
                      <w:bCs/>
                      <w:vertAlign w:val="baseline"/>
                      <w:lang w:val="en-US" w:eastAsia="zh-CN"/>
                    </w:rPr>
                  </w:pPr>
                  <w:r>
                    <w:rPr>
                      <w:rFonts w:hint="eastAsia"/>
                      <w:b/>
                      <w:bCs/>
                      <w:vertAlign w:val="baseline"/>
                      <w:lang w:val="en-US" w:eastAsia="zh-CN"/>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废气</w:t>
                  </w: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G1</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原料熔化</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颗粒物、氟化物、二噁英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G2</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合金熔融</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G3</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AOD炉精炼</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G4</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LF炉精炼</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G5</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VOD炉精炼</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G6</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模铸</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eastAsia"/>
                      <w:vertAlign w:val="baseline"/>
                      <w:lang w:val="en-US" w:eastAsia="zh-CN"/>
                    </w:rPr>
                  </w:pPr>
                  <w:r>
                    <w:rPr>
                      <w:rFonts w:hint="eastAsia"/>
                      <w:vertAlign w:val="baseline"/>
                      <w:lang w:val="en-US" w:eastAsia="zh-CN"/>
                    </w:rPr>
                    <w:t>G7</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热处理</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颗粒物、二氧化硫、氮氧化物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废水</w:t>
                  </w: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W1</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设备冷却</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COD、SS等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W2</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员工生活</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COD、NH</w:t>
                  </w:r>
                  <w:r>
                    <w:rPr>
                      <w:rFonts w:hint="eastAsia"/>
                      <w:vertAlign w:val="subscript"/>
                      <w:lang w:val="en-US" w:eastAsia="zh-CN"/>
                    </w:rPr>
                    <w:t>3</w:t>
                  </w:r>
                  <w:r>
                    <w:rPr>
                      <w:rFonts w:hint="eastAsia"/>
                      <w:vertAlign w:val="baseline"/>
                      <w:lang w:val="en-US" w:eastAsia="zh-CN"/>
                    </w:rPr>
                    <w:t>-N等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噪声</w:t>
                  </w: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N</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生产设备</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固废</w:t>
                  </w: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S1</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电弧炉冶炼</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冶炼废渣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S2</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钢包翻修</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废耐火材料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S3</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AOD炉精炼</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冶炼废渣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S4</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LF炉精炼</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冶炼废渣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S5</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VOD炉精炼</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冶炼废渣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S6</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浇铸</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钢渣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S7</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修磨</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钢渣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S8</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除尘系统</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r>
                    <w:rPr>
                      <w:rFonts w:hint="eastAsia"/>
                      <w:vertAlign w:val="baseline"/>
                      <w:lang w:val="en-US" w:eastAsia="zh-CN"/>
                    </w:rPr>
                    <w:t>除尘灰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S9</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eastAsia"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设备维修</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default"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废机油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default"/>
                      <w:vertAlign w:val="baseline"/>
                      <w:lang w:val="en-US" w:eastAsia="zh-CN"/>
                    </w:rPr>
                  </w:pPr>
                </w:p>
              </w:tc>
              <w:tc>
                <w:tcPr>
                  <w:tcW w:w="77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default"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S10</w:t>
                  </w:r>
                </w:p>
              </w:tc>
              <w:tc>
                <w:tcPr>
                  <w:tcW w:w="187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default"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员工生活</w:t>
                  </w:r>
                </w:p>
              </w:tc>
              <w:tc>
                <w:tcPr>
                  <w:tcW w:w="187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both"/>
                    <w:textAlignment w:val="auto"/>
                    <w:rPr>
                      <w:rFonts w:hint="default"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生活垃圾</w:t>
                  </w:r>
                </w:p>
              </w:tc>
            </w:tr>
          </w:tbl>
          <w:p>
            <w:pPr>
              <w:keepNext w:val="0"/>
              <w:keepLines w:val="0"/>
              <w:pageBreakBefore w:val="0"/>
              <w:widowControl w:val="0"/>
              <w:kinsoku/>
              <w:wordWrap/>
              <w:overflowPunct/>
              <w:topLinePunct w:val="0"/>
              <w:autoSpaceDE/>
              <w:autoSpaceDN/>
              <w:bidi w:val="0"/>
              <w:adjustRightInd/>
              <w:snapToGrid/>
              <w:spacing w:line="480" w:lineRule="exact"/>
              <w:textAlignment w:val="auto"/>
              <w:rPr>
                <w:bCs/>
              </w:rPr>
            </w:pPr>
          </w:p>
          <w:p>
            <w:pPr>
              <w:keepNext w:val="0"/>
              <w:keepLines w:val="0"/>
              <w:pageBreakBefore w:val="0"/>
              <w:widowControl w:val="0"/>
              <w:kinsoku/>
              <w:wordWrap/>
              <w:overflowPunct/>
              <w:topLinePunct w:val="0"/>
              <w:autoSpaceDE/>
              <w:autoSpaceDN/>
              <w:bidi w:val="0"/>
              <w:adjustRightInd/>
              <w:snapToGrid/>
              <w:spacing w:line="480" w:lineRule="exact"/>
              <w:textAlignment w:val="auto"/>
            </w:pPr>
          </w:p>
          <w:p>
            <w:pPr>
              <w:keepNext w:val="0"/>
              <w:keepLines w:val="0"/>
              <w:pageBreakBefore w:val="0"/>
              <w:widowControl w:val="0"/>
              <w:kinsoku/>
              <w:wordWrap/>
              <w:overflowPunct/>
              <w:topLinePunct w:val="0"/>
              <w:autoSpaceDE/>
              <w:autoSpaceDN/>
              <w:bidi w:val="0"/>
              <w:adjustRightInd/>
              <w:snapToGrid/>
              <w:spacing w:line="480" w:lineRule="exact"/>
              <w:textAlignment w:val="auto"/>
            </w:pPr>
          </w:p>
          <w:p>
            <w:pPr>
              <w:keepNext w:val="0"/>
              <w:keepLines w:val="0"/>
              <w:pageBreakBefore w:val="0"/>
              <w:widowControl w:val="0"/>
              <w:kinsoku/>
              <w:wordWrap/>
              <w:overflowPunct/>
              <w:topLinePunct w:val="0"/>
              <w:autoSpaceDE/>
              <w:autoSpaceDN/>
              <w:bidi w:val="0"/>
              <w:adjustRightInd/>
              <w:snapToGrid/>
              <w:spacing w:line="480" w:lineRule="exact"/>
              <w:textAlignment w:val="auto"/>
            </w:pPr>
          </w:p>
          <w:p>
            <w:pPr>
              <w:keepNext w:val="0"/>
              <w:keepLines w:val="0"/>
              <w:pageBreakBefore w:val="0"/>
              <w:widowControl w:val="0"/>
              <w:kinsoku/>
              <w:wordWrap/>
              <w:overflowPunct/>
              <w:topLinePunct w:val="0"/>
              <w:autoSpaceDE/>
              <w:autoSpaceDN/>
              <w:bidi w:val="0"/>
              <w:adjustRightInd/>
              <w:snapToGrid/>
              <w:spacing w:line="480" w:lineRule="exact"/>
              <w:textAlignment w:val="auto"/>
            </w:pP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48" w:hRule="atLeast"/>
          <w:jc w:val="center"/>
        </w:trPr>
        <w:tc>
          <w:tcPr>
            <w:tcW w:w="251" w:type="pct"/>
          </w:tcPr>
          <w:p>
            <w:pPr>
              <w:widowControl/>
              <w:spacing w:line="480" w:lineRule="exact"/>
              <w:ind w:firstLine="0" w:firstLineChars="0"/>
              <w:jc w:val="center"/>
              <w:rPr>
                <w:b/>
                <w:bCs/>
                <w:kern w:val="0"/>
              </w:rPr>
            </w:pPr>
            <w:r>
              <w:rPr>
                <w:b/>
                <w:bCs/>
              </w:rPr>
              <w:t>与项目有关的原有环境污染问题</w:t>
            </w:r>
          </w:p>
        </w:tc>
        <w:tc>
          <w:tcPr>
            <w:tcW w:w="4748" w:type="pct"/>
          </w:tcPr>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b/>
              </w:rPr>
            </w:pPr>
            <w:r>
              <w:rPr>
                <w:rFonts w:hint="eastAsia"/>
                <w:b/>
              </w:rPr>
              <w:t>1、环保手续履行情况</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Cs/>
                <w:color w:val="auto"/>
                <w:lang w:val="en-US" w:eastAsia="zh-CN"/>
              </w:rPr>
            </w:pPr>
            <w:r>
              <w:rPr>
                <w:rFonts w:hint="eastAsia"/>
                <w:bCs/>
                <w:color w:val="auto"/>
              </w:rPr>
              <w:t>安徽泰昌特殊合金制造有限公司现有年加工2万吨工业工件制造项目于2</w:t>
            </w:r>
            <w:r>
              <w:rPr>
                <w:bCs/>
                <w:color w:val="auto"/>
              </w:rPr>
              <w:t>019</w:t>
            </w:r>
            <w:r>
              <w:rPr>
                <w:rFonts w:hint="eastAsia"/>
                <w:bCs/>
                <w:color w:val="auto"/>
              </w:rPr>
              <w:t>年1</w:t>
            </w:r>
            <w:r>
              <w:rPr>
                <w:bCs/>
                <w:color w:val="auto"/>
              </w:rPr>
              <w:t>0</w:t>
            </w:r>
            <w:r>
              <w:rPr>
                <w:rFonts w:hint="eastAsia"/>
                <w:bCs/>
                <w:color w:val="auto"/>
              </w:rPr>
              <w:t>月怀远县发展改革委予以备案。项目主要购进牛头刨床、车床、钻铣等设备，进行2万吨/年工业工件生产，产品类别按照材质可分为铁、铬、钒及钼等工业件，尺寸有12</w:t>
            </w:r>
            <w:r>
              <w:rPr>
                <w:bCs/>
                <w:color w:val="auto"/>
              </w:rPr>
              <w:t>×</w:t>
            </w:r>
            <w:r>
              <w:rPr>
                <w:rFonts w:hint="eastAsia"/>
                <w:bCs/>
                <w:color w:val="auto"/>
              </w:rPr>
              <w:t>12寸及17</w:t>
            </w:r>
            <w:r>
              <w:rPr>
                <w:bCs/>
                <w:color w:val="auto"/>
              </w:rPr>
              <w:t>×</w:t>
            </w:r>
            <w:r>
              <w:rPr>
                <w:rFonts w:hint="eastAsia"/>
                <w:bCs/>
                <w:color w:val="auto"/>
              </w:rPr>
              <w:t>17寸。安徽泰昌特殊合金制造有限公司委托重庆九天环境影响评价有限公司编制了</w:t>
            </w:r>
            <w:r>
              <w:rPr>
                <w:rFonts w:hint="eastAsia"/>
                <w:bCs/>
                <w:color w:val="auto"/>
                <w:lang w:eastAsia="zh-CN"/>
              </w:rPr>
              <w:t>“</w:t>
            </w:r>
            <w:r>
              <w:rPr>
                <w:rFonts w:hint="eastAsia"/>
                <w:bCs/>
                <w:color w:val="auto"/>
              </w:rPr>
              <w:t>年加工2万吨工业工件制造项目</w:t>
            </w:r>
            <w:r>
              <w:rPr>
                <w:rFonts w:hint="eastAsia"/>
                <w:bCs/>
                <w:color w:val="auto"/>
                <w:lang w:eastAsia="zh-CN"/>
              </w:rPr>
              <w:t>”</w:t>
            </w:r>
            <w:r>
              <w:rPr>
                <w:rFonts w:hint="eastAsia"/>
                <w:bCs/>
                <w:color w:val="auto"/>
              </w:rPr>
              <w:t>环境影响</w:t>
            </w:r>
            <w:r>
              <w:rPr>
                <w:rFonts w:hint="eastAsia"/>
                <w:bCs/>
                <w:color w:val="auto"/>
                <w:lang w:val="en-US" w:eastAsia="zh-CN"/>
              </w:rPr>
              <w:t>报告表</w:t>
            </w:r>
            <w:r>
              <w:rPr>
                <w:rFonts w:hint="eastAsia"/>
                <w:bCs/>
                <w:color w:val="auto"/>
              </w:rPr>
              <w:t>，并由蚌埠市怀远县生态环境分局于2</w:t>
            </w:r>
            <w:r>
              <w:rPr>
                <w:bCs/>
                <w:color w:val="auto"/>
              </w:rPr>
              <w:t>019</w:t>
            </w:r>
            <w:r>
              <w:rPr>
                <w:rFonts w:hint="eastAsia"/>
                <w:bCs/>
                <w:color w:val="auto"/>
              </w:rPr>
              <w:t>年1</w:t>
            </w:r>
            <w:r>
              <w:rPr>
                <w:bCs/>
                <w:color w:val="auto"/>
              </w:rPr>
              <w:t>1</w:t>
            </w:r>
            <w:r>
              <w:rPr>
                <w:rFonts w:hint="eastAsia"/>
                <w:bCs/>
                <w:color w:val="auto"/>
              </w:rPr>
              <w:t>月以怀环函[</w:t>
            </w:r>
            <w:r>
              <w:rPr>
                <w:bCs/>
                <w:color w:val="auto"/>
              </w:rPr>
              <w:t>2019]103</w:t>
            </w:r>
            <w:r>
              <w:rPr>
                <w:rFonts w:hint="eastAsia"/>
                <w:bCs/>
                <w:color w:val="auto"/>
              </w:rPr>
              <w:t>号《关于安徽泰昌特殊合金制造有限公司“年加工2万吨工业工件制造项目”环评报告的批复》予以审批</w:t>
            </w:r>
            <w:r>
              <w:rPr>
                <w:rFonts w:hint="eastAsia"/>
                <w:bCs/>
                <w:color w:val="auto"/>
                <w:lang w:eastAsia="zh-CN"/>
              </w:rPr>
              <w:t>(</w:t>
            </w:r>
            <w:r>
              <w:rPr>
                <w:rFonts w:hint="eastAsia"/>
                <w:bCs/>
                <w:color w:val="auto"/>
              </w:rPr>
              <w:t>附件</w:t>
            </w:r>
            <w:r>
              <w:rPr>
                <w:rFonts w:hint="eastAsia"/>
                <w:bCs/>
                <w:color w:val="auto"/>
                <w:lang w:val="en-US" w:eastAsia="zh-CN"/>
              </w:rPr>
              <w:t>3</w:t>
            </w:r>
            <w:r>
              <w:rPr>
                <w:rFonts w:hint="eastAsia"/>
                <w:bCs/>
                <w:color w:val="auto"/>
                <w:lang w:eastAsia="zh-CN"/>
              </w:rPr>
              <w:t>)</w:t>
            </w:r>
            <w:r>
              <w:rPr>
                <w:rFonts w:hint="eastAsia"/>
                <w:bCs/>
                <w:color w:val="auto"/>
              </w:rPr>
              <w:t>。</w:t>
            </w:r>
            <w:r>
              <w:rPr>
                <w:rFonts w:hint="eastAsia"/>
                <w:bCs/>
                <w:color w:val="auto"/>
                <w:lang w:val="en-US" w:eastAsia="zh-CN"/>
              </w:rPr>
              <w:t>2020年4月，</w:t>
            </w:r>
            <w:r>
              <w:rPr>
                <w:rFonts w:hint="eastAsia"/>
                <w:bCs/>
                <w:color w:val="auto"/>
              </w:rPr>
              <w:t>安徽泰昌特殊合金制造有限</w:t>
            </w:r>
            <w:r>
              <w:rPr>
                <w:rFonts w:hint="eastAsia"/>
                <w:bCs/>
                <w:color w:val="auto"/>
                <w:lang w:val="en-US" w:eastAsia="zh-CN"/>
              </w:rPr>
              <w:t>公司完成</w:t>
            </w:r>
            <w:r>
              <w:rPr>
                <w:rFonts w:hint="eastAsia"/>
                <w:bCs/>
                <w:color w:val="auto"/>
              </w:rPr>
              <w:t>“年加工2万吨工业工件制造项目”</w:t>
            </w:r>
            <w:r>
              <w:rPr>
                <w:rFonts w:hint="eastAsia"/>
                <w:bCs/>
                <w:color w:val="auto"/>
                <w:lang w:val="en-US" w:eastAsia="zh-CN"/>
              </w:rPr>
              <w:t>竣工环境保护自主验收，并于2020年11月，完成排污许可登记(编号：91340321586113722K001P，附件4)。</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textAlignment w:val="auto"/>
              <w:rPr>
                <w:b/>
              </w:rPr>
            </w:pPr>
            <w:r>
              <w:rPr>
                <w:rFonts w:hint="eastAsia"/>
                <w:b/>
              </w:rPr>
              <w:t>2、污染物排放情况</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b/>
              </w:rPr>
            </w:pPr>
            <w:r>
              <w:rPr>
                <w:rFonts w:hint="eastAsia"/>
                <w:b/>
                <w:lang w:eastAsia="zh-CN"/>
              </w:rPr>
              <w:t>(</w:t>
            </w:r>
            <w:r>
              <w:rPr>
                <w:rFonts w:hint="eastAsia"/>
                <w:b/>
              </w:rPr>
              <w:t>1</w:t>
            </w:r>
            <w:r>
              <w:rPr>
                <w:rFonts w:hint="eastAsia"/>
                <w:b/>
                <w:lang w:eastAsia="zh-CN"/>
              </w:rPr>
              <w:t>)</w:t>
            </w:r>
            <w:r>
              <w:rPr>
                <w:rFonts w:hint="eastAsia"/>
                <w:b/>
                <w:lang w:val="en-US" w:eastAsia="zh-CN"/>
              </w:rPr>
              <w:t xml:space="preserve"> </w:t>
            </w:r>
            <w:r>
              <w:rPr>
                <w:rFonts w:hint="eastAsia"/>
                <w:b/>
              </w:rPr>
              <w:t>废气</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Cs/>
                <w:lang w:val="en-US" w:eastAsia="zh-CN"/>
              </w:rPr>
            </w:pPr>
            <w:r>
              <w:rPr>
                <w:rFonts w:hint="eastAsia"/>
                <w:bCs/>
              </w:rPr>
              <w:t>安徽泰昌特殊合金制造有限公司现有年加工2万吨工业工件制造项目</w:t>
            </w:r>
            <w:r>
              <w:rPr>
                <w:rFonts w:hint="eastAsia"/>
                <w:bCs/>
                <w:lang w:val="en-US" w:eastAsia="zh-CN"/>
              </w:rPr>
              <w:t>未设置排气筒。厂界无组织排放颗粒物监测结果见表2-11。</w:t>
            </w:r>
          </w:p>
          <w:p>
            <w:pPr>
              <w:pStyle w:val="21"/>
              <w:bidi w:val="0"/>
              <w:rPr>
                <w:rFonts w:hint="default" w:eastAsia="宋体"/>
                <w:lang w:val="en-US" w:eastAsia="zh-CN"/>
              </w:rPr>
            </w:pPr>
            <w:r>
              <w:rPr>
                <w:rFonts w:hint="eastAsia"/>
                <w:lang w:val="en-US" w:eastAsia="zh-CN"/>
              </w:rPr>
              <w:t>表2-11  厂界无组织排放颗粒物监测结果  单位：</w:t>
            </w:r>
            <w:r>
              <w:rPr>
                <w:rFonts w:hint="default"/>
                <w:lang w:val="en-US" w:eastAsia="zh-CN"/>
              </w:rPr>
              <w:t>µg/m</w:t>
            </w:r>
            <w:r>
              <w:rPr>
                <w:rFonts w:hint="default"/>
                <w:vertAlign w:val="superscript"/>
                <w:lang w:val="en-US" w:eastAsia="zh-CN"/>
              </w:rPr>
              <w:t>3</w:t>
            </w:r>
          </w:p>
          <w:tbl>
            <w:tblPr>
              <w:tblStyle w:val="16"/>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002"/>
              <w:gridCol w:w="1534"/>
              <w:gridCol w:w="1534"/>
              <w:gridCol w:w="15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2324" w:type="pct"/>
                  <w:vMerge w:val="restart"/>
                  <w:tcBorders>
                    <w:top w:val="single" w:color="000000" w:sz="8" w:space="0"/>
                    <w:left w:val="single" w:color="000000" w:sz="8" w:space="0"/>
                    <w:right w:val="single" w:color="000000" w:sz="8" w:space="0"/>
                  </w:tcBorders>
                  <w:shd w:val="clear" w:color="auto" w:fill="auto"/>
                  <w:vAlign w:val="center"/>
                </w:tcPr>
                <w:p>
                  <w:pPr>
                    <w:pStyle w:val="19"/>
                    <w:bidi w:val="0"/>
                    <w:rPr>
                      <w:rFonts w:hint="eastAsia"/>
                      <w:b/>
                      <w:bCs/>
                    </w:rPr>
                  </w:pPr>
                  <w:r>
                    <w:rPr>
                      <w:rFonts w:hint="eastAsia"/>
                      <w:b/>
                      <w:bCs/>
                      <w:lang w:val="en-US" w:eastAsia="zh-CN"/>
                    </w:rPr>
                    <w:t>检测点位</w:t>
                  </w:r>
                </w:p>
              </w:tc>
              <w:tc>
                <w:tcPr>
                  <w:tcW w:w="2675" w:type="pct"/>
                  <w:gridSpan w:val="3"/>
                  <w:tcBorders>
                    <w:top w:val="single" w:color="000000" w:sz="8" w:space="0"/>
                    <w:left w:val="nil"/>
                    <w:bottom w:val="single" w:color="000000" w:sz="8" w:space="0"/>
                    <w:right w:val="single" w:color="000000" w:sz="8" w:space="0"/>
                  </w:tcBorders>
                  <w:shd w:val="clear" w:color="auto" w:fill="auto"/>
                  <w:vAlign w:val="center"/>
                </w:tcPr>
                <w:p>
                  <w:pPr>
                    <w:pStyle w:val="19"/>
                    <w:bidi w:val="0"/>
                    <w:rPr>
                      <w:rFonts w:hint="eastAsia"/>
                      <w:b/>
                      <w:bCs/>
                    </w:rPr>
                  </w:pPr>
                  <w:r>
                    <w:rPr>
                      <w:rFonts w:hint="eastAsia"/>
                      <w:b/>
                      <w:bCs/>
                      <w:lang w:val="en-US" w:eastAsia="zh-CN"/>
                    </w:rPr>
                    <w:t>检测频次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2324" w:type="pct"/>
                  <w:vMerge w:val="continue"/>
                  <w:tcBorders>
                    <w:left w:val="single" w:color="000000" w:sz="8" w:space="0"/>
                    <w:bottom w:val="single" w:color="000000" w:sz="8" w:space="0"/>
                    <w:right w:val="single" w:color="000000" w:sz="8" w:space="0"/>
                  </w:tcBorders>
                  <w:shd w:val="clear" w:color="auto" w:fill="auto"/>
                  <w:vAlign w:val="center"/>
                </w:tcPr>
                <w:p>
                  <w:pPr>
                    <w:pStyle w:val="19"/>
                    <w:bidi w:val="0"/>
                    <w:rPr>
                      <w:rFonts w:hint="default"/>
                    </w:rPr>
                  </w:pP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eastAsia"/>
                    </w:rPr>
                  </w:pPr>
                  <w:r>
                    <w:rPr>
                      <w:rFonts w:hint="eastAsia"/>
                      <w:lang w:val="en-US" w:eastAsia="zh-CN"/>
                    </w:rPr>
                    <w:t>第一次</w:t>
                  </w:r>
                </w:p>
              </w:tc>
              <w:tc>
                <w:tcPr>
                  <w:tcW w:w="891" w:type="pct"/>
                  <w:tcBorders>
                    <w:top w:val="single" w:color="000000" w:sz="8" w:space="0"/>
                    <w:left w:val="nil"/>
                    <w:bottom w:val="single" w:color="000000" w:sz="8" w:space="0"/>
                    <w:right w:val="single" w:color="000000" w:sz="8" w:space="0"/>
                  </w:tcBorders>
                  <w:shd w:val="clear" w:color="auto" w:fill="auto"/>
                  <w:vAlign w:val="center"/>
                </w:tcPr>
                <w:p>
                  <w:pPr>
                    <w:pStyle w:val="19"/>
                    <w:bidi w:val="0"/>
                    <w:rPr>
                      <w:rFonts w:hint="eastAsia"/>
                    </w:rPr>
                  </w:pPr>
                  <w:r>
                    <w:rPr>
                      <w:rFonts w:hint="eastAsia"/>
                      <w:lang w:val="en-US" w:eastAsia="zh-CN"/>
                    </w:rPr>
                    <w:t>第二次</w:t>
                  </w:r>
                </w:p>
              </w:tc>
              <w:tc>
                <w:tcPr>
                  <w:tcW w:w="892" w:type="pct"/>
                  <w:tcBorders>
                    <w:top w:val="single" w:color="000000" w:sz="8" w:space="0"/>
                    <w:left w:val="nil"/>
                    <w:bottom w:val="single" w:color="000000" w:sz="8" w:space="0"/>
                    <w:right w:val="single" w:color="000000" w:sz="8" w:space="0"/>
                  </w:tcBorders>
                  <w:shd w:val="clear" w:color="auto" w:fill="auto"/>
                  <w:vAlign w:val="center"/>
                </w:tcPr>
                <w:p>
                  <w:pPr>
                    <w:pStyle w:val="19"/>
                    <w:bidi w:val="0"/>
                    <w:rPr>
                      <w:rFonts w:hint="eastAsia"/>
                    </w:rPr>
                  </w:pPr>
                  <w:r>
                    <w:rPr>
                      <w:rFonts w:hint="eastAsia"/>
                      <w:lang w:val="en-US" w:eastAsia="zh-CN"/>
                    </w:rPr>
                    <w:t>第三次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2324" w:type="pct"/>
                  <w:tcBorders>
                    <w:top w:val="nil"/>
                    <w:left w:val="single" w:color="000000" w:sz="8" w:space="0"/>
                    <w:bottom w:val="single" w:color="000000" w:sz="8" w:space="0"/>
                    <w:right w:val="single" w:color="000000" w:sz="8" w:space="0"/>
                  </w:tcBorders>
                  <w:shd w:val="clear" w:color="auto" w:fill="auto"/>
                  <w:vAlign w:val="center"/>
                </w:tcPr>
                <w:p>
                  <w:pPr>
                    <w:pStyle w:val="19"/>
                    <w:bidi w:val="0"/>
                    <w:rPr>
                      <w:rFonts w:hint="eastAsia"/>
                    </w:rPr>
                  </w:pPr>
                  <w:r>
                    <w:rPr>
                      <w:rFonts w:hint="eastAsia"/>
                      <w:lang w:val="en-US" w:eastAsia="zh-CN"/>
                    </w:rPr>
                    <w:t>上风向北厂界外</w:t>
                  </w:r>
                  <w:r>
                    <w:rPr>
                      <w:rFonts w:hint="default"/>
                      <w:lang w:val="en-US" w:eastAsia="zh-CN"/>
                    </w:rPr>
                    <w:t>G1</w:t>
                  </w: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231</w:t>
                  </w: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234</w:t>
                  </w:r>
                </w:p>
              </w:tc>
              <w:tc>
                <w:tcPr>
                  <w:tcW w:w="892"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2324" w:type="pct"/>
                  <w:tcBorders>
                    <w:top w:val="nil"/>
                    <w:left w:val="single" w:color="000000" w:sz="8" w:space="0"/>
                    <w:bottom w:val="single" w:color="000000" w:sz="8" w:space="0"/>
                    <w:right w:val="single" w:color="000000" w:sz="8" w:space="0"/>
                  </w:tcBorders>
                  <w:shd w:val="clear" w:color="auto" w:fill="auto"/>
                  <w:vAlign w:val="center"/>
                </w:tcPr>
                <w:p>
                  <w:pPr>
                    <w:pStyle w:val="19"/>
                    <w:bidi w:val="0"/>
                    <w:rPr>
                      <w:rFonts w:hint="eastAsia"/>
                    </w:rPr>
                  </w:pPr>
                  <w:r>
                    <w:rPr>
                      <w:rFonts w:hint="eastAsia"/>
                      <w:lang w:val="en-US" w:eastAsia="zh-CN"/>
                    </w:rPr>
                    <w:t>下风向东南厂界外</w:t>
                  </w:r>
                  <w:r>
                    <w:rPr>
                      <w:rFonts w:hint="default"/>
                      <w:lang w:val="en-US" w:eastAsia="zh-CN"/>
                    </w:rPr>
                    <w:t>G2</w:t>
                  </w: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248</w:t>
                  </w: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253</w:t>
                  </w:r>
                </w:p>
              </w:tc>
              <w:tc>
                <w:tcPr>
                  <w:tcW w:w="892"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trPr>
              <w:tc>
                <w:tcPr>
                  <w:tcW w:w="2324" w:type="pct"/>
                  <w:tcBorders>
                    <w:top w:val="nil"/>
                    <w:left w:val="single" w:color="000000" w:sz="8" w:space="0"/>
                    <w:bottom w:val="single" w:color="000000" w:sz="8" w:space="0"/>
                    <w:right w:val="single" w:color="000000" w:sz="8" w:space="0"/>
                  </w:tcBorders>
                  <w:shd w:val="clear" w:color="auto" w:fill="auto"/>
                  <w:vAlign w:val="center"/>
                </w:tcPr>
                <w:p>
                  <w:pPr>
                    <w:pStyle w:val="19"/>
                    <w:bidi w:val="0"/>
                    <w:rPr>
                      <w:rFonts w:hint="eastAsia"/>
                    </w:rPr>
                  </w:pPr>
                  <w:r>
                    <w:rPr>
                      <w:rFonts w:hint="eastAsia"/>
                      <w:lang w:val="en-US" w:eastAsia="zh-CN"/>
                    </w:rPr>
                    <w:t>下风向南厂界外</w:t>
                  </w:r>
                  <w:r>
                    <w:rPr>
                      <w:rFonts w:hint="default"/>
                      <w:lang w:val="en-US" w:eastAsia="zh-CN"/>
                    </w:rPr>
                    <w:t>G3</w:t>
                  </w: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251</w:t>
                  </w: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256</w:t>
                  </w:r>
                </w:p>
              </w:tc>
              <w:tc>
                <w:tcPr>
                  <w:tcW w:w="892"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3" w:hRule="atLeast"/>
              </w:trPr>
              <w:tc>
                <w:tcPr>
                  <w:tcW w:w="2324" w:type="pct"/>
                  <w:tcBorders>
                    <w:top w:val="nil"/>
                    <w:left w:val="single" w:color="000000" w:sz="8" w:space="0"/>
                    <w:bottom w:val="single" w:color="000000" w:sz="8" w:space="0"/>
                    <w:right w:val="single" w:color="000000" w:sz="8" w:space="0"/>
                  </w:tcBorders>
                  <w:shd w:val="clear" w:color="auto" w:fill="auto"/>
                  <w:vAlign w:val="center"/>
                </w:tcPr>
                <w:p>
                  <w:pPr>
                    <w:pStyle w:val="19"/>
                    <w:bidi w:val="0"/>
                    <w:rPr>
                      <w:rFonts w:hint="eastAsia"/>
                    </w:rPr>
                  </w:pPr>
                  <w:r>
                    <w:rPr>
                      <w:rFonts w:hint="eastAsia"/>
                      <w:lang w:val="en-US" w:eastAsia="zh-CN"/>
                    </w:rPr>
                    <w:t>下风向西南厂界外</w:t>
                  </w:r>
                  <w:r>
                    <w:rPr>
                      <w:rFonts w:hint="default"/>
                      <w:lang w:val="en-US" w:eastAsia="zh-CN"/>
                    </w:rPr>
                    <w:t>G4</w:t>
                  </w: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249</w:t>
                  </w:r>
                </w:p>
              </w:tc>
              <w:tc>
                <w:tcPr>
                  <w:tcW w:w="891"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254</w:t>
                  </w:r>
                </w:p>
              </w:tc>
              <w:tc>
                <w:tcPr>
                  <w:tcW w:w="892" w:type="pct"/>
                  <w:tcBorders>
                    <w:top w:val="nil"/>
                    <w:left w:val="nil"/>
                    <w:bottom w:val="single" w:color="000000" w:sz="8" w:space="0"/>
                    <w:right w:val="single" w:color="000000" w:sz="8" w:space="0"/>
                  </w:tcBorders>
                  <w:shd w:val="clear" w:color="auto" w:fill="auto"/>
                  <w:vAlign w:val="center"/>
                </w:tcPr>
                <w:p>
                  <w:pPr>
                    <w:pStyle w:val="19"/>
                    <w:bidi w:val="0"/>
                    <w:rPr>
                      <w:rFonts w:hint="default"/>
                    </w:rPr>
                  </w:pPr>
                  <w:r>
                    <w:rPr>
                      <w:rFonts w:hint="default"/>
                      <w:lang w:val="en-US" w:eastAsia="zh-CN"/>
                    </w:rPr>
                    <w:t>249</w:t>
                  </w:r>
                </w:p>
              </w:tc>
            </w:tr>
          </w:tbl>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b/>
              </w:rPr>
            </w:pPr>
            <w:r>
              <w:rPr>
                <w:rFonts w:hint="eastAsia"/>
                <w:b/>
                <w:lang w:eastAsia="zh-CN"/>
              </w:rPr>
              <w:t>(</w:t>
            </w:r>
            <w:r>
              <w:rPr>
                <w:rFonts w:hint="eastAsia"/>
                <w:b/>
              </w:rPr>
              <w:t>2</w:t>
            </w:r>
            <w:r>
              <w:rPr>
                <w:rFonts w:hint="eastAsia"/>
                <w:b/>
                <w:lang w:eastAsia="zh-CN"/>
              </w:rPr>
              <w:t>)</w:t>
            </w:r>
            <w:r>
              <w:rPr>
                <w:rFonts w:hint="eastAsia"/>
                <w:b/>
                <w:lang w:val="en-US" w:eastAsia="zh-CN"/>
              </w:rPr>
              <w:t xml:space="preserve"> </w:t>
            </w:r>
            <w:r>
              <w:rPr>
                <w:rFonts w:hint="eastAsia"/>
                <w:b/>
              </w:rPr>
              <w:t>废水</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Cs/>
                <w:vertAlign w:val="superscript"/>
                <w:lang w:val="en-US" w:eastAsia="zh-CN"/>
              </w:rPr>
            </w:pPr>
            <w:r>
              <w:rPr>
                <w:rFonts w:hint="eastAsia"/>
                <w:bCs/>
                <w:lang w:val="en-US" w:eastAsia="zh-CN"/>
              </w:rPr>
              <w:t>现有工程废水主要生活废水，废水量约</w:t>
            </w:r>
            <w:r>
              <w:rPr>
                <w:rFonts w:hint="eastAsia"/>
                <w:snapToGrid w:val="0"/>
                <w:color w:val="000000"/>
                <w:kern w:val="21"/>
                <w:sz w:val="24"/>
                <w:szCs w:val="24"/>
                <w:lang w:val="en-US" w:eastAsia="zh-CN"/>
              </w:rPr>
              <w:t>240m</w:t>
            </w:r>
            <w:r>
              <w:rPr>
                <w:rFonts w:hint="eastAsia"/>
                <w:snapToGrid w:val="0"/>
                <w:color w:val="000000"/>
                <w:kern w:val="21"/>
                <w:sz w:val="24"/>
                <w:szCs w:val="24"/>
                <w:vertAlign w:val="superscript"/>
                <w:lang w:val="en-US" w:eastAsia="zh-CN"/>
              </w:rPr>
              <w:t>3</w:t>
            </w:r>
            <w:r>
              <w:rPr>
                <w:rFonts w:hint="eastAsia"/>
                <w:snapToGrid w:val="0"/>
                <w:color w:val="000000"/>
                <w:kern w:val="21"/>
                <w:sz w:val="24"/>
                <w:szCs w:val="24"/>
                <w:lang w:val="en-US" w:eastAsia="zh-CN"/>
              </w:rPr>
              <w:t>/a，</w:t>
            </w:r>
            <w:r>
              <w:rPr>
                <w:rFonts w:hint="eastAsia"/>
                <w:bCs/>
                <w:lang w:val="en-US" w:eastAsia="zh-CN"/>
              </w:rPr>
              <w:t>主要污染因子为COD、NH</w:t>
            </w:r>
            <w:r>
              <w:rPr>
                <w:rFonts w:hint="eastAsia"/>
                <w:bCs/>
                <w:vertAlign w:val="subscript"/>
                <w:lang w:val="en-US" w:eastAsia="zh-CN"/>
              </w:rPr>
              <w:t>3</w:t>
            </w:r>
            <w:r>
              <w:rPr>
                <w:rFonts w:hint="eastAsia"/>
                <w:bCs/>
                <w:lang w:val="en-US" w:eastAsia="zh-CN"/>
              </w:rPr>
              <w:t>-N、BOD</w:t>
            </w:r>
            <w:r>
              <w:rPr>
                <w:rFonts w:hint="eastAsia"/>
                <w:bCs/>
                <w:vertAlign w:val="subscript"/>
                <w:lang w:val="en-US" w:eastAsia="zh-CN"/>
              </w:rPr>
              <w:t>5</w:t>
            </w:r>
            <w:r>
              <w:rPr>
                <w:rFonts w:hint="eastAsia"/>
                <w:bCs/>
                <w:vertAlign w:val="baseline"/>
                <w:lang w:val="en-US" w:eastAsia="zh-CN"/>
              </w:rPr>
              <w:t>等，经化粪池预处理后，进入开发区管网经</w:t>
            </w:r>
            <w:r>
              <w:rPr>
                <w:rFonts w:hint="eastAsia"/>
                <w:kern w:val="0"/>
              </w:rPr>
              <w:t>怀远经济开发区污水处理厂</w:t>
            </w:r>
            <w:r>
              <w:rPr>
                <w:rFonts w:hint="eastAsia"/>
                <w:kern w:val="0"/>
                <w:lang w:val="en-US" w:eastAsia="zh-CN"/>
              </w:rPr>
              <w:t>(一期)处理达到《城镇污水处理厂污染物排放标准》(GB 18918-2002)后外排。</w:t>
            </w:r>
          </w:p>
          <w:p>
            <w:pPr>
              <w:keepNext w:val="0"/>
              <w:keepLines w:val="0"/>
              <w:pageBreakBefore w:val="0"/>
              <w:widowControl w:val="0"/>
              <w:kinsoku/>
              <w:wordWrap/>
              <w:overflowPunct/>
              <w:topLinePunct w:val="0"/>
              <w:autoSpaceDE/>
              <w:autoSpaceDN/>
              <w:bidi w:val="0"/>
              <w:adjustRightInd/>
              <w:snapToGrid/>
              <w:spacing w:line="480" w:lineRule="exact"/>
              <w:ind w:firstLine="482"/>
              <w:textAlignment w:val="auto"/>
              <w:rPr>
                <w:b/>
              </w:rPr>
            </w:pPr>
            <w:r>
              <w:rPr>
                <w:rFonts w:hint="eastAsia"/>
                <w:b/>
                <w:lang w:eastAsia="zh-CN"/>
              </w:rPr>
              <w:t>(</w:t>
            </w:r>
            <w:r>
              <w:rPr>
                <w:rFonts w:hint="eastAsia"/>
                <w:b/>
              </w:rPr>
              <w:t>3</w:t>
            </w:r>
            <w:r>
              <w:rPr>
                <w:rFonts w:hint="eastAsia"/>
                <w:b/>
                <w:lang w:eastAsia="zh-CN"/>
              </w:rPr>
              <w:t>)</w:t>
            </w:r>
            <w:r>
              <w:rPr>
                <w:rFonts w:hint="eastAsia"/>
                <w:b/>
                <w:lang w:val="en-US" w:eastAsia="zh-CN"/>
              </w:rPr>
              <w:t xml:space="preserve"> </w:t>
            </w:r>
            <w:r>
              <w:rPr>
                <w:rFonts w:hint="eastAsia"/>
                <w:b/>
              </w:rPr>
              <w:t>噪声</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Cs/>
                <w:lang w:val="en-US" w:eastAsia="zh-CN"/>
              </w:rPr>
            </w:pPr>
            <w:r>
              <w:rPr>
                <w:rFonts w:hint="eastAsia"/>
                <w:bCs/>
                <w:lang w:val="en-US" w:eastAsia="zh-CN"/>
              </w:rPr>
              <w:t>现有工程噪声主要为生产设备运转产生的机械噪声，采取基础减振、厂房隔声等措施进行治理。现状监测结果表明，</w:t>
            </w:r>
            <w:r>
              <w:rPr>
                <w:rFonts w:hint="eastAsia"/>
              </w:rPr>
              <w:t>厂界</w:t>
            </w:r>
            <w:r>
              <w:t>噪声</w:t>
            </w:r>
            <w:r>
              <w:rPr>
                <w:rFonts w:hint="eastAsia"/>
                <w:lang w:val="en-US" w:eastAsia="zh-CN"/>
              </w:rPr>
              <w:t>能够满足</w:t>
            </w:r>
            <w:r>
              <w:t>《工业企业厂界环境噪声排放标准》</w:t>
            </w:r>
            <w:r>
              <w:rPr>
                <w:rFonts w:hint="eastAsia"/>
              </w:rPr>
              <w:t>(</w:t>
            </w:r>
            <w:r>
              <w:t>GB 12348-2008</w:t>
            </w:r>
            <w:r>
              <w:rPr>
                <w:rFonts w:hint="eastAsia"/>
              </w:rPr>
              <w:t>)</w:t>
            </w:r>
            <w:r>
              <w:t>中3类标准。</w:t>
            </w:r>
          </w:p>
          <w:p>
            <w:pPr>
              <w:pStyle w:val="21"/>
              <w:bidi w:val="0"/>
              <w:rPr>
                <w:rFonts w:hint="eastAsia"/>
                <w:lang w:val="en-US" w:eastAsia="zh-CN"/>
              </w:rPr>
            </w:pPr>
            <w:r>
              <w:rPr>
                <w:rFonts w:hint="eastAsia"/>
                <w:lang w:val="en-US" w:eastAsia="zh-CN"/>
              </w:rPr>
              <w:t>表2-12  厂界噪声达标情况  单位：dB(A)</w:t>
            </w:r>
          </w:p>
          <w:tbl>
            <w:tblPr>
              <w:tblStyle w:val="16"/>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040"/>
              <w:gridCol w:w="1633"/>
              <w:gridCol w:w="1228"/>
              <w:gridCol w:w="1233"/>
              <w:gridCol w:w="1228"/>
              <w:gridCol w:w="12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1187"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b/>
                      <w:bCs/>
                    </w:rPr>
                  </w:pPr>
                  <w:r>
                    <w:rPr>
                      <w:rFonts w:hint="eastAsia"/>
                      <w:b/>
                      <w:bCs/>
                      <w:lang w:val="en-US" w:eastAsia="zh-CN"/>
                    </w:rPr>
                    <w:t>点位编号</w:t>
                  </w:r>
                </w:p>
              </w:tc>
              <w:tc>
                <w:tcPr>
                  <w:tcW w:w="950"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b/>
                      <w:bCs/>
                      <w:lang w:val="en-US" w:eastAsia="zh-CN"/>
                    </w:rPr>
                  </w:pPr>
                  <w:r>
                    <w:rPr>
                      <w:rFonts w:hint="eastAsia"/>
                      <w:b/>
                      <w:bCs/>
                      <w:lang w:val="en-US" w:eastAsia="zh-CN"/>
                    </w:rPr>
                    <w:t>厂界</w:t>
                  </w:r>
                </w:p>
              </w:tc>
              <w:tc>
                <w:tcPr>
                  <w:tcW w:w="1431" w:type="pct"/>
                  <w:gridSpan w:val="2"/>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rPr>
                  </w:pPr>
                  <w:r>
                    <w:rPr>
                      <w:rFonts w:hint="default"/>
                      <w:b/>
                      <w:bCs/>
                      <w:lang w:val="en-US" w:eastAsia="zh-CN"/>
                    </w:rPr>
                    <w:t>2024.01.15</w:t>
                  </w:r>
                </w:p>
              </w:tc>
              <w:tc>
                <w:tcPr>
                  <w:tcW w:w="1431" w:type="pct"/>
                  <w:gridSpan w:val="2"/>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rPr>
                  </w:pPr>
                  <w:r>
                    <w:rPr>
                      <w:rFonts w:hint="default"/>
                      <w:b/>
                      <w:bCs/>
                      <w:lang w:val="en-US" w:eastAsia="zh-CN"/>
                    </w:rPr>
                    <w:t>2024.01.16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87"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rPr>
                  </w:pPr>
                </w:p>
              </w:tc>
              <w:tc>
                <w:tcPr>
                  <w:tcW w:w="95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rPr>
                  </w:pP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b/>
                      <w:bCs/>
                    </w:rPr>
                  </w:pPr>
                  <w:r>
                    <w:rPr>
                      <w:rFonts w:hint="eastAsia"/>
                      <w:b/>
                      <w:bCs/>
                      <w:lang w:val="en-US" w:eastAsia="zh-CN"/>
                    </w:rPr>
                    <w:t>昼间</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b/>
                      <w:bCs/>
                    </w:rPr>
                  </w:pPr>
                  <w:r>
                    <w:rPr>
                      <w:rFonts w:hint="eastAsia"/>
                      <w:b/>
                      <w:bCs/>
                      <w:lang w:val="en-US" w:eastAsia="zh-CN"/>
                    </w:rPr>
                    <w:t>夜间</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b/>
                      <w:bCs/>
                    </w:rPr>
                  </w:pPr>
                  <w:r>
                    <w:rPr>
                      <w:rFonts w:hint="eastAsia"/>
                      <w:b/>
                      <w:bCs/>
                      <w:lang w:val="en-US" w:eastAsia="zh-CN"/>
                    </w:rPr>
                    <w:t>昼间</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b/>
                      <w:bCs/>
                    </w:rPr>
                  </w:pPr>
                  <w:r>
                    <w:rPr>
                      <w:rFonts w:hint="eastAsia"/>
                      <w:b/>
                      <w:bCs/>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1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N1</w:t>
                  </w:r>
                </w:p>
              </w:tc>
              <w:tc>
                <w:tcPr>
                  <w:tcW w:w="95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rPr>
                  </w:pPr>
                  <w:r>
                    <w:rPr>
                      <w:rFonts w:hint="eastAsia"/>
                      <w:lang w:val="en-US" w:eastAsia="zh-CN"/>
                    </w:rPr>
                    <w:t>东厂界</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53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49 </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56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11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N2</w:t>
                  </w:r>
                </w:p>
              </w:tc>
              <w:tc>
                <w:tcPr>
                  <w:tcW w:w="95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rPr>
                  </w:pPr>
                  <w:r>
                    <w:rPr>
                      <w:rFonts w:hint="eastAsia"/>
                      <w:lang w:val="en-US" w:eastAsia="zh-CN"/>
                    </w:rPr>
                    <w:t>南厂界</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50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46 </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49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11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N3</w:t>
                  </w:r>
                </w:p>
              </w:tc>
              <w:tc>
                <w:tcPr>
                  <w:tcW w:w="95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rPr>
                  </w:pPr>
                  <w:r>
                    <w:rPr>
                      <w:rFonts w:hint="eastAsia"/>
                      <w:lang w:val="en-US" w:eastAsia="zh-CN"/>
                    </w:rPr>
                    <w:t>南厂界</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45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39 </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53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11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N4</w:t>
                  </w:r>
                </w:p>
              </w:tc>
              <w:tc>
                <w:tcPr>
                  <w:tcW w:w="95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rPr>
                  </w:pPr>
                  <w:r>
                    <w:rPr>
                      <w:rFonts w:hint="eastAsia"/>
                      <w:lang w:val="en-US" w:eastAsia="zh-CN"/>
                    </w:rPr>
                    <w:t>西厂界</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49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40 </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53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11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N5</w:t>
                  </w:r>
                </w:p>
              </w:tc>
              <w:tc>
                <w:tcPr>
                  <w:tcW w:w="95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rPr>
                  </w:pPr>
                  <w:r>
                    <w:rPr>
                      <w:rFonts w:hint="eastAsia"/>
                      <w:lang w:val="en-US" w:eastAsia="zh-CN"/>
                    </w:rPr>
                    <w:t>北厂界</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51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45 </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57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11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N6</w:t>
                  </w:r>
                </w:p>
              </w:tc>
              <w:tc>
                <w:tcPr>
                  <w:tcW w:w="95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rPr>
                  </w:pPr>
                  <w:r>
                    <w:rPr>
                      <w:rFonts w:hint="eastAsia"/>
                      <w:lang w:val="en-US" w:eastAsia="zh-CN"/>
                    </w:rPr>
                    <w:t>北厂界</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lang w:val="en-US"/>
                    </w:rPr>
                  </w:pPr>
                  <w:r>
                    <w:rPr>
                      <w:rFonts w:hint="default"/>
                      <w:lang w:val="en-US" w:eastAsia="zh-CN"/>
                    </w:rPr>
                    <w:t xml:space="preserve">51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46 </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52 </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lang w:val="en-US" w:eastAsia="zh-CN"/>
                    </w:rPr>
                    <w:t xml:space="preserve">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137" w:type="pct"/>
                  <w:gridSpan w:val="2"/>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eastAsia"/>
                      <w:lang w:val="en-US" w:eastAsia="zh-CN"/>
                    </w:rPr>
                  </w:pPr>
                  <w:r>
                    <w:rPr>
                      <w:kern w:val="0"/>
                      <w:sz w:val="21"/>
                      <w:szCs w:val="21"/>
                    </w:rPr>
                    <w:t>GB 12348-2008</w:t>
                  </w:r>
                  <w:r>
                    <w:rPr>
                      <w:rFonts w:hint="eastAsia"/>
                      <w:kern w:val="0"/>
                      <w:sz w:val="21"/>
                      <w:szCs w:val="21"/>
                    </w:rPr>
                    <w:t>中</w:t>
                  </w:r>
                  <w:r>
                    <w:rPr>
                      <w:kern w:val="0"/>
                      <w:sz w:val="21"/>
                      <w:szCs w:val="21"/>
                    </w:rPr>
                    <w:t>3</w:t>
                  </w:r>
                  <w:r>
                    <w:rPr>
                      <w:rFonts w:hint="eastAsia"/>
                      <w:kern w:val="0"/>
                      <w:sz w:val="21"/>
                      <w:szCs w:val="21"/>
                    </w:rPr>
                    <w:t>类标准</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lang w:val="en-US" w:eastAsia="zh-CN"/>
                    </w:rPr>
                  </w:pPr>
                  <w:r>
                    <w:rPr>
                      <w:rFonts w:hint="eastAsia"/>
                      <w:lang w:val="en-US" w:eastAsia="zh-CN"/>
                    </w:rPr>
                    <w:t>65</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lang w:val="en-US" w:eastAsia="zh-CN"/>
                    </w:rPr>
                  </w:pPr>
                  <w:r>
                    <w:rPr>
                      <w:rFonts w:hint="eastAsia"/>
                      <w:lang w:val="en-US" w:eastAsia="zh-CN"/>
                    </w:rPr>
                    <w:t>55</w:t>
                  </w:r>
                </w:p>
              </w:tc>
              <w:tc>
                <w:tcPr>
                  <w:tcW w:w="71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ind w:firstLine="0" w:firstLineChars="0"/>
                    <w:textAlignment w:val="auto"/>
                    <w:rPr>
                      <w:rFonts w:hint="default"/>
                      <w:lang w:val="en-US" w:eastAsia="zh-CN"/>
                    </w:rPr>
                  </w:pPr>
                  <w:r>
                    <w:rPr>
                      <w:rFonts w:hint="eastAsia"/>
                      <w:lang w:val="en-US" w:eastAsia="zh-CN"/>
                    </w:rPr>
                    <w:t>65</w:t>
                  </w:r>
                </w:p>
              </w:tc>
              <w:tc>
                <w:tcPr>
                  <w:tcW w:w="71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ind w:firstLine="0" w:firstLineChars="0"/>
                    <w:textAlignment w:val="auto"/>
                    <w:rPr>
                      <w:rFonts w:hint="default"/>
                      <w:lang w:val="en-US" w:eastAsia="zh-CN"/>
                    </w:rPr>
                  </w:pPr>
                  <w:r>
                    <w:rPr>
                      <w:rFonts w:hint="eastAsia"/>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5000" w:type="pct"/>
                  <w:gridSpan w:val="6"/>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ind w:firstLine="0" w:firstLineChars="0"/>
                    <w:textAlignment w:val="auto"/>
                    <w:rPr>
                      <w:rFonts w:hint="eastAsia"/>
                      <w:lang w:val="en-US" w:eastAsia="zh-CN"/>
                    </w:rPr>
                  </w:pPr>
                  <w:r>
                    <w:rPr>
                      <w:rFonts w:hint="eastAsia"/>
                      <w:color w:val="auto"/>
                      <w:sz w:val="21"/>
                      <w:szCs w:val="21"/>
                      <w:highlight w:val="none"/>
                      <w:lang w:val="en-US" w:eastAsia="zh-CN"/>
                    </w:rPr>
                    <w:t>注：监测结果修约至个位数。</w:t>
                  </w:r>
                </w:p>
              </w:tc>
            </w:tr>
          </w:tbl>
          <w:p>
            <w:pPr>
              <w:spacing w:line="480" w:lineRule="exact"/>
              <w:ind w:firstLine="482"/>
              <w:rPr>
                <w:rFonts w:hint="eastAsia"/>
                <w:b/>
              </w:rPr>
            </w:pPr>
            <w:r>
              <w:rPr>
                <w:rFonts w:hint="eastAsia"/>
                <w:b/>
                <w:lang w:eastAsia="zh-CN"/>
              </w:rPr>
              <w:t>(</w:t>
            </w:r>
            <w:r>
              <w:rPr>
                <w:rFonts w:hint="eastAsia"/>
                <w:b/>
              </w:rPr>
              <w:t>4</w:t>
            </w:r>
            <w:r>
              <w:rPr>
                <w:rFonts w:hint="eastAsia"/>
                <w:b/>
                <w:lang w:eastAsia="zh-CN"/>
              </w:rPr>
              <w:t>)</w:t>
            </w:r>
            <w:r>
              <w:rPr>
                <w:rFonts w:hint="eastAsia"/>
                <w:b/>
                <w:lang w:val="en-US" w:eastAsia="zh-CN"/>
              </w:rPr>
              <w:t xml:space="preserve"> </w:t>
            </w:r>
            <w:r>
              <w:rPr>
                <w:rFonts w:hint="eastAsia"/>
                <w:b/>
              </w:rPr>
              <w:t>固废</w:t>
            </w:r>
          </w:p>
          <w:p>
            <w:pPr>
              <w:pStyle w:val="2"/>
              <w:rPr>
                <w:rFonts w:hint="default"/>
                <w:lang w:val="en-US" w:eastAsia="zh-CN"/>
              </w:rPr>
            </w:pPr>
            <w:r>
              <w:rPr>
                <w:rFonts w:hint="eastAsia"/>
                <w:lang w:val="en-US" w:eastAsia="zh-CN"/>
              </w:rPr>
              <w:t>现有固体废弃物主要是加工过程产生的边角料、废机油以及生活垃圾。边角料外售综合利用、废机油委托蚌埠吉盛生态环境科技服务有限公司处置。生活垃圾收集后由环卫部门统一清运。总体上，建设单位</w:t>
            </w:r>
            <w:r>
              <w:rPr>
                <w:rFonts w:hint="eastAsia"/>
                <w:bCs/>
                <w:lang w:val="en-US" w:eastAsia="zh-CN"/>
              </w:rPr>
              <w:t>产生的固体废物能够得到有效处置</w:t>
            </w:r>
          </w:p>
          <w:p>
            <w:pPr>
              <w:pStyle w:val="21"/>
              <w:bidi w:val="0"/>
              <w:rPr>
                <w:rFonts w:hint="default"/>
                <w:lang w:val="en-US" w:eastAsia="zh-CN"/>
              </w:rPr>
            </w:pPr>
            <w:r>
              <w:rPr>
                <w:rFonts w:hint="eastAsia"/>
                <w:lang w:val="en-US" w:eastAsia="zh-CN"/>
              </w:rPr>
              <w:t>表2-13  现有工程固废产生情况</w:t>
            </w:r>
          </w:p>
          <w:tbl>
            <w:tblPr>
              <w:tblStyle w:val="16"/>
              <w:tblW w:w="4997"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696"/>
              <w:gridCol w:w="4329"/>
              <w:gridCol w:w="1565"/>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569"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rPr>
                  </w:pPr>
                  <w:r>
                    <w:rPr>
                      <w:rFonts w:hint="default"/>
                      <w:b/>
                      <w:bCs/>
                    </w:rPr>
                    <w:t>名称</w:t>
                  </w:r>
                </w:p>
              </w:tc>
              <w:tc>
                <w:tcPr>
                  <w:tcW w:w="2519"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rPr>
                  </w:pPr>
                  <w:r>
                    <w:rPr>
                      <w:rFonts w:hint="default"/>
                      <w:b/>
                      <w:bCs/>
                    </w:rPr>
                    <w:t>类别</w:t>
                  </w:r>
                </w:p>
              </w:tc>
              <w:tc>
                <w:tcPr>
                  <w:tcW w:w="91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rPr>
                  </w:pPr>
                  <w:r>
                    <w:rPr>
                      <w:rFonts w:hint="default"/>
                      <w:b/>
                      <w:bCs/>
                    </w:rPr>
                    <w:t>产生量</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569"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eastAsia="宋体"/>
                      <w:lang w:val="en-US" w:eastAsia="zh-CN"/>
                    </w:rPr>
                  </w:pPr>
                  <w:r>
                    <w:rPr>
                      <w:rFonts w:hint="eastAsia"/>
                      <w:lang w:val="en-US" w:eastAsia="zh-CN"/>
                    </w:rPr>
                    <w:t>废机油</w:t>
                  </w:r>
                </w:p>
              </w:tc>
              <w:tc>
                <w:tcPr>
                  <w:tcW w:w="2519"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rPr>
                    <w:t>危险固废</w:t>
                  </w:r>
                </w:p>
              </w:tc>
              <w:tc>
                <w:tcPr>
                  <w:tcW w:w="91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rPr>
                    <w:t>0.02t/a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569"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rPr>
                    <w:t>边角料</w:t>
                  </w:r>
                </w:p>
              </w:tc>
              <w:tc>
                <w:tcPr>
                  <w:tcW w:w="2519"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rPr>
                    <w:t>一般工业固废</w:t>
                  </w:r>
                </w:p>
              </w:tc>
              <w:tc>
                <w:tcPr>
                  <w:tcW w:w="91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eastAsia"/>
                      <w:lang w:val="en-US" w:eastAsia="zh-CN"/>
                    </w:rPr>
                    <w:t>0.2</w:t>
                  </w:r>
                  <w:r>
                    <w:rPr>
                      <w:rFonts w:hint="default"/>
                    </w:rPr>
                    <w:t>t/a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569"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rPr>
                    <w:t>生活垃圾</w:t>
                  </w:r>
                </w:p>
              </w:tc>
              <w:tc>
                <w:tcPr>
                  <w:tcW w:w="2519"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default"/>
                    </w:rPr>
                    <w:t>生活垃圾</w:t>
                  </w:r>
                </w:p>
              </w:tc>
              <w:tc>
                <w:tcPr>
                  <w:tcW w:w="91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rPr>
                  </w:pPr>
                  <w:r>
                    <w:rPr>
                      <w:rFonts w:hint="eastAsia"/>
                      <w:lang w:val="en-US" w:eastAsia="zh-CN"/>
                    </w:rPr>
                    <w:t>1.5</w:t>
                  </w:r>
                  <w:r>
                    <w:rPr>
                      <w:rFonts w:hint="default"/>
                    </w:rPr>
                    <w:t>t/a</w:t>
                  </w:r>
                </w:p>
              </w:tc>
            </w:tr>
          </w:tbl>
          <w:p>
            <w:pPr>
              <w:spacing w:line="480" w:lineRule="exact"/>
              <w:ind w:left="0" w:leftChars="0" w:firstLine="0" w:firstLineChars="0"/>
              <w:rPr>
                <w:b/>
              </w:rPr>
            </w:pPr>
            <w:r>
              <w:rPr>
                <w:rFonts w:hint="eastAsia"/>
                <w:b/>
              </w:rPr>
              <w:t>3、现有工程存在的主要环境问题</w:t>
            </w:r>
          </w:p>
          <w:p>
            <w:pPr>
              <w:spacing w:line="480" w:lineRule="exact"/>
              <w:rPr>
                <w:rFonts w:hint="default"/>
                <w:color w:val="auto"/>
                <w:lang w:val="en-US" w:eastAsia="zh-CN"/>
              </w:rPr>
            </w:pPr>
            <w:r>
              <w:rPr>
                <w:rFonts w:hint="eastAsia"/>
                <w:bCs/>
              </w:rPr>
              <w:t>安徽泰昌特殊合金制造有限公司现有年加工2万吨工业工件制造项目</w:t>
            </w:r>
            <w:r>
              <w:rPr>
                <w:rFonts w:hint="eastAsia"/>
                <w:bCs/>
                <w:lang w:val="en-US" w:eastAsia="zh-CN"/>
              </w:rPr>
              <w:t>环保手续齐全，完成了排污许可登记；生活污水</w:t>
            </w:r>
            <w:r>
              <w:rPr>
                <w:rFonts w:hint="eastAsia"/>
                <w:bCs/>
                <w:vertAlign w:val="baseline"/>
                <w:lang w:val="en-US" w:eastAsia="zh-CN"/>
              </w:rPr>
              <w:t>经化粪池预处理后，进入园区管网经</w:t>
            </w:r>
            <w:r>
              <w:rPr>
                <w:rFonts w:hint="eastAsia"/>
                <w:kern w:val="0"/>
              </w:rPr>
              <w:t>怀远经济开发区污水处理厂</w:t>
            </w:r>
            <w:r>
              <w:rPr>
                <w:rFonts w:hint="eastAsia"/>
                <w:kern w:val="0"/>
                <w:lang w:val="en-US" w:eastAsia="zh-CN"/>
              </w:rPr>
              <w:t>处理达标后外排；主要噪声源设备</w:t>
            </w:r>
            <w:r>
              <w:rPr>
                <w:rFonts w:hint="eastAsia"/>
                <w:bCs/>
                <w:lang w:val="en-US" w:eastAsia="zh-CN"/>
              </w:rPr>
              <w:t>采取了基础减振、厂房隔声等措施，厂界噪声能够达标；产生的固体废物能够得到有效处置。但现有危险废物暂存间未按照</w:t>
            </w:r>
            <w:r>
              <w:rPr>
                <w:color w:val="auto"/>
              </w:rPr>
              <w:t>《危险废物贮存污染控制标准》</w:t>
            </w:r>
            <w:r>
              <w:rPr>
                <w:rFonts w:hint="eastAsia"/>
                <w:color w:val="auto"/>
                <w:lang w:eastAsia="zh-CN"/>
              </w:rPr>
              <w:t>(</w:t>
            </w:r>
            <w:r>
              <w:rPr>
                <w:color w:val="auto"/>
              </w:rPr>
              <w:t>GB</w:t>
            </w:r>
            <w:r>
              <w:rPr>
                <w:rFonts w:hint="eastAsia"/>
                <w:color w:val="auto"/>
                <w:lang w:val="en-US" w:eastAsia="zh-CN"/>
              </w:rPr>
              <w:t xml:space="preserve"> </w:t>
            </w:r>
            <w:r>
              <w:rPr>
                <w:color w:val="auto"/>
              </w:rPr>
              <w:t>18597-20</w:t>
            </w:r>
            <w:r>
              <w:rPr>
                <w:rFonts w:hint="eastAsia"/>
                <w:color w:val="auto"/>
                <w:lang w:val="en-US" w:eastAsia="zh-CN"/>
              </w:rPr>
              <w:t>23</w:t>
            </w:r>
            <w:r>
              <w:rPr>
                <w:rFonts w:hint="eastAsia"/>
                <w:color w:val="auto"/>
                <w:lang w:eastAsia="zh-CN"/>
              </w:rPr>
              <w:t>)</w:t>
            </w:r>
            <w:r>
              <w:rPr>
                <w:rFonts w:hint="eastAsia"/>
                <w:color w:val="auto"/>
              </w:rPr>
              <w:t>的要求进行</w:t>
            </w:r>
            <w:r>
              <w:rPr>
                <w:rFonts w:hint="eastAsia"/>
                <w:color w:val="auto"/>
                <w:lang w:val="en-US" w:eastAsia="zh-CN"/>
              </w:rPr>
              <w:t>防渗，建议建设单位严格按照</w:t>
            </w:r>
            <w:r>
              <w:rPr>
                <w:color w:val="auto"/>
              </w:rPr>
              <w:t>GB</w:t>
            </w:r>
            <w:r>
              <w:rPr>
                <w:rFonts w:hint="eastAsia"/>
                <w:color w:val="auto"/>
                <w:lang w:val="en-US" w:eastAsia="zh-CN"/>
              </w:rPr>
              <w:t xml:space="preserve"> </w:t>
            </w:r>
            <w:r>
              <w:rPr>
                <w:color w:val="auto"/>
              </w:rPr>
              <w:t>18597-</w:t>
            </w:r>
            <w:r>
              <w:rPr>
                <w:rFonts w:hint="eastAsia"/>
                <w:color w:val="auto"/>
                <w:lang w:val="en-US" w:eastAsia="zh-CN"/>
              </w:rPr>
              <w:t xml:space="preserve"> </w:t>
            </w:r>
            <w:r>
              <w:rPr>
                <w:color w:val="auto"/>
              </w:rPr>
              <w:t>20</w:t>
            </w:r>
            <w:r>
              <w:rPr>
                <w:rFonts w:hint="eastAsia"/>
                <w:color w:val="auto"/>
                <w:lang w:val="en-US" w:eastAsia="zh-CN"/>
              </w:rPr>
              <w:t>23中</w:t>
            </w:r>
            <w:r>
              <w:t>相关要求</w:t>
            </w:r>
            <w:r>
              <w:rPr>
                <w:rFonts w:hint="eastAsia"/>
                <w:lang w:val="en-US" w:eastAsia="zh-CN"/>
              </w:rPr>
              <w:t>改造</w:t>
            </w:r>
            <w:r>
              <w:t>危险废物暂存</w:t>
            </w:r>
            <w:r>
              <w:rPr>
                <w:rFonts w:hint="eastAsia"/>
              </w:rPr>
              <w:t>间</w:t>
            </w:r>
            <w:r>
              <w:t>，防止危险废物对地下水造成威胁</w:t>
            </w:r>
          </w:p>
          <w:p>
            <w:pPr>
              <w:pStyle w:val="21"/>
              <w:bidi w:val="0"/>
              <w:rPr>
                <w:rFonts w:hint="eastAsia"/>
                <w:lang w:val="en-US" w:eastAsia="zh-CN"/>
              </w:rPr>
            </w:pPr>
            <w:r>
              <w:rPr>
                <w:rFonts w:hint="eastAsia"/>
                <w:lang w:val="en-US" w:eastAsia="zh-CN"/>
              </w:rPr>
              <w:t>表2-14  现有工程存在的主要环境问题</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5081"/>
              <w:gridCol w:w="19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53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vertAlign w:val="baseline"/>
                      <w:lang w:val="en-US" w:eastAsia="zh-CN"/>
                    </w:rPr>
                  </w:pPr>
                  <w:r>
                    <w:rPr>
                      <w:rFonts w:hint="eastAsia"/>
                      <w:b/>
                      <w:bCs/>
                      <w:vertAlign w:val="baseline"/>
                      <w:lang w:val="en-US" w:eastAsia="zh-CN"/>
                    </w:rPr>
                    <w:t>现状存在问题</w:t>
                  </w:r>
                </w:p>
              </w:tc>
              <w:tc>
                <w:tcPr>
                  <w:tcW w:w="508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b/>
                      <w:bCs/>
                      <w:vertAlign w:val="baseline"/>
                      <w:lang w:val="en-US" w:eastAsia="zh-CN"/>
                    </w:rPr>
                  </w:pPr>
                  <w:r>
                    <w:rPr>
                      <w:rFonts w:hint="eastAsia"/>
                      <w:b/>
                      <w:bCs/>
                      <w:vertAlign w:val="baseline"/>
                      <w:lang w:val="en-US" w:eastAsia="zh-CN"/>
                    </w:rPr>
                    <w:t>整改措施</w:t>
                  </w:r>
                </w:p>
              </w:tc>
              <w:tc>
                <w:tcPr>
                  <w:tcW w:w="1979" w:type="dxa"/>
                  <w:shd w:val="clear" w:color="auto" w:fill="auto"/>
                  <w:vAlign w:val="center"/>
                </w:tcPr>
                <w:p>
                  <w:pPr>
                    <w:pStyle w:val="19"/>
                    <w:rPr>
                      <w:rFonts w:hint="default"/>
                      <w:b/>
                      <w:bCs/>
                      <w:vertAlign w:val="baseline"/>
                      <w:lang w:val="en-US" w:eastAsia="zh-CN"/>
                    </w:rPr>
                  </w:pPr>
                  <w:r>
                    <w:rPr>
                      <w:rFonts w:hint="eastAsia"/>
                      <w:b/>
                      <w:bCs/>
                      <w:vertAlign w:val="baseline"/>
                      <w:lang w:val="en-US" w:eastAsia="zh-CN"/>
                    </w:rPr>
                    <w:t>整改时限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3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vertAlign w:val="baseline"/>
                      <w:lang w:val="en-US" w:eastAsia="zh-CN"/>
                    </w:rPr>
                  </w:pPr>
                  <w:r>
                    <w:rPr>
                      <w:rFonts w:hint="eastAsia"/>
                      <w:vertAlign w:val="baseline"/>
                      <w:lang w:val="en-US" w:eastAsia="zh-CN"/>
                    </w:rPr>
                    <w:t>现有危险废物暂存间不规范</w:t>
                  </w:r>
                </w:p>
              </w:tc>
              <w:tc>
                <w:tcPr>
                  <w:tcW w:w="508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350" w:lineRule="exact"/>
                    <w:textAlignment w:val="auto"/>
                    <w:rPr>
                      <w:rFonts w:hint="default"/>
                      <w:vertAlign w:val="baseline"/>
                      <w:lang w:val="en-US" w:eastAsia="zh-CN"/>
                    </w:rPr>
                  </w:pPr>
                  <w:r>
                    <w:t>严格按照</w:t>
                  </w:r>
                  <w:r>
                    <w:rPr>
                      <w:color w:val="auto"/>
                    </w:rPr>
                    <w:t>《危险废物贮存污染控制标准》</w:t>
                  </w:r>
                  <w:r>
                    <w:rPr>
                      <w:rFonts w:hint="eastAsia"/>
                      <w:color w:val="auto"/>
                      <w:lang w:eastAsia="zh-CN"/>
                    </w:rPr>
                    <w:t>(</w:t>
                  </w:r>
                  <w:r>
                    <w:rPr>
                      <w:color w:val="auto"/>
                    </w:rPr>
                    <w:t>GB</w:t>
                  </w:r>
                  <w:r>
                    <w:rPr>
                      <w:rFonts w:hint="eastAsia"/>
                      <w:color w:val="auto"/>
                      <w:lang w:val="en-US" w:eastAsia="zh-CN"/>
                    </w:rPr>
                    <w:t xml:space="preserve"> </w:t>
                  </w:r>
                  <w:r>
                    <w:rPr>
                      <w:color w:val="auto"/>
                    </w:rPr>
                    <w:t>18597-</w:t>
                  </w:r>
                  <w:r>
                    <w:rPr>
                      <w:rFonts w:hint="eastAsia"/>
                      <w:color w:val="auto"/>
                      <w:lang w:val="en-US" w:eastAsia="zh-CN"/>
                    </w:rPr>
                    <w:t xml:space="preserve"> </w:t>
                  </w:r>
                  <w:r>
                    <w:rPr>
                      <w:color w:val="auto"/>
                    </w:rPr>
                    <w:t>20</w:t>
                  </w:r>
                  <w:r>
                    <w:rPr>
                      <w:rFonts w:hint="eastAsia"/>
                      <w:color w:val="auto"/>
                      <w:lang w:val="en-US" w:eastAsia="zh-CN"/>
                    </w:rPr>
                    <w:t>23</w:t>
                  </w:r>
                  <w:r>
                    <w:rPr>
                      <w:rFonts w:hint="eastAsia"/>
                      <w:color w:val="auto"/>
                      <w:lang w:eastAsia="zh-CN"/>
                    </w:rPr>
                    <w:t>)</w:t>
                  </w:r>
                  <w:r>
                    <w:t>的相关要求</w:t>
                  </w:r>
                  <w:r>
                    <w:rPr>
                      <w:rFonts w:hint="eastAsia"/>
                      <w:lang w:val="en-US" w:eastAsia="zh-CN"/>
                    </w:rPr>
                    <w:t>改造</w:t>
                  </w:r>
                  <w:r>
                    <w:t>危险废物暂存</w:t>
                  </w:r>
                  <w:r>
                    <w:rPr>
                      <w:rFonts w:hint="eastAsia"/>
                    </w:rPr>
                    <w:t>间</w:t>
                  </w:r>
                  <w:r>
                    <w:t>，防止危险废物对地下水造成威胁</w:t>
                  </w:r>
                </w:p>
              </w:tc>
              <w:tc>
                <w:tcPr>
                  <w:tcW w:w="1979" w:type="dxa"/>
                  <w:shd w:val="clear" w:color="auto" w:fill="auto"/>
                  <w:vAlign w:val="center"/>
                </w:tcPr>
                <w:p>
                  <w:pPr>
                    <w:pStyle w:val="19"/>
                    <w:rPr>
                      <w:rFonts w:hint="default"/>
                      <w:vertAlign w:val="baseline"/>
                      <w:lang w:val="en-US" w:eastAsia="zh-CN"/>
                    </w:rPr>
                  </w:pPr>
                  <w:r>
                    <w:rPr>
                      <w:rFonts w:hint="eastAsia"/>
                      <w:vertAlign w:val="baseline"/>
                      <w:lang w:val="en-US" w:eastAsia="zh-CN"/>
                    </w:rPr>
                    <w:t>3个月</w:t>
                  </w:r>
                </w:p>
              </w:tc>
            </w:tr>
          </w:tbl>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lang w:val="en-US" w:eastAsia="zh-CN"/>
              </w:rPr>
            </w:pPr>
          </w:p>
          <w:p>
            <w:pPr>
              <w:pStyle w:val="21"/>
              <w:bidi w:val="0"/>
              <w:rPr>
                <w:rFonts w:hint="eastAsia"/>
                <w:lang w:eastAsia="zh-CN"/>
              </w:rPr>
            </w:pPr>
            <w:r>
              <w:rPr>
                <w:rFonts w:hint="eastAsia"/>
                <w:lang w:eastAsia="zh-CN"/>
              </w:rPr>
              <w:drawing>
                <wp:inline distT="0" distB="0" distL="114300" distR="114300">
                  <wp:extent cx="5400040" cy="4531360"/>
                  <wp:effectExtent l="0" t="0" r="10160" b="2540"/>
                  <wp:docPr id="41" name="图片 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4"/>
                          <pic:cNvPicPr>
                            <a:picLocks noChangeAspect="1"/>
                          </pic:cNvPicPr>
                        </pic:nvPicPr>
                        <pic:blipFill>
                          <a:blip r:embed="rId18"/>
                          <a:stretch>
                            <a:fillRect/>
                          </a:stretch>
                        </pic:blipFill>
                        <pic:spPr>
                          <a:xfrm>
                            <a:off x="0" y="0"/>
                            <a:ext cx="5400040" cy="4531360"/>
                          </a:xfrm>
                          <a:prstGeom prst="rect">
                            <a:avLst/>
                          </a:prstGeom>
                        </pic:spPr>
                      </pic:pic>
                    </a:graphicData>
                  </a:graphic>
                </wp:inline>
              </w:drawing>
            </w:r>
          </w:p>
          <w:p>
            <w:pPr>
              <w:pStyle w:val="23"/>
              <w:bidi w:val="0"/>
              <w:rPr>
                <w:rFonts w:hint="default" w:eastAsia="宋体"/>
                <w:lang w:val="en-US" w:eastAsia="zh-CN"/>
              </w:rPr>
            </w:pPr>
            <w:r>
              <w:rPr>
                <w:rFonts w:hint="eastAsia"/>
                <w:lang w:val="en-US" w:eastAsia="zh-CN"/>
              </w:rPr>
              <w:t>图2-5  现有危险废物暂存间</w:t>
            </w: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tc>
      </w:tr>
    </w:tbl>
    <w:p>
      <w:pPr>
        <w:spacing w:line="480" w:lineRule="exact"/>
        <w:ind w:firstLine="0" w:firstLineChars="0"/>
        <w:sectPr>
          <w:pgSz w:w="11906" w:h="16838"/>
          <w:pgMar w:top="1418" w:right="1418" w:bottom="1418" w:left="1418" w:header="851" w:footer="851" w:gutter="0"/>
          <w:cols w:space="425" w:num="1"/>
          <w:docGrid w:type="lines" w:linePitch="326" w:charSpace="0"/>
        </w:sectPr>
      </w:pPr>
    </w:p>
    <w:p>
      <w:pPr>
        <w:widowControl/>
        <w:spacing w:line="480" w:lineRule="exact"/>
        <w:ind w:firstLine="0" w:firstLineChars="0"/>
        <w:outlineLvl w:val="0"/>
        <w:rPr>
          <w:rFonts w:eastAsia="黑体"/>
          <w:snapToGrid w:val="0"/>
          <w:kern w:val="0"/>
          <w:sz w:val="30"/>
          <w:szCs w:val="30"/>
        </w:rPr>
      </w:pPr>
      <w:r>
        <w:rPr>
          <w:rFonts w:eastAsia="黑体"/>
          <w:snapToGrid w:val="0"/>
          <w:kern w:val="0"/>
          <w:sz w:val="30"/>
          <w:szCs w:val="30"/>
        </w:rPr>
        <w:t>三、区域环境质量现状、环境保护目标及评价标准</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82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40" w:hRule="atLeast"/>
          <w:jc w:val="center"/>
        </w:trPr>
        <w:tc>
          <w:tcPr>
            <w:tcW w:w="246" w:type="pct"/>
          </w:tcPr>
          <w:p>
            <w:pPr>
              <w:widowControl/>
              <w:spacing w:line="480" w:lineRule="exact"/>
              <w:ind w:firstLine="0" w:firstLineChars="0"/>
              <w:jc w:val="center"/>
              <w:rPr>
                <w:b/>
                <w:bCs/>
                <w:kern w:val="0"/>
              </w:rPr>
            </w:pPr>
            <w:r>
              <w:rPr>
                <w:b/>
                <w:bCs/>
                <w:kern w:val="0"/>
              </w:rPr>
              <w:t>区域</w:t>
            </w:r>
          </w:p>
          <w:p>
            <w:pPr>
              <w:widowControl/>
              <w:spacing w:line="480" w:lineRule="exact"/>
              <w:ind w:firstLine="0" w:firstLineChars="0"/>
              <w:jc w:val="center"/>
              <w:rPr>
                <w:b/>
                <w:bCs/>
                <w:kern w:val="0"/>
              </w:rPr>
            </w:pPr>
            <w:r>
              <w:rPr>
                <w:b/>
                <w:bCs/>
                <w:kern w:val="0"/>
              </w:rPr>
              <w:t>环境</w:t>
            </w:r>
          </w:p>
          <w:p>
            <w:pPr>
              <w:widowControl/>
              <w:spacing w:line="480" w:lineRule="exact"/>
              <w:ind w:firstLine="0" w:firstLineChars="0"/>
              <w:jc w:val="center"/>
              <w:rPr>
                <w:b/>
                <w:bCs/>
                <w:kern w:val="0"/>
              </w:rPr>
            </w:pPr>
            <w:r>
              <w:rPr>
                <w:b/>
                <w:bCs/>
                <w:kern w:val="0"/>
              </w:rPr>
              <w:t>质量</w:t>
            </w:r>
          </w:p>
          <w:p>
            <w:pPr>
              <w:widowControl/>
              <w:spacing w:line="480" w:lineRule="exact"/>
              <w:ind w:firstLine="0" w:firstLineChars="0"/>
              <w:jc w:val="center"/>
              <w:rPr>
                <w:b/>
                <w:bCs/>
                <w:kern w:val="0"/>
              </w:rPr>
            </w:pPr>
            <w:r>
              <w:rPr>
                <w:b/>
                <w:bCs/>
                <w:kern w:val="0"/>
              </w:rPr>
              <w:t>现状</w:t>
            </w:r>
          </w:p>
        </w:tc>
        <w:tc>
          <w:tcPr>
            <w:tcW w:w="4753" w:type="pct"/>
          </w:tcPr>
          <w:p>
            <w:pPr>
              <w:keepNext w:val="0"/>
              <w:keepLines w:val="0"/>
              <w:pageBreakBefore w:val="0"/>
              <w:kinsoku/>
              <w:wordWrap/>
              <w:overflowPunct/>
              <w:topLinePunct w:val="0"/>
              <w:autoSpaceDE/>
              <w:autoSpaceDN/>
              <w:bidi w:val="0"/>
              <w:adjustRightInd/>
              <w:snapToGrid/>
              <w:spacing w:line="480" w:lineRule="exact"/>
              <w:ind w:left="0" w:leftChars="0" w:firstLine="0" w:firstLineChars="0"/>
              <w:textAlignment w:val="auto"/>
              <w:rPr>
                <w:b/>
                <w:bCs/>
                <w:kern w:val="0"/>
              </w:rPr>
            </w:pPr>
            <w:r>
              <w:rPr>
                <w:b/>
                <w:bCs/>
                <w:kern w:val="0"/>
              </w:rPr>
              <w:t>1、</w:t>
            </w:r>
            <w:r>
              <w:rPr>
                <w:rFonts w:hint="eastAsia"/>
                <w:b/>
                <w:bCs/>
                <w:kern w:val="0"/>
              </w:rPr>
              <w:t>大气环境</w:t>
            </w:r>
          </w:p>
          <w:p>
            <w:pPr>
              <w:keepNext w:val="0"/>
              <w:keepLines w:val="0"/>
              <w:pageBreakBefore w:val="0"/>
              <w:widowControl/>
              <w:kinsoku/>
              <w:wordWrap/>
              <w:overflowPunct/>
              <w:topLinePunct w:val="0"/>
              <w:autoSpaceDE/>
              <w:autoSpaceDN/>
              <w:bidi w:val="0"/>
              <w:adjustRightInd/>
              <w:snapToGrid/>
              <w:spacing w:line="480" w:lineRule="exact"/>
              <w:ind w:firstLine="482"/>
              <w:textAlignment w:val="auto"/>
              <w:rPr>
                <w:b/>
                <w:bCs/>
                <w:kern w:val="0"/>
              </w:rPr>
            </w:pPr>
            <w:r>
              <w:rPr>
                <w:rFonts w:hint="eastAsia"/>
                <w:b/>
                <w:bCs/>
                <w:kern w:val="0"/>
              </w:rPr>
              <w:t>(</w:t>
            </w:r>
            <w:r>
              <w:rPr>
                <w:b/>
                <w:bCs/>
                <w:kern w:val="0"/>
              </w:rPr>
              <w:t xml:space="preserve">1) </w:t>
            </w:r>
            <w:r>
              <w:rPr>
                <w:rFonts w:hint="eastAsia"/>
                <w:b/>
                <w:bCs/>
                <w:kern w:val="0"/>
              </w:rPr>
              <w:t>基本污染物</w:t>
            </w:r>
          </w:p>
          <w:p>
            <w:pPr>
              <w:keepNext w:val="0"/>
              <w:keepLines w:val="0"/>
              <w:pageBreakBefore w:val="0"/>
              <w:widowControl/>
              <w:kinsoku/>
              <w:wordWrap/>
              <w:overflowPunct/>
              <w:topLinePunct w:val="0"/>
              <w:autoSpaceDE/>
              <w:autoSpaceDN/>
              <w:bidi w:val="0"/>
              <w:adjustRightInd/>
              <w:snapToGrid/>
              <w:spacing w:line="480" w:lineRule="exact"/>
              <w:textAlignment w:val="auto"/>
              <w:rPr>
                <w:kern w:val="0"/>
              </w:rPr>
            </w:pPr>
            <w:r>
              <w:rPr>
                <w:rFonts w:hint="eastAsia"/>
                <w:color w:val="000000" w:themeColor="text1"/>
                <w14:textFill>
                  <w14:solidFill>
                    <w14:schemeClr w14:val="tx1"/>
                  </w14:solidFill>
                </w14:textFill>
              </w:rPr>
              <w:t>根据《环境影响评价技术导则 大气环境》</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HJ 2.2-2018</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，基本污染物环境质量现状数据优先采用国家或地方生态环境主管部门发布的评价基准年环境质量公告或环境质量报告中的数据或结论。</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default" w:eastAsia="宋体"/>
                <w:kern w:val="0"/>
                <w:lang w:val="en-US" w:eastAsia="zh-CN"/>
              </w:rPr>
            </w:pPr>
            <w:r>
              <w:rPr>
                <w:color w:val="000000" w:themeColor="text1"/>
                <w14:textFill>
                  <w14:solidFill>
                    <w14:schemeClr w14:val="tx1"/>
                  </w14:solidFill>
                </w14:textFill>
              </w:rPr>
              <w:t>本次评价</w:t>
            </w:r>
            <w:r>
              <w:rPr>
                <w:rFonts w:hint="eastAsia"/>
                <w:color w:val="000000" w:themeColor="text1"/>
                <w14:textFill>
                  <w14:solidFill>
                    <w14:schemeClr w14:val="tx1"/>
                  </w14:solidFill>
                </w14:textFill>
              </w:rPr>
              <w:t>选择</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作为基准年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根据蚌埠市环境质量公报，</w:t>
            </w:r>
            <w:r>
              <w:rPr>
                <w:rFonts w:hint="eastAsia"/>
                <w:bCs/>
                <w:color w:val="000000" w:themeColor="text1"/>
                <w14:textFill>
                  <w14:solidFill>
                    <w14:schemeClr w14:val="tx1"/>
                  </w14:solidFill>
                </w14:textFill>
              </w:rPr>
              <w:t>202</w:t>
            </w:r>
            <w:r>
              <w:rPr>
                <w:rFonts w:hint="eastAsia"/>
                <w:bCs/>
                <w:color w:val="000000" w:themeColor="text1"/>
                <w:lang w:val="en-US" w:eastAsia="zh-CN"/>
                <w14:textFill>
                  <w14:solidFill>
                    <w14:schemeClr w14:val="tx1"/>
                  </w14:solidFill>
                </w14:textFill>
              </w:rPr>
              <w:t>2</w:t>
            </w:r>
            <w:r>
              <w:rPr>
                <w:rFonts w:hint="eastAsia"/>
                <w:bCs/>
                <w:color w:val="000000" w:themeColor="text1"/>
                <w14:textFill>
                  <w14:solidFill>
                    <w14:schemeClr w14:val="tx1"/>
                  </w14:solidFill>
                </w14:textFill>
              </w:rPr>
              <w:t>年蚌埠市SO</w:t>
            </w:r>
            <w:r>
              <w:rPr>
                <w:rFonts w:hint="eastAsia"/>
                <w:bCs/>
                <w:color w:val="000000" w:themeColor="text1"/>
                <w:vertAlign w:val="subscript"/>
                <w14:textFill>
                  <w14:solidFill>
                    <w14:schemeClr w14:val="tx1"/>
                  </w14:solidFill>
                </w14:textFill>
              </w:rPr>
              <w:t>2</w:t>
            </w:r>
            <w:r>
              <w:rPr>
                <w:rFonts w:hint="eastAsia"/>
                <w:bCs/>
                <w:color w:val="000000" w:themeColor="text1"/>
                <w14:textFill>
                  <w14:solidFill>
                    <w14:schemeClr w14:val="tx1"/>
                  </w14:solidFill>
                </w14:textFill>
              </w:rPr>
              <w:t>、NO</w:t>
            </w:r>
            <w:r>
              <w:rPr>
                <w:rFonts w:hint="eastAsia"/>
                <w:bCs/>
                <w:color w:val="000000" w:themeColor="text1"/>
                <w:vertAlign w:val="subscript"/>
                <w14:textFill>
                  <w14:solidFill>
                    <w14:schemeClr w14:val="tx1"/>
                  </w14:solidFill>
                </w14:textFill>
              </w:rPr>
              <w:t>2</w:t>
            </w:r>
            <w:r>
              <w:rPr>
                <w:rFonts w:hint="eastAsia"/>
                <w:bCs/>
                <w:color w:val="000000" w:themeColor="text1"/>
                <w14:textFill>
                  <w14:solidFill>
                    <w14:schemeClr w14:val="tx1"/>
                  </w14:solidFill>
                </w14:textFill>
              </w:rPr>
              <w:t>、PM</w:t>
            </w:r>
            <w:r>
              <w:rPr>
                <w:rFonts w:hint="eastAsia"/>
                <w:bCs/>
                <w:color w:val="000000" w:themeColor="text1"/>
                <w:vertAlign w:val="subscript"/>
                <w14:textFill>
                  <w14:solidFill>
                    <w14:schemeClr w14:val="tx1"/>
                  </w14:solidFill>
                </w14:textFill>
              </w:rPr>
              <w:t>10</w:t>
            </w:r>
            <w:r>
              <w:rPr>
                <w:rFonts w:hint="eastAsia"/>
                <w:bCs/>
                <w:color w:val="000000" w:themeColor="text1"/>
                <w14:textFill>
                  <w14:solidFill>
                    <w14:schemeClr w14:val="tx1"/>
                  </w14:solidFill>
                </w14:textFill>
              </w:rPr>
              <w:t>、CO 24小时平均第95百分位数浓度分别为10</w:t>
            </w:r>
            <w:r>
              <w:rPr>
                <w:bCs/>
                <w:color w:val="000000" w:themeColor="text1"/>
                <w14:textFill>
                  <w14:solidFill>
                    <w14:schemeClr w14:val="tx1"/>
                  </w14:solidFill>
                </w14:textFill>
              </w:rPr>
              <w:t>μg/m</w:t>
            </w:r>
            <w:r>
              <w:rPr>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、25</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、66</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和800</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，满足《环境空气质量标准》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GB 3095-2012</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中二级标准限值；PM</w:t>
            </w:r>
            <w:r>
              <w:rPr>
                <w:rFonts w:hint="eastAsia"/>
                <w:bCs/>
                <w:color w:val="000000" w:themeColor="text1"/>
                <w:vertAlign w:val="subscript"/>
                <w14:textFill>
                  <w14:solidFill>
                    <w14:schemeClr w14:val="tx1"/>
                  </w14:solidFill>
                </w14:textFill>
              </w:rPr>
              <w:t>2.5</w:t>
            </w:r>
            <w:r>
              <w:rPr>
                <w:rFonts w:hint="eastAsia"/>
                <w:bCs/>
                <w:color w:val="000000" w:themeColor="text1"/>
                <w14:textFill>
                  <w14:solidFill>
                    <w14:schemeClr w14:val="tx1"/>
                  </w14:solidFill>
                </w14:textFill>
              </w:rPr>
              <w:t>年均浓度为37</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、O</w:t>
            </w:r>
            <w:r>
              <w:rPr>
                <w:rFonts w:hint="eastAsia"/>
                <w:bCs/>
                <w:color w:val="000000" w:themeColor="text1"/>
                <w:vertAlign w:val="subscript"/>
                <w14:textFill>
                  <w14:solidFill>
                    <w14:schemeClr w14:val="tx1"/>
                  </w14:solidFill>
                </w14:textFill>
              </w:rPr>
              <w:t>3</w:t>
            </w:r>
            <w:r>
              <w:rPr>
                <w:rFonts w:hint="eastAsia"/>
                <w:bCs/>
                <w:color w:val="000000" w:themeColor="text1"/>
                <w14:textFill>
                  <w14:solidFill>
                    <w14:schemeClr w14:val="tx1"/>
                  </w14:solidFill>
                </w14:textFill>
              </w:rPr>
              <w:t>日最大8小时平均第90百分位数浓度为162</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，超过《环境空气质量标准》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GB 3095-2012</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中二级标准限值，区域属于环境空气质量不达标区</w:t>
            </w:r>
            <w:r>
              <w:rPr>
                <w:rFonts w:hint="eastAsia"/>
                <w:bCs/>
                <w:color w:val="000000" w:themeColor="text1"/>
                <w:lang w:eastAsia="zh-CN"/>
                <w14:textFill>
                  <w14:solidFill>
                    <w14:schemeClr w14:val="tx1"/>
                  </w14:solidFill>
                </w14:textFill>
              </w:rPr>
              <w:t>，</w:t>
            </w:r>
            <w:r>
              <w:rPr>
                <w:rFonts w:hint="eastAsia"/>
                <w:bCs/>
                <w:color w:val="000000" w:themeColor="text1"/>
                <w:lang w:val="en-US" w:eastAsia="zh-CN"/>
                <w14:textFill>
                  <w14:solidFill>
                    <w14:schemeClr w14:val="tx1"/>
                  </w14:solidFill>
                </w14:textFill>
              </w:rPr>
              <w:t>超标因子为PM</w:t>
            </w:r>
            <w:r>
              <w:rPr>
                <w:rFonts w:hint="eastAsia"/>
                <w:bCs/>
                <w:color w:val="000000" w:themeColor="text1"/>
                <w:vertAlign w:val="subscript"/>
                <w:lang w:val="en-US" w:eastAsia="zh-CN"/>
                <w14:textFill>
                  <w14:solidFill>
                    <w14:schemeClr w14:val="tx1"/>
                  </w14:solidFill>
                </w14:textFill>
              </w:rPr>
              <w:t>2.5</w:t>
            </w:r>
            <w:r>
              <w:rPr>
                <w:rFonts w:hint="eastAsia"/>
                <w:bCs/>
                <w:color w:val="000000" w:themeColor="text1"/>
                <w:lang w:val="en-US" w:eastAsia="zh-CN"/>
                <w14:textFill>
                  <w14:solidFill>
                    <w14:schemeClr w14:val="tx1"/>
                  </w14:solidFill>
                </w14:textFill>
              </w:rPr>
              <w:t>和O</w:t>
            </w:r>
            <w:r>
              <w:rPr>
                <w:rFonts w:hint="eastAsia"/>
                <w:bCs/>
                <w:color w:val="000000" w:themeColor="text1"/>
                <w:vertAlign w:val="subscript"/>
                <w:lang w:val="en-US" w:eastAsia="zh-CN"/>
                <w14:textFill>
                  <w14:solidFill>
                    <w14:schemeClr w14:val="tx1"/>
                  </w14:solidFill>
                </w14:textFill>
              </w:rPr>
              <w:t>3</w:t>
            </w:r>
            <w:r>
              <w:rPr>
                <w:rFonts w:hint="eastAsia"/>
                <w:bCs/>
                <w:color w:val="000000" w:themeColor="text1"/>
                <w:lang w:val="en-US" w:eastAsia="zh-CN"/>
                <w14:textFill>
                  <w14:solidFill>
                    <w14:schemeClr w14:val="tx1"/>
                  </w14:solidFill>
                </w14:textFill>
              </w:rPr>
              <w:t>。</w:t>
            </w:r>
          </w:p>
          <w:p>
            <w:pPr>
              <w:pStyle w:val="21"/>
            </w:pPr>
            <w:r>
              <w:rPr>
                <w:rFonts w:hint="eastAsia"/>
              </w:rPr>
              <w:t>表3</w:t>
            </w:r>
            <w:r>
              <w:t xml:space="preserve">-1  </w:t>
            </w:r>
            <w:r>
              <w:rPr>
                <w:rFonts w:hint="eastAsia"/>
              </w:rPr>
              <w:t>基本污染物环境质量现状</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3741"/>
              <w:gridCol w:w="835"/>
              <w:gridCol w:w="1022"/>
              <w:gridCol w:w="1148"/>
              <w:gridCol w:w="1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483" w:type="pct"/>
                  <w:shd w:val="clear" w:color="auto" w:fill="auto"/>
                  <w:vAlign w:val="center"/>
                </w:tcPr>
                <w:p>
                  <w:pPr>
                    <w:pStyle w:val="19"/>
                    <w:rPr>
                      <w:b/>
                      <w:sz w:val="18"/>
                      <w:szCs w:val="18"/>
                    </w:rPr>
                  </w:pPr>
                  <w:r>
                    <w:rPr>
                      <w:b/>
                      <w:sz w:val="18"/>
                      <w:szCs w:val="18"/>
                    </w:rPr>
                    <w:t>污染物</w:t>
                  </w:r>
                </w:p>
              </w:tc>
              <w:tc>
                <w:tcPr>
                  <w:tcW w:w="2174" w:type="pct"/>
                  <w:shd w:val="clear" w:color="auto" w:fill="auto"/>
                  <w:vAlign w:val="center"/>
                </w:tcPr>
                <w:p>
                  <w:pPr>
                    <w:pStyle w:val="19"/>
                    <w:rPr>
                      <w:b/>
                      <w:sz w:val="18"/>
                      <w:szCs w:val="18"/>
                    </w:rPr>
                  </w:pPr>
                  <w:r>
                    <w:rPr>
                      <w:b/>
                      <w:sz w:val="18"/>
                      <w:szCs w:val="18"/>
                    </w:rPr>
                    <w:t>年评价指标</w:t>
                  </w:r>
                </w:p>
              </w:tc>
              <w:tc>
                <w:tcPr>
                  <w:tcW w:w="485" w:type="pct"/>
                  <w:shd w:val="clear" w:color="auto" w:fill="auto"/>
                  <w:vAlign w:val="center"/>
                </w:tcPr>
                <w:p>
                  <w:pPr>
                    <w:pStyle w:val="19"/>
                    <w:rPr>
                      <w:b/>
                      <w:sz w:val="18"/>
                      <w:szCs w:val="18"/>
                    </w:rPr>
                  </w:pPr>
                  <w:r>
                    <w:rPr>
                      <w:b/>
                      <w:sz w:val="18"/>
                      <w:szCs w:val="18"/>
                    </w:rPr>
                    <w:t>标准值</w:t>
                  </w:r>
                </w:p>
              </w:tc>
              <w:tc>
                <w:tcPr>
                  <w:tcW w:w="594" w:type="pct"/>
                  <w:shd w:val="clear" w:color="auto" w:fill="auto"/>
                  <w:vAlign w:val="center"/>
                </w:tcPr>
                <w:p>
                  <w:pPr>
                    <w:pStyle w:val="19"/>
                    <w:rPr>
                      <w:b/>
                      <w:sz w:val="18"/>
                      <w:szCs w:val="18"/>
                    </w:rPr>
                  </w:pPr>
                  <w:r>
                    <w:rPr>
                      <w:b/>
                      <w:sz w:val="18"/>
                      <w:szCs w:val="18"/>
                    </w:rPr>
                    <w:t>现状浓度</w:t>
                  </w:r>
                </w:p>
              </w:tc>
              <w:tc>
                <w:tcPr>
                  <w:tcW w:w="667" w:type="pct"/>
                  <w:shd w:val="clear" w:color="auto" w:fill="auto"/>
                  <w:vAlign w:val="center"/>
                </w:tcPr>
                <w:p>
                  <w:pPr>
                    <w:pStyle w:val="19"/>
                    <w:rPr>
                      <w:b/>
                      <w:sz w:val="18"/>
                      <w:szCs w:val="18"/>
                    </w:rPr>
                  </w:pPr>
                  <w:r>
                    <w:rPr>
                      <w:b/>
                      <w:sz w:val="18"/>
                      <w:szCs w:val="18"/>
                    </w:rPr>
                    <w:t>占标率(%)</w:t>
                  </w:r>
                </w:p>
              </w:tc>
              <w:tc>
                <w:tcPr>
                  <w:tcW w:w="594" w:type="pct"/>
                  <w:shd w:val="clear" w:color="auto" w:fill="auto"/>
                  <w:vAlign w:val="center"/>
                </w:tcPr>
                <w:p>
                  <w:pPr>
                    <w:pStyle w:val="19"/>
                    <w:rPr>
                      <w:b/>
                      <w:sz w:val="18"/>
                      <w:szCs w:val="18"/>
                    </w:rPr>
                  </w:pPr>
                  <w:r>
                    <w:rPr>
                      <w:b/>
                      <w:sz w:val="18"/>
                      <w:szCs w:val="18"/>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3" w:type="pct"/>
                  <w:shd w:val="clear" w:color="auto" w:fill="auto"/>
                  <w:vAlign w:val="center"/>
                </w:tcPr>
                <w:p>
                  <w:pPr>
                    <w:pStyle w:val="19"/>
                    <w:rPr>
                      <w:sz w:val="18"/>
                      <w:szCs w:val="18"/>
                    </w:rPr>
                  </w:pPr>
                  <w:r>
                    <w:rPr>
                      <w:sz w:val="18"/>
                      <w:szCs w:val="18"/>
                    </w:rPr>
                    <w:t>SO</w:t>
                  </w:r>
                  <w:r>
                    <w:rPr>
                      <w:sz w:val="18"/>
                      <w:szCs w:val="18"/>
                      <w:vertAlign w:val="subscript"/>
                    </w:rPr>
                    <w:t>2</w:t>
                  </w:r>
                </w:p>
              </w:tc>
              <w:tc>
                <w:tcPr>
                  <w:tcW w:w="2174" w:type="pct"/>
                  <w:shd w:val="clear" w:color="auto" w:fill="auto"/>
                  <w:vAlign w:val="center"/>
                </w:tcPr>
                <w:p>
                  <w:pPr>
                    <w:pStyle w:val="19"/>
                    <w:rPr>
                      <w:sz w:val="18"/>
                      <w:szCs w:val="18"/>
                    </w:rPr>
                  </w:pPr>
                  <w:r>
                    <w:rPr>
                      <w:sz w:val="18"/>
                      <w:szCs w:val="18"/>
                    </w:rPr>
                    <w:t>年平均质量浓度</w:t>
                  </w:r>
                </w:p>
              </w:tc>
              <w:tc>
                <w:tcPr>
                  <w:tcW w:w="485" w:type="pct"/>
                  <w:shd w:val="clear" w:color="auto" w:fill="auto"/>
                  <w:vAlign w:val="center"/>
                </w:tcPr>
                <w:p>
                  <w:pPr>
                    <w:pStyle w:val="19"/>
                    <w:rPr>
                      <w:sz w:val="18"/>
                      <w:szCs w:val="18"/>
                    </w:rPr>
                  </w:pPr>
                  <w:r>
                    <w:rPr>
                      <w:sz w:val="18"/>
                      <w:szCs w:val="18"/>
                    </w:rPr>
                    <w:t>60</w:t>
                  </w:r>
                </w:p>
              </w:tc>
              <w:tc>
                <w:tcPr>
                  <w:tcW w:w="594" w:type="pct"/>
                  <w:shd w:val="clear" w:color="auto" w:fill="auto"/>
                  <w:vAlign w:val="center"/>
                </w:tcPr>
                <w:p>
                  <w:pPr>
                    <w:pStyle w:val="19"/>
                    <w:rPr>
                      <w:rFonts w:hint="default" w:eastAsia="宋体"/>
                      <w:sz w:val="18"/>
                      <w:szCs w:val="18"/>
                      <w:lang w:val="en-US" w:eastAsia="zh-CN"/>
                    </w:rPr>
                  </w:pPr>
                  <w:r>
                    <w:rPr>
                      <w:rFonts w:hint="eastAsia"/>
                      <w:sz w:val="18"/>
                      <w:szCs w:val="18"/>
                      <w:lang w:val="en-US" w:eastAsia="zh-CN"/>
                    </w:rPr>
                    <w:t>10</w:t>
                  </w:r>
                </w:p>
              </w:tc>
              <w:tc>
                <w:tcPr>
                  <w:tcW w:w="1150" w:type="dxa"/>
                  <w:shd w:val="clear" w:color="auto" w:fill="auto"/>
                  <w:vAlign w:val="center"/>
                </w:tcPr>
                <w:p>
                  <w:pPr>
                    <w:pStyle w:val="19"/>
                    <w:rPr>
                      <w:rFonts w:hint="default"/>
                      <w:sz w:val="18"/>
                      <w:szCs w:val="18"/>
                      <w:lang w:val="en-US" w:eastAsia="zh-CN"/>
                    </w:rPr>
                  </w:pPr>
                  <w:r>
                    <w:rPr>
                      <w:rFonts w:hint="eastAsia"/>
                      <w:sz w:val="18"/>
                      <w:szCs w:val="18"/>
                      <w:lang w:val="en-US" w:eastAsia="zh-CN"/>
                    </w:rPr>
                    <w:t>16.67</w:t>
                  </w:r>
                </w:p>
              </w:tc>
              <w:tc>
                <w:tcPr>
                  <w:tcW w:w="594" w:type="pct"/>
                  <w:shd w:val="clear" w:color="auto" w:fill="auto"/>
                  <w:vAlign w:val="center"/>
                </w:tcPr>
                <w:p>
                  <w:pPr>
                    <w:pStyle w:val="19"/>
                    <w:rPr>
                      <w:rFonts w:hint="eastAsia" w:eastAsia="宋体"/>
                      <w:sz w:val="18"/>
                      <w:szCs w:val="18"/>
                      <w:lang w:val="en-US" w:eastAsia="zh-CN"/>
                    </w:rPr>
                  </w:pPr>
                  <w:r>
                    <w:rPr>
                      <w:rFonts w:hint="eastAsia"/>
                      <w:sz w:val="18"/>
                      <w:szCs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3" w:type="pct"/>
                  <w:shd w:val="clear" w:color="auto" w:fill="auto"/>
                  <w:vAlign w:val="center"/>
                </w:tcPr>
                <w:p>
                  <w:pPr>
                    <w:pStyle w:val="19"/>
                    <w:rPr>
                      <w:sz w:val="18"/>
                      <w:szCs w:val="18"/>
                    </w:rPr>
                  </w:pPr>
                  <w:r>
                    <w:rPr>
                      <w:sz w:val="18"/>
                      <w:szCs w:val="18"/>
                    </w:rPr>
                    <w:t>NO</w:t>
                  </w:r>
                  <w:r>
                    <w:rPr>
                      <w:sz w:val="18"/>
                      <w:szCs w:val="18"/>
                      <w:vertAlign w:val="subscript"/>
                    </w:rPr>
                    <w:t>2</w:t>
                  </w:r>
                </w:p>
              </w:tc>
              <w:tc>
                <w:tcPr>
                  <w:tcW w:w="2174" w:type="pct"/>
                  <w:shd w:val="clear" w:color="auto" w:fill="auto"/>
                  <w:vAlign w:val="center"/>
                </w:tcPr>
                <w:p>
                  <w:pPr>
                    <w:pStyle w:val="19"/>
                    <w:rPr>
                      <w:sz w:val="18"/>
                      <w:szCs w:val="18"/>
                    </w:rPr>
                  </w:pPr>
                  <w:r>
                    <w:rPr>
                      <w:sz w:val="18"/>
                      <w:szCs w:val="18"/>
                    </w:rPr>
                    <w:t>年平均质量浓度</w:t>
                  </w:r>
                </w:p>
              </w:tc>
              <w:tc>
                <w:tcPr>
                  <w:tcW w:w="485" w:type="pct"/>
                  <w:shd w:val="clear" w:color="auto" w:fill="auto"/>
                  <w:vAlign w:val="center"/>
                </w:tcPr>
                <w:p>
                  <w:pPr>
                    <w:pStyle w:val="19"/>
                    <w:rPr>
                      <w:sz w:val="18"/>
                      <w:szCs w:val="18"/>
                    </w:rPr>
                  </w:pPr>
                  <w:r>
                    <w:rPr>
                      <w:sz w:val="18"/>
                      <w:szCs w:val="18"/>
                    </w:rPr>
                    <w:t>40</w:t>
                  </w:r>
                </w:p>
              </w:tc>
              <w:tc>
                <w:tcPr>
                  <w:tcW w:w="594" w:type="pct"/>
                  <w:shd w:val="clear" w:color="auto" w:fill="auto"/>
                  <w:vAlign w:val="center"/>
                </w:tcPr>
                <w:p>
                  <w:pPr>
                    <w:pStyle w:val="19"/>
                    <w:rPr>
                      <w:rFonts w:hint="default" w:eastAsia="宋体"/>
                      <w:sz w:val="18"/>
                      <w:szCs w:val="18"/>
                      <w:lang w:val="en-US" w:eastAsia="zh-CN"/>
                    </w:rPr>
                  </w:pPr>
                  <w:r>
                    <w:rPr>
                      <w:rFonts w:hint="eastAsia"/>
                      <w:sz w:val="18"/>
                      <w:szCs w:val="18"/>
                      <w:lang w:val="en-US" w:eastAsia="zh-CN"/>
                    </w:rPr>
                    <w:t>25</w:t>
                  </w:r>
                </w:p>
              </w:tc>
              <w:tc>
                <w:tcPr>
                  <w:tcW w:w="1150" w:type="dxa"/>
                  <w:shd w:val="clear" w:color="auto" w:fill="auto"/>
                  <w:vAlign w:val="center"/>
                </w:tcPr>
                <w:p>
                  <w:pPr>
                    <w:pStyle w:val="19"/>
                    <w:rPr>
                      <w:rFonts w:hint="default"/>
                      <w:sz w:val="18"/>
                      <w:szCs w:val="18"/>
                      <w:lang w:val="en-US" w:eastAsia="zh-CN"/>
                    </w:rPr>
                  </w:pPr>
                  <w:r>
                    <w:rPr>
                      <w:rFonts w:hint="eastAsia"/>
                      <w:sz w:val="18"/>
                      <w:szCs w:val="18"/>
                      <w:lang w:val="en-US" w:eastAsia="zh-CN"/>
                    </w:rPr>
                    <w:t>62.50</w:t>
                  </w:r>
                </w:p>
              </w:tc>
              <w:tc>
                <w:tcPr>
                  <w:tcW w:w="594" w:type="pct"/>
                  <w:shd w:val="clear" w:color="auto" w:fill="auto"/>
                  <w:vAlign w:val="center"/>
                </w:tcPr>
                <w:p>
                  <w:pPr>
                    <w:pStyle w:val="19"/>
                    <w:rPr>
                      <w:rFonts w:hint="eastAsia" w:eastAsia="宋体"/>
                      <w:sz w:val="18"/>
                      <w:szCs w:val="18"/>
                      <w:lang w:val="en-US" w:eastAsia="zh-CN"/>
                    </w:rPr>
                  </w:pPr>
                  <w:r>
                    <w:rPr>
                      <w:rFonts w:hint="eastAsia"/>
                      <w:sz w:val="18"/>
                      <w:szCs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3" w:type="pct"/>
                  <w:shd w:val="clear" w:color="auto" w:fill="auto"/>
                  <w:vAlign w:val="center"/>
                </w:tcPr>
                <w:p>
                  <w:pPr>
                    <w:pStyle w:val="19"/>
                    <w:rPr>
                      <w:sz w:val="18"/>
                      <w:szCs w:val="18"/>
                    </w:rPr>
                  </w:pPr>
                  <w:r>
                    <w:rPr>
                      <w:sz w:val="18"/>
                      <w:szCs w:val="18"/>
                    </w:rPr>
                    <w:t>PM</w:t>
                  </w:r>
                  <w:r>
                    <w:rPr>
                      <w:sz w:val="18"/>
                      <w:szCs w:val="18"/>
                      <w:vertAlign w:val="subscript"/>
                    </w:rPr>
                    <w:t>10</w:t>
                  </w:r>
                </w:p>
              </w:tc>
              <w:tc>
                <w:tcPr>
                  <w:tcW w:w="2174" w:type="pct"/>
                  <w:shd w:val="clear" w:color="auto" w:fill="auto"/>
                  <w:vAlign w:val="center"/>
                </w:tcPr>
                <w:p>
                  <w:pPr>
                    <w:pStyle w:val="19"/>
                    <w:rPr>
                      <w:sz w:val="18"/>
                      <w:szCs w:val="18"/>
                    </w:rPr>
                  </w:pPr>
                  <w:r>
                    <w:rPr>
                      <w:sz w:val="18"/>
                      <w:szCs w:val="18"/>
                    </w:rPr>
                    <w:t>年平均质量浓度</w:t>
                  </w:r>
                </w:p>
              </w:tc>
              <w:tc>
                <w:tcPr>
                  <w:tcW w:w="485" w:type="pct"/>
                  <w:shd w:val="clear" w:color="auto" w:fill="auto"/>
                  <w:vAlign w:val="center"/>
                </w:tcPr>
                <w:p>
                  <w:pPr>
                    <w:pStyle w:val="19"/>
                    <w:rPr>
                      <w:sz w:val="18"/>
                      <w:szCs w:val="18"/>
                    </w:rPr>
                  </w:pPr>
                  <w:r>
                    <w:rPr>
                      <w:sz w:val="18"/>
                      <w:szCs w:val="18"/>
                    </w:rPr>
                    <w:t>70</w:t>
                  </w:r>
                </w:p>
              </w:tc>
              <w:tc>
                <w:tcPr>
                  <w:tcW w:w="594" w:type="pct"/>
                  <w:shd w:val="clear" w:color="auto" w:fill="auto"/>
                  <w:vAlign w:val="center"/>
                </w:tcPr>
                <w:p>
                  <w:pPr>
                    <w:pStyle w:val="19"/>
                    <w:rPr>
                      <w:rFonts w:hint="default" w:eastAsia="宋体"/>
                      <w:sz w:val="18"/>
                      <w:szCs w:val="18"/>
                      <w:lang w:val="en-US" w:eastAsia="zh-CN"/>
                    </w:rPr>
                  </w:pPr>
                  <w:r>
                    <w:rPr>
                      <w:rFonts w:hint="eastAsia"/>
                      <w:sz w:val="18"/>
                      <w:szCs w:val="18"/>
                      <w:lang w:val="en-US" w:eastAsia="zh-CN"/>
                    </w:rPr>
                    <w:t>66</w:t>
                  </w:r>
                </w:p>
              </w:tc>
              <w:tc>
                <w:tcPr>
                  <w:tcW w:w="1150" w:type="dxa"/>
                  <w:shd w:val="clear" w:color="auto" w:fill="auto"/>
                  <w:vAlign w:val="center"/>
                </w:tcPr>
                <w:p>
                  <w:pPr>
                    <w:pStyle w:val="19"/>
                    <w:rPr>
                      <w:rFonts w:hint="default"/>
                      <w:sz w:val="18"/>
                      <w:szCs w:val="18"/>
                      <w:lang w:val="en-US" w:eastAsia="zh-CN"/>
                    </w:rPr>
                  </w:pPr>
                  <w:r>
                    <w:rPr>
                      <w:rFonts w:hint="eastAsia"/>
                      <w:sz w:val="18"/>
                      <w:szCs w:val="18"/>
                      <w:lang w:val="en-US" w:eastAsia="zh-CN"/>
                    </w:rPr>
                    <w:t>94.29</w:t>
                  </w:r>
                </w:p>
              </w:tc>
              <w:tc>
                <w:tcPr>
                  <w:tcW w:w="594" w:type="pct"/>
                  <w:shd w:val="clear" w:color="auto" w:fill="auto"/>
                  <w:vAlign w:val="center"/>
                </w:tcPr>
                <w:p>
                  <w:pPr>
                    <w:pStyle w:val="19"/>
                    <w:rPr>
                      <w:rFonts w:hint="eastAsia" w:eastAsia="宋体"/>
                      <w:sz w:val="18"/>
                      <w:szCs w:val="18"/>
                      <w:lang w:val="en-US" w:eastAsia="zh-CN"/>
                    </w:rPr>
                  </w:pPr>
                  <w:r>
                    <w:rPr>
                      <w:rFonts w:hint="eastAsia"/>
                      <w:sz w:val="18"/>
                      <w:szCs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3" w:type="pct"/>
                  <w:shd w:val="clear" w:color="auto" w:fill="auto"/>
                  <w:vAlign w:val="center"/>
                </w:tcPr>
                <w:p>
                  <w:pPr>
                    <w:pStyle w:val="19"/>
                    <w:rPr>
                      <w:sz w:val="18"/>
                      <w:szCs w:val="18"/>
                    </w:rPr>
                  </w:pPr>
                  <w:r>
                    <w:rPr>
                      <w:sz w:val="18"/>
                      <w:szCs w:val="18"/>
                    </w:rPr>
                    <w:t>PM</w:t>
                  </w:r>
                  <w:r>
                    <w:rPr>
                      <w:sz w:val="18"/>
                      <w:szCs w:val="18"/>
                      <w:vertAlign w:val="subscript"/>
                    </w:rPr>
                    <w:t>2.5</w:t>
                  </w:r>
                </w:p>
              </w:tc>
              <w:tc>
                <w:tcPr>
                  <w:tcW w:w="2174" w:type="pct"/>
                  <w:shd w:val="clear" w:color="auto" w:fill="auto"/>
                  <w:vAlign w:val="center"/>
                </w:tcPr>
                <w:p>
                  <w:pPr>
                    <w:pStyle w:val="19"/>
                    <w:rPr>
                      <w:sz w:val="18"/>
                      <w:szCs w:val="18"/>
                    </w:rPr>
                  </w:pPr>
                  <w:r>
                    <w:rPr>
                      <w:sz w:val="18"/>
                      <w:szCs w:val="18"/>
                    </w:rPr>
                    <w:t>年平均质量浓度</w:t>
                  </w:r>
                </w:p>
              </w:tc>
              <w:tc>
                <w:tcPr>
                  <w:tcW w:w="485" w:type="pct"/>
                  <w:shd w:val="clear" w:color="auto" w:fill="auto"/>
                  <w:vAlign w:val="center"/>
                </w:tcPr>
                <w:p>
                  <w:pPr>
                    <w:pStyle w:val="19"/>
                    <w:rPr>
                      <w:sz w:val="18"/>
                      <w:szCs w:val="18"/>
                    </w:rPr>
                  </w:pPr>
                  <w:r>
                    <w:rPr>
                      <w:sz w:val="18"/>
                      <w:szCs w:val="18"/>
                    </w:rPr>
                    <w:t>35</w:t>
                  </w:r>
                </w:p>
              </w:tc>
              <w:tc>
                <w:tcPr>
                  <w:tcW w:w="594" w:type="pct"/>
                  <w:shd w:val="clear" w:color="auto" w:fill="auto"/>
                  <w:vAlign w:val="center"/>
                </w:tcPr>
                <w:p>
                  <w:pPr>
                    <w:pStyle w:val="19"/>
                    <w:rPr>
                      <w:rFonts w:hint="default" w:eastAsia="宋体"/>
                      <w:sz w:val="18"/>
                      <w:szCs w:val="18"/>
                      <w:lang w:val="en-US" w:eastAsia="zh-CN"/>
                    </w:rPr>
                  </w:pPr>
                  <w:r>
                    <w:rPr>
                      <w:rFonts w:hint="eastAsia"/>
                      <w:sz w:val="18"/>
                      <w:szCs w:val="18"/>
                      <w:lang w:val="en-US" w:eastAsia="zh-CN"/>
                    </w:rPr>
                    <w:t>37</w:t>
                  </w:r>
                </w:p>
              </w:tc>
              <w:tc>
                <w:tcPr>
                  <w:tcW w:w="1150" w:type="dxa"/>
                  <w:shd w:val="clear" w:color="auto" w:fill="auto"/>
                  <w:vAlign w:val="center"/>
                </w:tcPr>
                <w:p>
                  <w:pPr>
                    <w:pStyle w:val="19"/>
                    <w:rPr>
                      <w:rFonts w:hint="default"/>
                      <w:sz w:val="18"/>
                      <w:szCs w:val="18"/>
                      <w:lang w:val="en-US" w:eastAsia="zh-CN"/>
                    </w:rPr>
                  </w:pPr>
                  <w:r>
                    <w:rPr>
                      <w:rFonts w:hint="eastAsia"/>
                      <w:sz w:val="18"/>
                      <w:szCs w:val="18"/>
                      <w:lang w:val="en-US" w:eastAsia="zh-CN"/>
                    </w:rPr>
                    <w:t>105.71</w:t>
                  </w:r>
                </w:p>
              </w:tc>
              <w:tc>
                <w:tcPr>
                  <w:tcW w:w="594" w:type="pct"/>
                  <w:shd w:val="clear" w:color="auto" w:fill="auto"/>
                  <w:vAlign w:val="center"/>
                </w:tcPr>
                <w:p>
                  <w:pPr>
                    <w:pStyle w:val="19"/>
                    <w:rPr>
                      <w:rFonts w:hint="default" w:eastAsia="宋体"/>
                      <w:sz w:val="18"/>
                      <w:szCs w:val="18"/>
                      <w:lang w:val="en-US" w:eastAsia="zh-CN"/>
                    </w:rPr>
                  </w:pPr>
                  <w:r>
                    <w:rPr>
                      <w:rFonts w:hint="eastAsia"/>
                      <w:sz w:val="18"/>
                      <w:szCs w:val="18"/>
                      <w:lang w:val="en-US" w:eastAsia="zh-CN"/>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3" w:type="pct"/>
                  <w:shd w:val="clear" w:color="auto" w:fill="auto"/>
                  <w:vAlign w:val="center"/>
                </w:tcPr>
                <w:p>
                  <w:pPr>
                    <w:pStyle w:val="19"/>
                    <w:rPr>
                      <w:sz w:val="18"/>
                      <w:szCs w:val="18"/>
                    </w:rPr>
                  </w:pPr>
                  <w:r>
                    <w:rPr>
                      <w:sz w:val="18"/>
                      <w:szCs w:val="18"/>
                    </w:rPr>
                    <w:t>CO</w:t>
                  </w:r>
                </w:p>
              </w:tc>
              <w:tc>
                <w:tcPr>
                  <w:tcW w:w="2174" w:type="pct"/>
                  <w:shd w:val="clear" w:color="auto" w:fill="auto"/>
                  <w:vAlign w:val="center"/>
                </w:tcPr>
                <w:p>
                  <w:pPr>
                    <w:pStyle w:val="19"/>
                    <w:rPr>
                      <w:sz w:val="18"/>
                      <w:szCs w:val="18"/>
                    </w:rPr>
                  </w:pPr>
                  <w:r>
                    <w:rPr>
                      <w:sz w:val="18"/>
                      <w:szCs w:val="18"/>
                    </w:rPr>
                    <w:t>24小时平均第95百分位数浓度</w:t>
                  </w:r>
                </w:p>
              </w:tc>
              <w:tc>
                <w:tcPr>
                  <w:tcW w:w="485" w:type="pct"/>
                  <w:shd w:val="clear" w:color="auto" w:fill="auto"/>
                  <w:vAlign w:val="center"/>
                </w:tcPr>
                <w:p>
                  <w:pPr>
                    <w:pStyle w:val="19"/>
                    <w:rPr>
                      <w:sz w:val="18"/>
                      <w:szCs w:val="18"/>
                    </w:rPr>
                  </w:pPr>
                  <w:r>
                    <w:rPr>
                      <w:sz w:val="18"/>
                      <w:szCs w:val="18"/>
                    </w:rPr>
                    <w:t>4000</w:t>
                  </w:r>
                </w:p>
              </w:tc>
              <w:tc>
                <w:tcPr>
                  <w:tcW w:w="594" w:type="pct"/>
                  <w:shd w:val="clear" w:color="auto" w:fill="auto"/>
                  <w:vAlign w:val="center"/>
                </w:tcPr>
                <w:p>
                  <w:pPr>
                    <w:pStyle w:val="19"/>
                    <w:rPr>
                      <w:rFonts w:hint="default" w:eastAsia="宋体"/>
                      <w:sz w:val="18"/>
                      <w:szCs w:val="18"/>
                      <w:lang w:val="en-US" w:eastAsia="zh-CN"/>
                    </w:rPr>
                  </w:pPr>
                  <w:r>
                    <w:rPr>
                      <w:rFonts w:hint="eastAsia"/>
                      <w:sz w:val="18"/>
                      <w:szCs w:val="18"/>
                      <w:lang w:val="en-US" w:eastAsia="zh-CN"/>
                    </w:rPr>
                    <w:t>800</w:t>
                  </w:r>
                </w:p>
              </w:tc>
              <w:tc>
                <w:tcPr>
                  <w:tcW w:w="1150" w:type="dxa"/>
                  <w:shd w:val="clear" w:color="auto" w:fill="auto"/>
                  <w:vAlign w:val="center"/>
                </w:tcPr>
                <w:p>
                  <w:pPr>
                    <w:pStyle w:val="19"/>
                    <w:rPr>
                      <w:rFonts w:hint="default"/>
                      <w:sz w:val="18"/>
                      <w:szCs w:val="18"/>
                      <w:lang w:val="en-US" w:eastAsia="zh-CN"/>
                    </w:rPr>
                  </w:pPr>
                  <w:r>
                    <w:rPr>
                      <w:rFonts w:hint="eastAsia"/>
                      <w:sz w:val="18"/>
                      <w:szCs w:val="18"/>
                      <w:lang w:val="en-US" w:eastAsia="zh-CN"/>
                    </w:rPr>
                    <w:t>20.00</w:t>
                  </w:r>
                </w:p>
              </w:tc>
              <w:tc>
                <w:tcPr>
                  <w:tcW w:w="594" w:type="pct"/>
                  <w:shd w:val="clear" w:color="auto" w:fill="auto"/>
                  <w:vAlign w:val="center"/>
                </w:tcPr>
                <w:p>
                  <w:pPr>
                    <w:pStyle w:val="19"/>
                    <w:rPr>
                      <w:rFonts w:hint="eastAsia" w:eastAsia="宋体"/>
                      <w:sz w:val="18"/>
                      <w:szCs w:val="18"/>
                      <w:lang w:val="en-US" w:eastAsia="zh-CN"/>
                    </w:rPr>
                  </w:pPr>
                  <w:r>
                    <w:rPr>
                      <w:rFonts w:hint="eastAsia"/>
                      <w:sz w:val="18"/>
                      <w:szCs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83" w:type="pct"/>
                  <w:shd w:val="clear" w:color="auto" w:fill="auto"/>
                  <w:vAlign w:val="center"/>
                </w:tcPr>
                <w:p>
                  <w:pPr>
                    <w:pStyle w:val="19"/>
                    <w:rPr>
                      <w:sz w:val="18"/>
                      <w:szCs w:val="18"/>
                    </w:rPr>
                  </w:pPr>
                  <w:r>
                    <w:rPr>
                      <w:sz w:val="18"/>
                      <w:szCs w:val="18"/>
                    </w:rPr>
                    <w:t>O</w:t>
                  </w:r>
                  <w:r>
                    <w:rPr>
                      <w:sz w:val="18"/>
                      <w:szCs w:val="18"/>
                      <w:vertAlign w:val="subscript"/>
                    </w:rPr>
                    <w:t>3</w:t>
                  </w:r>
                </w:p>
              </w:tc>
              <w:tc>
                <w:tcPr>
                  <w:tcW w:w="2174" w:type="pct"/>
                  <w:shd w:val="clear" w:color="auto" w:fill="auto"/>
                  <w:vAlign w:val="center"/>
                </w:tcPr>
                <w:p>
                  <w:pPr>
                    <w:pStyle w:val="19"/>
                    <w:rPr>
                      <w:sz w:val="18"/>
                      <w:szCs w:val="18"/>
                    </w:rPr>
                  </w:pPr>
                  <w:r>
                    <w:rPr>
                      <w:sz w:val="18"/>
                      <w:szCs w:val="18"/>
                    </w:rPr>
                    <w:t>日最大8小时滑动平均第90百分位数浓度</w:t>
                  </w:r>
                </w:p>
              </w:tc>
              <w:tc>
                <w:tcPr>
                  <w:tcW w:w="485" w:type="pct"/>
                  <w:shd w:val="clear" w:color="auto" w:fill="auto"/>
                  <w:vAlign w:val="center"/>
                </w:tcPr>
                <w:p>
                  <w:pPr>
                    <w:pStyle w:val="19"/>
                    <w:rPr>
                      <w:sz w:val="18"/>
                      <w:szCs w:val="18"/>
                    </w:rPr>
                  </w:pPr>
                  <w:r>
                    <w:rPr>
                      <w:sz w:val="18"/>
                      <w:szCs w:val="18"/>
                    </w:rPr>
                    <w:t>160</w:t>
                  </w:r>
                </w:p>
              </w:tc>
              <w:tc>
                <w:tcPr>
                  <w:tcW w:w="594" w:type="pct"/>
                  <w:shd w:val="clear" w:color="auto" w:fill="auto"/>
                  <w:vAlign w:val="center"/>
                </w:tcPr>
                <w:p>
                  <w:pPr>
                    <w:pStyle w:val="19"/>
                    <w:rPr>
                      <w:rFonts w:hint="default" w:eastAsia="宋体"/>
                      <w:sz w:val="18"/>
                      <w:szCs w:val="18"/>
                      <w:lang w:val="en-US" w:eastAsia="zh-CN"/>
                    </w:rPr>
                  </w:pPr>
                  <w:r>
                    <w:rPr>
                      <w:rFonts w:hint="eastAsia"/>
                      <w:sz w:val="18"/>
                      <w:szCs w:val="18"/>
                      <w:lang w:val="en-US" w:eastAsia="zh-CN"/>
                    </w:rPr>
                    <w:t>162</w:t>
                  </w:r>
                </w:p>
              </w:tc>
              <w:tc>
                <w:tcPr>
                  <w:tcW w:w="1150" w:type="dxa"/>
                  <w:shd w:val="clear" w:color="auto" w:fill="auto"/>
                  <w:vAlign w:val="center"/>
                </w:tcPr>
                <w:p>
                  <w:pPr>
                    <w:pStyle w:val="19"/>
                    <w:rPr>
                      <w:rFonts w:hint="default"/>
                      <w:sz w:val="18"/>
                      <w:szCs w:val="18"/>
                      <w:lang w:val="en-US" w:eastAsia="zh-CN"/>
                    </w:rPr>
                  </w:pPr>
                  <w:r>
                    <w:rPr>
                      <w:rFonts w:hint="eastAsia"/>
                      <w:sz w:val="18"/>
                      <w:szCs w:val="18"/>
                      <w:lang w:val="en-US" w:eastAsia="zh-CN"/>
                    </w:rPr>
                    <w:t>101.25</w:t>
                  </w:r>
                </w:p>
              </w:tc>
              <w:tc>
                <w:tcPr>
                  <w:tcW w:w="594" w:type="pct"/>
                  <w:shd w:val="clear" w:color="auto" w:fill="auto"/>
                  <w:vAlign w:val="center"/>
                </w:tcPr>
                <w:p>
                  <w:pPr>
                    <w:pStyle w:val="19"/>
                    <w:rPr>
                      <w:rFonts w:hint="eastAsia" w:eastAsia="宋体"/>
                      <w:sz w:val="18"/>
                      <w:szCs w:val="18"/>
                      <w:lang w:val="en-US" w:eastAsia="zh-CN"/>
                    </w:rPr>
                  </w:pPr>
                  <w:r>
                    <w:rPr>
                      <w:rFonts w:hint="eastAsia"/>
                      <w:sz w:val="18"/>
                      <w:szCs w:val="18"/>
                      <w:lang w:val="en-US" w:eastAsia="zh-CN"/>
                    </w:rPr>
                    <w:t>达标</w:t>
                  </w:r>
                </w:p>
              </w:tc>
            </w:tr>
          </w:tbl>
          <w:p>
            <w:pPr>
              <w:keepNext w:val="0"/>
              <w:keepLines w:val="0"/>
              <w:pageBreakBefore w:val="0"/>
              <w:widowControl/>
              <w:kinsoku/>
              <w:wordWrap/>
              <w:overflowPunct/>
              <w:topLinePunct w:val="0"/>
              <w:autoSpaceDE/>
              <w:autoSpaceDN/>
              <w:bidi w:val="0"/>
              <w:adjustRightInd/>
              <w:snapToGrid/>
              <w:spacing w:line="480" w:lineRule="exact"/>
              <w:ind w:firstLine="482"/>
              <w:textAlignment w:val="auto"/>
              <w:rPr>
                <w:b/>
                <w:bCs/>
                <w:kern w:val="0"/>
              </w:rPr>
            </w:pPr>
            <w:r>
              <w:rPr>
                <w:rFonts w:hint="eastAsia"/>
                <w:b/>
                <w:bCs/>
                <w:kern w:val="0"/>
              </w:rPr>
              <w:t>(</w:t>
            </w:r>
            <w:r>
              <w:rPr>
                <w:b/>
                <w:bCs/>
                <w:kern w:val="0"/>
              </w:rPr>
              <w:t xml:space="preserve">2) </w:t>
            </w:r>
            <w:r>
              <w:rPr>
                <w:rFonts w:hint="eastAsia"/>
                <w:b/>
                <w:bCs/>
                <w:kern w:val="0"/>
              </w:rPr>
              <w:t>特征污染物</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bCs/>
                <w:color w:val="000000" w:themeColor="text1"/>
                <w:lang w:val="en-US" w:eastAsia="zh-CN"/>
                <w14:textFill>
                  <w14:solidFill>
                    <w14:schemeClr w14:val="tx1"/>
                  </w14:solidFill>
                </w14:textFill>
              </w:rPr>
            </w:pPr>
            <w:r>
              <w:rPr>
                <w:rFonts w:hint="eastAsia"/>
                <w:kern w:val="0"/>
                <w:lang w:val="en-US" w:eastAsia="zh-CN"/>
              </w:rPr>
              <w:t>项目产生的特征污染物主要为TSP、氟化物以及二噁英。</w:t>
            </w:r>
            <w:r>
              <w:rPr>
                <w:rFonts w:hint="eastAsia"/>
              </w:rPr>
              <w:t>根据《建设项目环境影响报告表编制技术指南</w:t>
            </w:r>
            <w:r>
              <w:rPr>
                <w:rFonts w:hint="eastAsia"/>
                <w:lang w:eastAsia="zh-CN"/>
              </w:rPr>
              <w:t>(</w:t>
            </w:r>
            <w:r>
              <w:rPr>
                <w:rFonts w:hint="eastAsia"/>
              </w:rPr>
              <w:t>污染影响类</w:t>
            </w:r>
            <w:r>
              <w:rPr>
                <w:rFonts w:hint="eastAsia"/>
                <w:lang w:eastAsia="zh-CN"/>
              </w:rPr>
              <w:t>)(</w:t>
            </w:r>
            <w:r>
              <w:rPr>
                <w:rFonts w:hint="eastAsia"/>
              </w:rPr>
              <w:t>试行</w:t>
            </w:r>
            <w:r>
              <w:rPr>
                <w:rFonts w:hint="eastAsia"/>
                <w:lang w:eastAsia="zh-CN"/>
              </w:rPr>
              <w:t>)</w:t>
            </w:r>
            <w:r>
              <w:rPr>
                <w:rFonts w:hint="eastAsia"/>
              </w:rPr>
              <w:t>》</w:t>
            </w:r>
            <w:r>
              <w:rPr>
                <w:rFonts w:hint="eastAsia"/>
                <w:kern w:val="0"/>
                <w:lang w:val="en-US" w:eastAsia="zh-CN"/>
              </w:rPr>
              <w:t>，项目废气涉及二噁英，且500m范围内有环境空气保护目标(</w:t>
            </w:r>
            <w:r>
              <w:rPr>
                <w:rFonts w:hint="eastAsia"/>
                <w:lang w:val="en-US" w:eastAsia="zh-CN"/>
              </w:rPr>
              <w:t>万福园</w:t>
            </w:r>
            <w:r>
              <w:rPr>
                <w:rFonts w:hint="eastAsia"/>
                <w:kern w:val="0"/>
                <w:lang w:val="en-US" w:eastAsia="zh-CN"/>
              </w:rPr>
              <w:t>)，需设置大气专项评价。根据《环境影响评价技术导则 大气环境》(HJ 2.2-2018)，本次评价在</w:t>
            </w:r>
            <w:r>
              <w:rPr>
                <w:rFonts w:hint="eastAsia"/>
                <w:color w:val="000000" w:themeColor="text1"/>
                <w14:textFill>
                  <w14:solidFill>
                    <w14:schemeClr w14:val="tx1"/>
                  </w14:solidFill>
                </w14:textFill>
              </w:rPr>
              <w:t>全年主导风向</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ENE</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下方向约1.6km的邵圩小区设置1个环境空气监测点(G1)，进行7d(2024年1月15日~22日)的特征污染物监测(附件6)。监测结果统计见表3-2。由表可知，监测期间TSP日均浓度210~226</w:t>
            </w:r>
            <w:r>
              <w:rPr>
                <w:rFonts w:hint="default" w:ascii="Times New Roman" w:hAnsi="Times New Roman" w:cs="Times New Roman"/>
                <w:color w:val="000000" w:themeColor="text1"/>
                <w:lang w:val="en-US" w:eastAsia="zh-CN"/>
                <w14:textFill>
                  <w14:solidFill>
                    <w14:schemeClr w14:val="tx1"/>
                  </w14:solidFill>
                </w14:textFill>
              </w:rPr>
              <w:t>μg/m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eastAsia" w:ascii="Times New Roman" w:hAnsi="Times New Roman" w:cs="Times New Roman"/>
                <w:color w:val="000000" w:themeColor="text1"/>
                <w:vertAlign w:val="baseline"/>
                <w:lang w:val="en-US" w:eastAsia="zh-CN"/>
                <w14:textFill>
                  <w14:solidFill>
                    <w14:schemeClr w14:val="tx1"/>
                  </w14:solidFill>
                </w14:textFill>
              </w:rPr>
              <w:t>，满足</w:t>
            </w:r>
            <w:r>
              <w:rPr>
                <w:rFonts w:hint="eastAsia"/>
                <w:bCs/>
                <w:color w:val="000000" w:themeColor="text1"/>
                <w14:textFill>
                  <w14:solidFill>
                    <w14:schemeClr w14:val="tx1"/>
                  </w14:solidFill>
                </w14:textFill>
              </w:rPr>
              <w:t>《环境空气质量标准》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GB 3095-2012</w:t>
            </w:r>
            <w:r>
              <w:rPr>
                <w:rFonts w:hint="eastAsia"/>
                <w:bCs/>
                <w:color w:val="000000" w:themeColor="text1"/>
                <w:lang w:eastAsia="zh-CN"/>
                <w14:textFill>
                  <w14:solidFill>
                    <w14:schemeClr w14:val="tx1"/>
                  </w14:solidFill>
                </w14:textFill>
              </w:rPr>
              <w:t>)</w:t>
            </w:r>
            <w:r>
              <w:rPr>
                <w:rFonts w:hint="eastAsia"/>
                <w:bCs/>
                <w:color w:val="000000" w:themeColor="text1"/>
                <w:lang w:val="en-US" w:eastAsia="zh-CN"/>
                <w14:textFill>
                  <w14:solidFill>
                    <w14:schemeClr w14:val="tx1"/>
                  </w14:solidFill>
                </w14:textFill>
              </w:rPr>
              <w:t>二级标准要求；氟化物小时浓度1.6~2.3</w:t>
            </w:r>
            <w:r>
              <w:rPr>
                <w:rFonts w:hint="default" w:ascii="Times New Roman" w:hAnsi="Times New Roman" w:cs="Times New Roman"/>
                <w:color w:val="000000" w:themeColor="text1"/>
                <w:lang w:val="en-US" w:eastAsia="zh-CN"/>
                <w14:textFill>
                  <w14:solidFill>
                    <w14:schemeClr w14:val="tx1"/>
                  </w14:solidFill>
                </w14:textFill>
              </w:rPr>
              <w:t>μg/m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eastAsia" w:ascii="Times New Roman" w:hAnsi="Times New Roman" w:cs="Times New Roman"/>
                <w:color w:val="000000" w:themeColor="text1"/>
                <w:vertAlign w:val="baseline"/>
                <w:lang w:val="en-US" w:eastAsia="zh-CN"/>
                <w14:textFill>
                  <w14:solidFill>
                    <w14:schemeClr w14:val="tx1"/>
                  </w14:solidFill>
                </w14:textFill>
              </w:rPr>
              <w:t>，</w:t>
            </w:r>
            <w:r>
              <w:rPr>
                <w:rFonts w:hint="eastAsia" w:cs="Times New Roman"/>
                <w:color w:val="000000" w:themeColor="text1"/>
                <w:vertAlign w:val="baseline"/>
                <w:lang w:val="en-US" w:eastAsia="zh-CN"/>
                <w14:textFill>
                  <w14:solidFill>
                    <w14:schemeClr w14:val="tx1"/>
                  </w14:solidFill>
                </w14:textFill>
              </w:rPr>
              <w:t>日均浓度1.22~1.44</w:t>
            </w:r>
            <w:r>
              <w:rPr>
                <w:rFonts w:hint="default" w:ascii="Times New Roman" w:hAnsi="Times New Roman" w:cs="Times New Roman"/>
                <w:color w:val="000000" w:themeColor="text1"/>
                <w:lang w:val="en-US" w:eastAsia="zh-CN"/>
                <w14:textFill>
                  <w14:solidFill>
                    <w14:schemeClr w14:val="tx1"/>
                  </w14:solidFill>
                </w14:textFill>
              </w:rPr>
              <w:t>μg/m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eastAsia" w:ascii="Times New Roman" w:hAnsi="Times New Roman" w:cs="Times New Roman"/>
                <w:color w:val="000000" w:themeColor="text1"/>
                <w:vertAlign w:val="baseline"/>
                <w:lang w:val="en-US" w:eastAsia="zh-CN"/>
                <w14:textFill>
                  <w14:solidFill>
                    <w14:schemeClr w14:val="tx1"/>
                  </w14:solidFill>
                </w14:textFill>
              </w:rPr>
              <w:t>，</w:t>
            </w:r>
            <w:r>
              <w:rPr>
                <w:rFonts w:hint="eastAsia" w:cs="Times New Roman"/>
                <w:color w:val="000000" w:themeColor="text1"/>
                <w:vertAlign w:val="baseline"/>
                <w:lang w:val="en-US" w:eastAsia="zh-CN"/>
                <w14:textFill>
                  <w14:solidFill>
                    <w14:schemeClr w14:val="tx1"/>
                  </w14:solidFill>
                </w14:textFill>
              </w:rPr>
              <w:t>均满足</w:t>
            </w:r>
            <w:r>
              <w:rPr>
                <w:rFonts w:hint="eastAsia"/>
                <w:bCs/>
                <w:color w:val="000000" w:themeColor="text1"/>
                <w14:textFill>
                  <w14:solidFill>
                    <w14:schemeClr w14:val="tx1"/>
                  </w14:solidFill>
                </w14:textFill>
              </w:rPr>
              <w:t>《环境空气质量标准》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GB 3095-2012</w:t>
            </w:r>
            <w:r>
              <w:rPr>
                <w:rFonts w:hint="eastAsia"/>
                <w:bCs/>
                <w:color w:val="000000" w:themeColor="text1"/>
                <w:lang w:eastAsia="zh-CN"/>
                <w14:textFill>
                  <w14:solidFill>
                    <w14:schemeClr w14:val="tx1"/>
                  </w14:solidFill>
                </w14:textFill>
              </w:rPr>
              <w:t>)</w:t>
            </w:r>
            <w:r>
              <w:rPr>
                <w:rFonts w:hint="eastAsia"/>
                <w:bCs/>
                <w:color w:val="000000" w:themeColor="text1"/>
                <w:lang w:val="en-US" w:eastAsia="zh-CN"/>
                <w14:textFill>
                  <w14:solidFill>
                    <w14:schemeClr w14:val="tx1"/>
                  </w14:solidFill>
                </w14:textFill>
              </w:rPr>
              <w:t>二级标准要求；二噁英日均浓度0.054~0.083pg TEQ/m</w:t>
            </w:r>
            <w:r>
              <w:rPr>
                <w:rFonts w:hint="eastAsia"/>
                <w:bCs/>
                <w:color w:val="000000" w:themeColor="text1"/>
                <w:vertAlign w:val="superscript"/>
                <w:lang w:val="en-US" w:eastAsia="zh-CN"/>
                <w14:textFill>
                  <w14:solidFill>
                    <w14:schemeClr w14:val="tx1"/>
                  </w14:solidFill>
                </w14:textFill>
              </w:rPr>
              <w:t>3</w:t>
            </w:r>
            <w:r>
              <w:rPr>
                <w:rFonts w:hint="eastAsia"/>
                <w:bCs/>
                <w:color w:val="000000" w:themeColor="text1"/>
                <w:lang w:val="en-US" w:eastAsia="zh-CN"/>
                <w14:textFill>
                  <w14:solidFill>
                    <w14:schemeClr w14:val="tx1"/>
                  </w14:solidFill>
                </w14:textFill>
              </w:rPr>
              <w:t>。</w:t>
            </w:r>
          </w:p>
          <w:p>
            <w:pPr>
              <w:widowControl/>
              <w:spacing w:line="480" w:lineRule="exact"/>
              <w:rPr>
                <w:rFonts w:hint="eastAsia"/>
                <w:bCs/>
                <w:color w:val="000000" w:themeColor="text1"/>
                <w:lang w:val="en-US" w:eastAsia="zh-CN"/>
                <w14:textFill>
                  <w14:solidFill>
                    <w14:schemeClr w14:val="tx1"/>
                  </w14:solidFill>
                </w14:textFill>
              </w:rPr>
            </w:pPr>
          </w:p>
          <w:p>
            <w:pPr>
              <w:pStyle w:val="21"/>
              <w:keepNext w:val="0"/>
              <w:keepLines w:val="0"/>
              <w:pageBreakBefore w:val="0"/>
              <w:widowControl w:val="0"/>
              <w:kinsoku/>
              <w:wordWrap/>
              <w:overflowPunct/>
              <w:topLinePunct w:val="0"/>
              <w:autoSpaceDE/>
              <w:autoSpaceDN/>
              <w:bidi w:val="0"/>
              <w:adjustRightInd/>
              <w:snapToGrid/>
              <w:spacing w:before="0"/>
              <w:textAlignment w:val="auto"/>
              <w:rPr>
                <w:rFonts w:hint="eastAsia" w:eastAsia="宋体"/>
                <w:lang w:eastAsia="zh-CN"/>
              </w:rPr>
            </w:pPr>
            <w:r>
              <w:rPr>
                <w:rFonts w:hint="eastAsia" w:eastAsia="宋体"/>
                <w:lang w:eastAsia="zh-CN"/>
              </w:rPr>
              <w:drawing>
                <wp:inline distT="0" distB="0" distL="114300" distR="114300">
                  <wp:extent cx="5400040" cy="7608570"/>
                  <wp:effectExtent l="0" t="0" r="10160" b="11430"/>
                  <wp:docPr id="1" name="图片 1" descr="环境空气监测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环境空气监测点位"/>
                          <pic:cNvPicPr>
                            <a:picLocks noChangeAspect="1"/>
                          </pic:cNvPicPr>
                        </pic:nvPicPr>
                        <pic:blipFill>
                          <a:blip r:embed="rId19"/>
                          <a:stretch>
                            <a:fillRect/>
                          </a:stretch>
                        </pic:blipFill>
                        <pic:spPr>
                          <a:xfrm>
                            <a:off x="0" y="0"/>
                            <a:ext cx="5400040" cy="7608570"/>
                          </a:xfrm>
                          <a:prstGeom prst="rect">
                            <a:avLst/>
                          </a:prstGeom>
                        </pic:spPr>
                      </pic:pic>
                    </a:graphicData>
                  </a:graphic>
                </wp:inline>
              </w:drawing>
            </w:r>
          </w:p>
          <w:p>
            <w:pPr>
              <w:pStyle w:val="23"/>
              <w:keepNext w:val="0"/>
              <w:keepLines w:val="0"/>
              <w:pageBreakBefore w:val="0"/>
              <w:widowControl w:val="0"/>
              <w:kinsoku/>
              <w:wordWrap/>
              <w:overflowPunct/>
              <w:topLinePunct w:val="0"/>
              <w:autoSpaceDE/>
              <w:autoSpaceDN/>
              <w:bidi w:val="0"/>
              <w:adjustRightInd/>
              <w:snapToGrid/>
              <w:spacing w:after="0"/>
              <w:textAlignment w:val="auto"/>
              <w:rPr>
                <w:rFonts w:hint="eastAsia"/>
                <w:lang w:val="en-US" w:eastAsia="zh-CN"/>
              </w:rPr>
            </w:pPr>
            <w:r>
              <w:rPr>
                <w:rFonts w:hint="eastAsia"/>
                <w:lang w:val="en-US" w:eastAsia="zh-CN"/>
              </w:rPr>
              <w:t>图3-1  环境空气监测点位示意图</w:t>
            </w:r>
          </w:p>
          <w:p>
            <w:pPr>
              <w:bidi w:val="0"/>
              <w:rPr>
                <w:rFonts w:hint="eastAsia"/>
                <w:lang w:val="en-US" w:eastAsia="zh-CN"/>
              </w:rPr>
            </w:pPr>
          </w:p>
          <w:p>
            <w:pPr>
              <w:bidi w:val="0"/>
              <w:rPr>
                <w:rFonts w:hint="eastAsia"/>
                <w:lang w:val="en-US" w:eastAsia="zh-CN"/>
              </w:rPr>
            </w:pPr>
          </w:p>
          <w:p>
            <w:pPr>
              <w:pStyle w:val="21"/>
              <w:bidi w:val="0"/>
              <w:rPr>
                <w:rFonts w:hint="eastAsia"/>
                <w:lang w:val="en-US" w:eastAsia="zh-CN"/>
              </w:rPr>
            </w:pPr>
            <w:r>
              <w:rPr>
                <w:rFonts w:hint="eastAsia"/>
                <w:lang w:val="en-US" w:eastAsia="zh-CN"/>
              </w:rPr>
              <w:t>表3-2  特证污染物监测结果统计表</w:t>
            </w:r>
          </w:p>
          <w:tbl>
            <w:tblPr>
              <w:tblStyle w:val="17"/>
              <w:tblW w:w="86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9"/>
              <w:gridCol w:w="914"/>
              <w:gridCol w:w="1200"/>
              <w:gridCol w:w="845"/>
              <w:gridCol w:w="1309"/>
              <w:gridCol w:w="1064"/>
              <w:gridCol w:w="938"/>
              <w:gridCol w:w="14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b/>
                      <w:bCs/>
                      <w:sz w:val="20"/>
                      <w:szCs w:val="20"/>
                      <w:vertAlign w:val="baseline"/>
                      <w:lang w:val="en-US" w:eastAsia="zh-CN"/>
                    </w:rPr>
                  </w:pPr>
                  <w:r>
                    <w:rPr>
                      <w:rFonts w:hint="eastAsia"/>
                      <w:b/>
                      <w:bCs/>
                      <w:sz w:val="20"/>
                      <w:szCs w:val="20"/>
                      <w:vertAlign w:val="baseline"/>
                      <w:lang w:val="en-US" w:eastAsia="zh-CN"/>
                    </w:rPr>
                    <w:t>点位</w:t>
                  </w:r>
                </w:p>
              </w:tc>
              <w:tc>
                <w:tcPr>
                  <w:tcW w:w="91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b/>
                      <w:bCs/>
                      <w:sz w:val="20"/>
                      <w:szCs w:val="20"/>
                      <w:vertAlign w:val="baseline"/>
                      <w:lang w:val="en-US" w:eastAsia="zh-CN"/>
                    </w:rPr>
                  </w:pPr>
                  <w:r>
                    <w:rPr>
                      <w:rFonts w:hint="eastAsia"/>
                      <w:b/>
                      <w:bCs/>
                      <w:sz w:val="20"/>
                      <w:szCs w:val="20"/>
                      <w:vertAlign w:val="baseline"/>
                      <w:lang w:val="en-US" w:eastAsia="zh-CN"/>
                    </w:rPr>
                    <w:t>污染物</w:t>
                  </w:r>
                </w:p>
              </w:tc>
              <w:tc>
                <w:tcPr>
                  <w:tcW w:w="120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b/>
                      <w:bCs/>
                      <w:sz w:val="20"/>
                      <w:szCs w:val="20"/>
                      <w:vertAlign w:val="baseline"/>
                      <w:lang w:val="en-US" w:eastAsia="zh-CN"/>
                    </w:rPr>
                  </w:pPr>
                  <w:r>
                    <w:rPr>
                      <w:rFonts w:hint="eastAsia"/>
                      <w:b/>
                      <w:bCs/>
                      <w:sz w:val="20"/>
                      <w:szCs w:val="20"/>
                      <w:vertAlign w:val="baseline"/>
                      <w:lang w:val="en-US" w:eastAsia="zh-CN"/>
                    </w:rPr>
                    <w:t>单位</w:t>
                  </w:r>
                </w:p>
              </w:tc>
              <w:tc>
                <w:tcPr>
                  <w:tcW w:w="2154" w:type="dxa"/>
                  <w:gridSpan w:val="2"/>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b/>
                      <w:bCs/>
                      <w:sz w:val="20"/>
                      <w:szCs w:val="20"/>
                      <w:vertAlign w:val="baseline"/>
                      <w:lang w:val="en-US" w:eastAsia="zh-CN"/>
                    </w:rPr>
                  </w:pPr>
                  <w:r>
                    <w:rPr>
                      <w:rFonts w:hint="eastAsia"/>
                      <w:b/>
                      <w:bCs/>
                      <w:sz w:val="20"/>
                      <w:szCs w:val="20"/>
                      <w:vertAlign w:val="baseline"/>
                      <w:lang w:val="en-US" w:eastAsia="zh-CN"/>
                    </w:rPr>
                    <w:t>监测结果</w:t>
                  </w:r>
                </w:p>
              </w:tc>
              <w:tc>
                <w:tcPr>
                  <w:tcW w:w="106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b/>
                      <w:bCs/>
                      <w:sz w:val="20"/>
                      <w:szCs w:val="20"/>
                      <w:vertAlign w:val="baseline"/>
                      <w:lang w:val="en-US" w:eastAsia="zh-CN"/>
                    </w:rPr>
                  </w:pPr>
                  <w:r>
                    <w:rPr>
                      <w:rFonts w:hint="eastAsia"/>
                      <w:b/>
                      <w:bCs/>
                      <w:sz w:val="20"/>
                      <w:szCs w:val="20"/>
                      <w:vertAlign w:val="baseline"/>
                      <w:lang w:val="en-US" w:eastAsia="zh-CN"/>
                    </w:rPr>
                    <w:t>标准限值</w:t>
                  </w:r>
                </w:p>
              </w:tc>
              <w:tc>
                <w:tcPr>
                  <w:tcW w:w="93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b/>
                      <w:bCs/>
                      <w:sz w:val="20"/>
                      <w:szCs w:val="20"/>
                      <w:vertAlign w:val="baseline"/>
                      <w:lang w:val="en-US" w:eastAsia="zh-CN"/>
                    </w:rPr>
                  </w:pPr>
                  <w:r>
                    <w:rPr>
                      <w:rFonts w:hint="eastAsia"/>
                      <w:b/>
                      <w:bCs/>
                      <w:sz w:val="20"/>
                      <w:szCs w:val="20"/>
                      <w:vertAlign w:val="baseline"/>
                      <w:lang w:val="en-US" w:eastAsia="zh-CN"/>
                    </w:rPr>
                    <w:t>超标率</w:t>
                  </w:r>
                </w:p>
              </w:tc>
              <w:tc>
                <w:tcPr>
                  <w:tcW w:w="1426"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b/>
                      <w:bCs/>
                      <w:sz w:val="20"/>
                      <w:szCs w:val="20"/>
                      <w:vertAlign w:val="baseline"/>
                      <w:lang w:val="en-US" w:eastAsia="zh-CN"/>
                    </w:rPr>
                  </w:pPr>
                  <w:r>
                    <w:rPr>
                      <w:rFonts w:hint="eastAsia"/>
                      <w:b/>
                      <w:bCs/>
                      <w:sz w:val="20"/>
                      <w:szCs w:val="20"/>
                      <w:vertAlign w:val="baseline"/>
                      <w:lang w:val="en-US" w:eastAsia="zh-CN"/>
                    </w:rPr>
                    <w:t>最大超标倍数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邵圩小区(G1)</w:t>
                  </w:r>
                </w:p>
              </w:tc>
              <w:tc>
                <w:tcPr>
                  <w:tcW w:w="91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TSP</w:t>
                  </w:r>
                </w:p>
              </w:tc>
              <w:tc>
                <w:tcPr>
                  <w:tcW w:w="120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default" w:ascii="Times New Roman" w:hAnsi="Times New Roman" w:eastAsia="宋体" w:cs="Times New Roman"/>
                      <w:color w:val="auto"/>
                      <w:sz w:val="20"/>
                      <w:szCs w:val="20"/>
                      <w:lang w:val="en-US" w:eastAsia="zh-CN"/>
                    </w:rPr>
                    <w:t>μg/m</w:t>
                  </w:r>
                  <w:r>
                    <w:rPr>
                      <w:rFonts w:hint="default" w:ascii="Times New Roman" w:hAnsi="Times New Roman" w:eastAsia="宋体" w:cs="Times New Roman"/>
                      <w:color w:val="auto"/>
                      <w:sz w:val="20"/>
                      <w:szCs w:val="20"/>
                      <w:vertAlign w:val="superscript"/>
                      <w:lang w:val="en-US" w:eastAsia="zh-CN"/>
                    </w:rPr>
                    <w:t>3</w:t>
                  </w:r>
                </w:p>
              </w:tc>
              <w:tc>
                <w:tcPr>
                  <w:tcW w:w="845"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日均值</w:t>
                  </w:r>
                </w:p>
              </w:tc>
              <w:tc>
                <w:tcPr>
                  <w:tcW w:w="130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210~226</w:t>
                  </w:r>
                </w:p>
              </w:tc>
              <w:tc>
                <w:tcPr>
                  <w:tcW w:w="106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300</w:t>
                  </w:r>
                </w:p>
              </w:tc>
              <w:tc>
                <w:tcPr>
                  <w:tcW w:w="93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0.00%</w:t>
                  </w:r>
                </w:p>
              </w:tc>
              <w:tc>
                <w:tcPr>
                  <w:tcW w:w="1426"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919"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p>
              </w:tc>
              <w:tc>
                <w:tcPr>
                  <w:tcW w:w="914"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氟化物</w:t>
                  </w:r>
                </w:p>
              </w:tc>
              <w:tc>
                <w:tcPr>
                  <w:tcW w:w="1200"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default" w:ascii="Times New Roman" w:hAnsi="Times New Roman" w:eastAsia="宋体" w:cs="Times New Roman"/>
                      <w:color w:val="auto"/>
                      <w:sz w:val="20"/>
                      <w:szCs w:val="20"/>
                      <w:lang w:val="en-US" w:eastAsia="zh-CN"/>
                    </w:rPr>
                    <w:t>μg/m</w:t>
                  </w:r>
                  <w:r>
                    <w:rPr>
                      <w:rFonts w:hint="default" w:ascii="Times New Roman" w:hAnsi="Times New Roman" w:eastAsia="宋体" w:cs="Times New Roman"/>
                      <w:color w:val="auto"/>
                      <w:sz w:val="20"/>
                      <w:szCs w:val="20"/>
                      <w:vertAlign w:val="superscript"/>
                      <w:lang w:val="en-US" w:eastAsia="zh-CN"/>
                    </w:rPr>
                    <w:t>3</w:t>
                  </w:r>
                </w:p>
              </w:tc>
              <w:tc>
                <w:tcPr>
                  <w:tcW w:w="845"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小时值</w:t>
                  </w:r>
                </w:p>
              </w:tc>
              <w:tc>
                <w:tcPr>
                  <w:tcW w:w="130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1.6~2.3</w:t>
                  </w:r>
                </w:p>
              </w:tc>
              <w:tc>
                <w:tcPr>
                  <w:tcW w:w="106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20</w:t>
                  </w:r>
                </w:p>
              </w:tc>
              <w:tc>
                <w:tcPr>
                  <w:tcW w:w="93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0.00%</w:t>
                  </w:r>
                </w:p>
              </w:tc>
              <w:tc>
                <w:tcPr>
                  <w:tcW w:w="1426"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919"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p>
              </w:tc>
              <w:tc>
                <w:tcPr>
                  <w:tcW w:w="914"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sz w:val="20"/>
                      <w:szCs w:val="20"/>
                      <w:vertAlign w:val="baseline"/>
                      <w:lang w:val="en-US" w:eastAsia="zh-CN"/>
                    </w:rPr>
                  </w:pPr>
                </w:p>
              </w:tc>
              <w:tc>
                <w:tcPr>
                  <w:tcW w:w="1200"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ascii="Times New Roman" w:hAnsi="Times New Roman" w:eastAsia="宋体" w:cs="Times New Roman"/>
                      <w:color w:val="auto"/>
                      <w:sz w:val="20"/>
                      <w:szCs w:val="20"/>
                      <w:lang w:val="en-US" w:eastAsia="zh-CN"/>
                    </w:rPr>
                  </w:pPr>
                </w:p>
              </w:tc>
              <w:tc>
                <w:tcPr>
                  <w:tcW w:w="845"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日均值</w:t>
                  </w:r>
                </w:p>
              </w:tc>
              <w:tc>
                <w:tcPr>
                  <w:tcW w:w="130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1.22~1.44</w:t>
                  </w:r>
                </w:p>
              </w:tc>
              <w:tc>
                <w:tcPr>
                  <w:tcW w:w="106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7</w:t>
                  </w:r>
                </w:p>
              </w:tc>
              <w:tc>
                <w:tcPr>
                  <w:tcW w:w="93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0.00%</w:t>
                  </w:r>
                </w:p>
              </w:tc>
              <w:tc>
                <w:tcPr>
                  <w:tcW w:w="1426"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p>
              </w:tc>
              <w:tc>
                <w:tcPr>
                  <w:tcW w:w="91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二噁英</w:t>
                  </w:r>
                </w:p>
              </w:tc>
              <w:tc>
                <w:tcPr>
                  <w:tcW w:w="120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pg TEQ/m</w:t>
                  </w:r>
                  <w:r>
                    <w:rPr>
                      <w:rFonts w:hint="eastAsia"/>
                      <w:sz w:val="20"/>
                      <w:szCs w:val="20"/>
                      <w:vertAlign w:val="superscript"/>
                      <w:lang w:val="en-US" w:eastAsia="zh-CN"/>
                    </w:rPr>
                    <w:t>3</w:t>
                  </w:r>
                </w:p>
              </w:tc>
              <w:tc>
                <w:tcPr>
                  <w:tcW w:w="845"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日均值</w:t>
                  </w:r>
                </w:p>
              </w:tc>
              <w:tc>
                <w:tcPr>
                  <w:tcW w:w="130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0.054~0.083</w:t>
                  </w:r>
                </w:p>
              </w:tc>
              <w:tc>
                <w:tcPr>
                  <w:tcW w:w="106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w:t>
                  </w:r>
                </w:p>
              </w:tc>
              <w:tc>
                <w:tcPr>
                  <w:tcW w:w="93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w:t>
                  </w:r>
                </w:p>
              </w:tc>
              <w:tc>
                <w:tcPr>
                  <w:tcW w:w="1426"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615" w:type="dxa"/>
                  <w:gridSpan w:val="8"/>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textAlignment w:val="auto"/>
                    <w:rPr>
                      <w:rFonts w:hint="default"/>
                      <w:sz w:val="20"/>
                      <w:szCs w:val="20"/>
                      <w:vertAlign w:val="baseline"/>
                      <w:lang w:val="en-US" w:eastAsia="zh-CN"/>
                    </w:rPr>
                  </w:pPr>
                  <w:r>
                    <w:rPr>
                      <w:rFonts w:hint="eastAsia"/>
                      <w:sz w:val="20"/>
                      <w:szCs w:val="20"/>
                      <w:vertAlign w:val="baseline"/>
                      <w:lang w:val="en-US" w:eastAsia="zh-CN"/>
                    </w:rPr>
                    <w:t>注：二噁英无环境空气质量标准，本次评价给出监测结果，不予评价。</w:t>
                  </w:r>
                </w:p>
              </w:tc>
            </w:tr>
          </w:tbl>
          <w:p>
            <w:pPr>
              <w:spacing w:line="480" w:lineRule="exact"/>
              <w:ind w:left="0" w:leftChars="0" w:firstLine="0" w:firstLineChars="0"/>
              <w:rPr>
                <w:b/>
                <w:bCs/>
                <w:kern w:val="0"/>
              </w:rPr>
            </w:pPr>
            <w:r>
              <w:rPr>
                <w:b/>
                <w:bCs/>
                <w:kern w:val="0"/>
              </w:rPr>
              <w:t>2、</w:t>
            </w:r>
            <w:r>
              <w:rPr>
                <w:rFonts w:hint="eastAsia"/>
                <w:b/>
                <w:bCs/>
                <w:kern w:val="0"/>
              </w:rPr>
              <w:t>地表水环境</w:t>
            </w:r>
          </w:p>
          <w:p>
            <w:pPr>
              <w:widowControl/>
              <w:spacing w:line="480" w:lineRule="exact"/>
              <w:rPr>
                <w:kern w:val="0"/>
              </w:rPr>
            </w:pPr>
            <w:r>
              <w:rPr>
                <w:rFonts w:hint="eastAsia"/>
                <w:kern w:val="0"/>
              </w:rPr>
              <w:t>安徽泰昌特殊合金制造有限公司位于怀远经济开发区污水处理厂</w:t>
            </w:r>
            <w:r>
              <w:rPr>
                <w:rFonts w:hint="eastAsia"/>
                <w:kern w:val="0"/>
                <w:lang w:val="en-US" w:eastAsia="zh-CN"/>
              </w:rPr>
              <w:t>(</w:t>
            </w:r>
            <w:r>
              <w:rPr>
                <w:rFonts w:hint="eastAsia"/>
                <w:kern w:val="0"/>
              </w:rPr>
              <w:t>一期</w:t>
            </w:r>
            <w:r>
              <w:rPr>
                <w:rFonts w:hint="eastAsia"/>
                <w:kern w:val="0"/>
                <w:lang w:val="en-US" w:eastAsia="zh-CN"/>
              </w:rPr>
              <w:t>)</w:t>
            </w:r>
            <w:r>
              <w:rPr>
                <w:rFonts w:hint="eastAsia"/>
                <w:kern w:val="0"/>
              </w:rPr>
              <w:t>收水范围之内。怀远经济开发区污水处理厂</w:t>
            </w:r>
            <w:r>
              <w:rPr>
                <w:rFonts w:hint="eastAsia"/>
                <w:kern w:val="0"/>
                <w:lang w:val="en-US" w:eastAsia="zh-CN"/>
              </w:rPr>
              <w:t>(</w:t>
            </w:r>
            <w:r>
              <w:rPr>
                <w:rFonts w:hint="eastAsia"/>
                <w:kern w:val="0"/>
              </w:rPr>
              <w:t>一期</w:t>
            </w:r>
            <w:r>
              <w:rPr>
                <w:rFonts w:hint="eastAsia"/>
                <w:kern w:val="0"/>
                <w:lang w:val="en-US" w:eastAsia="zh-CN"/>
              </w:rPr>
              <w:t>)</w:t>
            </w:r>
            <w:r>
              <w:rPr>
                <w:rFonts w:hint="eastAsia"/>
                <w:kern w:val="0"/>
              </w:rPr>
              <w:t>处理达标尾水经管道排入龚刘路大沟</w:t>
            </w:r>
            <w:r>
              <w:rPr>
                <w:rFonts w:hint="eastAsia"/>
                <w:kern w:val="0"/>
                <w:lang w:val="en-US" w:eastAsia="zh-CN"/>
              </w:rPr>
              <w:t>生态系统自然净化后</w:t>
            </w:r>
            <w:r>
              <w:rPr>
                <w:rFonts w:hint="eastAsia"/>
                <w:kern w:val="0"/>
              </w:rPr>
              <w:t>，再</w:t>
            </w:r>
            <w:r>
              <w:rPr>
                <w:rFonts w:hint="eastAsia"/>
                <w:kern w:val="0"/>
                <w:lang w:val="en-US" w:eastAsia="zh-CN"/>
              </w:rPr>
              <w:t>自流排</w:t>
            </w:r>
            <w:r>
              <w:rPr>
                <w:rFonts w:hint="eastAsia"/>
                <w:kern w:val="0"/>
              </w:rPr>
              <w:t>入一号大沟，最后排至北淝河下段。</w:t>
            </w:r>
          </w:p>
          <w:p>
            <w:pPr>
              <w:widowControl/>
              <w:spacing w:line="480" w:lineRule="exact"/>
              <w:rPr>
                <w:kern w:val="0"/>
              </w:rPr>
            </w:pPr>
            <w:r>
              <w:rPr>
                <w:rFonts w:hint="eastAsia"/>
                <w:kern w:val="0"/>
              </w:rPr>
              <w:t>本次地表水环境质量现状数据引自《安徽怀远经济开发区污水处理厂</w:t>
            </w:r>
            <w:r>
              <w:rPr>
                <w:rFonts w:hint="eastAsia"/>
                <w:kern w:val="0"/>
                <w:lang w:eastAsia="zh-CN"/>
              </w:rPr>
              <w:t>(</w:t>
            </w:r>
            <w:r>
              <w:rPr>
                <w:rFonts w:hint="eastAsia"/>
                <w:kern w:val="0"/>
              </w:rPr>
              <w:t>一期、二期</w:t>
            </w:r>
            <w:r>
              <w:rPr>
                <w:rFonts w:hint="eastAsia"/>
                <w:kern w:val="0"/>
                <w:lang w:eastAsia="zh-CN"/>
              </w:rPr>
              <w:t>)</w:t>
            </w:r>
            <w:r>
              <w:rPr>
                <w:rFonts w:hint="eastAsia"/>
                <w:kern w:val="0"/>
              </w:rPr>
              <w:t>入河排污口设置论证报告》。安徽威正测试技术有限公司于2022年8月3</w:t>
            </w:r>
            <w:r>
              <w:rPr>
                <w:rFonts w:hint="eastAsia"/>
                <w:kern w:val="0"/>
                <w:lang w:val="en-US" w:eastAsia="zh-CN"/>
              </w:rPr>
              <w:t>~</w:t>
            </w:r>
            <w:r>
              <w:rPr>
                <w:rFonts w:hint="eastAsia"/>
                <w:kern w:val="0"/>
              </w:rPr>
              <w:t>5日对项目纳污水体一号大沟和北淝河开展了现状监测，监测断面设置情况见表3</w:t>
            </w:r>
            <w:r>
              <w:rPr>
                <w:rFonts w:hint="eastAsia"/>
                <w:kern w:val="0"/>
                <w:lang w:val="en-US" w:eastAsia="zh-CN"/>
              </w:rPr>
              <w:t>-3</w:t>
            </w:r>
            <w:r>
              <w:rPr>
                <w:rFonts w:hint="eastAsia"/>
                <w:kern w:val="0"/>
              </w:rPr>
              <w:t>和图3</w:t>
            </w:r>
            <w:r>
              <w:rPr>
                <w:rFonts w:hint="eastAsia"/>
                <w:kern w:val="0"/>
                <w:lang w:val="en-US" w:eastAsia="zh-CN"/>
              </w:rPr>
              <w:t>-2</w:t>
            </w:r>
            <w:r>
              <w:rPr>
                <w:rFonts w:hint="eastAsia"/>
                <w:kern w:val="0"/>
              </w:rPr>
              <w:t>。</w:t>
            </w:r>
          </w:p>
          <w:p>
            <w:pPr>
              <w:pStyle w:val="21"/>
            </w:pPr>
            <w:r>
              <w:rPr>
                <w:rFonts w:hint="eastAsia"/>
              </w:rPr>
              <w:t>表3</w:t>
            </w:r>
            <w:r>
              <w:rPr>
                <w:rFonts w:hint="eastAsia"/>
                <w:lang w:val="en-US" w:eastAsia="zh-CN"/>
              </w:rPr>
              <w:t>-3</w:t>
            </w:r>
            <w:r>
              <w:t xml:space="preserve">  </w:t>
            </w:r>
            <w:r>
              <w:rPr>
                <w:rFonts w:hint="eastAsia"/>
              </w:rPr>
              <w:t>地表水环境质量现状监测断面一览表</w:t>
            </w:r>
          </w:p>
          <w:tbl>
            <w:tblPr>
              <w:tblStyle w:val="16"/>
              <w:tblW w:w="4998" w:type="pct"/>
              <w:tblInd w:w="0" w:type="dxa"/>
              <w:tblLayout w:type="autofit"/>
              <w:tblCellMar>
                <w:top w:w="0" w:type="dxa"/>
                <w:left w:w="108" w:type="dxa"/>
                <w:bottom w:w="0" w:type="dxa"/>
                <w:right w:w="108" w:type="dxa"/>
              </w:tblCellMar>
            </w:tblPr>
            <w:tblGrid>
              <w:gridCol w:w="633"/>
              <w:gridCol w:w="4025"/>
              <w:gridCol w:w="1399"/>
              <w:gridCol w:w="1306"/>
              <w:gridCol w:w="1247"/>
            </w:tblGrid>
            <w:tr>
              <w:trPr>
                <w:trHeight w:val="215" w:hRule="atLeast"/>
              </w:trPr>
              <w:tc>
                <w:tcPr>
                  <w:tcW w:w="368"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r>
                    <w:rPr>
                      <w:b/>
                      <w:bCs/>
                      <w:color w:val="auto"/>
                      <w:sz w:val="20"/>
                      <w:szCs w:val="20"/>
                    </w:rPr>
                    <w:t>编号</w:t>
                  </w:r>
                </w:p>
              </w:tc>
              <w:tc>
                <w:tcPr>
                  <w:tcW w:w="233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r>
                    <w:rPr>
                      <w:b/>
                      <w:bCs/>
                      <w:color w:val="auto"/>
                      <w:sz w:val="20"/>
                      <w:szCs w:val="20"/>
                    </w:rPr>
                    <w:t>断面描述</w:t>
                  </w:r>
                </w:p>
              </w:tc>
              <w:tc>
                <w:tcPr>
                  <w:tcW w:w="1570"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r>
                    <w:rPr>
                      <w:b/>
                      <w:bCs/>
                      <w:color w:val="auto"/>
                      <w:sz w:val="20"/>
                      <w:szCs w:val="20"/>
                    </w:rPr>
                    <w:t>坐标</w:t>
                  </w:r>
                </w:p>
              </w:tc>
              <w:tc>
                <w:tcPr>
                  <w:tcW w:w="72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r>
                    <w:rPr>
                      <w:rFonts w:hint="eastAsia"/>
                      <w:b/>
                      <w:bCs/>
                      <w:color w:val="auto"/>
                      <w:sz w:val="20"/>
                      <w:szCs w:val="20"/>
                    </w:rPr>
                    <w:t>所属河流</w:t>
                  </w:r>
                </w:p>
              </w:tc>
            </w:tr>
            <w:tr>
              <w:tblPrEx>
                <w:tblCellMar>
                  <w:top w:w="0" w:type="dxa"/>
                  <w:left w:w="108" w:type="dxa"/>
                  <w:bottom w:w="0" w:type="dxa"/>
                  <w:right w:w="108" w:type="dxa"/>
                </w:tblCellMar>
              </w:tblPrEx>
              <w:trPr>
                <w:trHeight w:val="210" w:hRule="atLeast"/>
              </w:trPr>
              <w:tc>
                <w:tcPr>
                  <w:tcW w:w="368" w:type="pct"/>
                  <w:vMerge w:val="continue"/>
                  <w:tcBorders>
                    <w:top w:val="single" w:color="000000" w:sz="4" w:space="0"/>
                    <w:left w:val="single" w:color="000000" w:sz="4" w:space="0"/>
                    <w:bottom w:val="single" w:color="000000" w:sz="4" w:space="0"/>
                    <w:right w:val="single" w:color="000000" w:sz="4" w:space="0"/>
                  </w:tcBorders>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p>
              </w:tc>
              <w:tc>
                <w:tcPr>
                  <w:tcW w:w="2337" w:type="pct"/>
                  <w:vMerge w:val="continue"/>
                  <w:tcBorders>
                    <w:top w:val="single" w:color="000000" w:sz="4" w:space="0"/>
                    <w:left w:val="single" w:color="000000" w:sz="4" w:space="0"/>
                    <w:bottom w:val="single" w:color="000000" w:sz="4" w:space="0"/>
                    <w:right w:val="single" w:color="000000" w:sz="4" w:space="0"/>
                  </w:tcBorders>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r>
                    <w:rPr>
                      <w:b/>
                      <w:bCs/>
                      <w:color w:val="auto"/>
                      <w:sz w:val="20"/>
                      <w:szCs w:val="20"/>
                    </w:rPr>
                    <w:t>经度(E)</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r>
                    <w:rPr>
                      <w:b/>
                      <w:bCs/>
                      <w:color w:val="auto"/>
                      <w:sz w:val="20"/>
                      <w:szCs w:val="20"/>
                    </w:rPr>
                    <w:t>纬度(N)</w:t>
                  </w:r>
                </w:p>
              </w:tc>
              <w:tc>
                <w:tcPr>
                  <w:tcW w:w="724" w:type="pct"/>
                  <w:vMerge w:val="continue"/>
                  <w:tcBorders>
                    <w:top w:val="single" w:color="000000" w:sz="4" w:space="0"/>
                    <w:left w:val="single" w:color="000000" w:sz="4" w:space="0"/>
                    <w:bottom w:val="single" w:color="000000" w:sz="4" w:space="0"/>
                    <w:right w:val="single" w:color="000000" w:sz="4" w:space="0"/>
                  </w:tcBorders>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b/>
                      <w:bCs/>
                      <w:color w:val="auto"/>
                      <w:sz w:val="20"/>
                      <w:szCs w:val="20"/>
                    </w:rPr>
                  </w:pPr>
                </w:p>
              </w:tc>
            </w:tr>
            <w:tr>
              <w:trPr>
                <w:trHeight w:val="220" w:hRule="atLeast"/>
              </w:trPr>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WI</w:t>
                  </w:r>
                </w:p>
              </w:tc>
              <w:tc>
                <w:tcPr>
                  <w:tcW w:w="233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入河排污口上游200m</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117°1358.70"</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color w:val="auto"/>
                      <w:sz w:val="20"/>
                      <w:szCs w:val="20"/>
                    </w:rPr>
                  </w:pPr>
                  <w:r>
                    <w:rPr>
                      <w:rFonts w:hint="eastAsia"/>
                      <w:color w:val="auto"/>
                      <w:sz w:val="20"/>
                      <w:szCs w:val="20"/>
                    </w:rPr>
                    <w:t>32</w:t>
                  </w:r>
                  <w:r>
                    <w:rPr>
                      <w:color w:val="auto"/>
                      <w:sz w:val="20"/>
                      <w:szCs w:val="20"/>
                    </w:rPr>
                    <w:t>°</w:t>
                  </w:r>
                  <w:r>
                    <w:rPr>
                      <w:rFonts w:hint="eastAsia"/>
                      <w:color w:val="auto"/>
                      <w:sz w:val="20"/>
                      <w:szCs w:val="20"/>
                    </w:rPr>
                    <w:t>59</w:t>
                  </w:r>
                  <w:r>
                    <w:rPr>
                      <w:color w:val="auto"/>
                      <w:sz w:val="20"/>
                      <w:szCs w:val="20"/>
                    </w:rPr>
                    <w:t>'</w:t>
                  </w:r>
                  <w:r>
                    <w:rPr>
                      <w:rFonts w:hint="eastAsia"/>
                      <w:color w:val="auto"/>
                      <w:sz w:val="20"/>
                      <w:szCs w:val="20"/>
                    </w:rPr>
                    <w:t>47.95</w:t>
                  </w:r>
                  <w:r>
                    <w:rPr>
                      <w:color w:val="auto"/>
                      <w:sz w:val="20"/>
                      <w:szCs w:val="20"/>
                    </w:rPr>
                    <w:t>"</w:t>
                  </w:r>
                </w:p>
              </w:tc>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color w:val="auto"/>
                      <w:sz w:val="20"/>
                      <w:szCs w:val="20"/>
                    </w:rPr>
                  </w:pPr>
                  <w:r>
                    <w:rPr>
                      <w:rFonts w:hint="eastAsia"/>
                      <w:color w:val="auto"/>
                      <w:sz w:val="20"/>
                      <w:szCs w:val="20"/>
                    </w:rPr>
                    <w:t>龚刘路大沟</w:t>
                  </w:r>
                </w:p>
              </w:tc>
            </w:tr>
            <w:tr>
              <w:tblPrEx>
                <w:tblCellMar>
                  <w:top w:w="0" w:type="dxa"/>
                  <w:left w:w="108" w:type="dxa"/>
                  <w:bottom w:w="0" w:type="dxa"/>
                  <w:right w:w="108" w:type="dxa"/>
                </w:tblCellMar>
              </w:tblPrEx>
              <w:trPr>
                <w:trHeight w:val="210" w:hRule="atLeast"/>
              </w:trPr>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W2</w:t>
                  </w:r>
                </w:p>
              </w:tc>
              <w:tc>
                <w:tcPr>
                  <w:tcW w:w="233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一号大号沟与</w:t>
                  </w:r>
                  <w:r>
                    <w:rPr>
                      <w:rFonts w:hint="eastAsia"/>
                      <w:color w:val="auto"/>
                      <w:sz w:val="20"/>
                      <w:szCs w:val="20"/>
                    </w:rPr>
                    <w:t>龚刘路大沟</w:t>
                  </w:r>
                  <w:r>
                    <w:rPr>
                      <w:color w:val="auto"/>
                      <w:sz w:val="20"/>
                      <w:szCs w:val="20"/>
                    </w:rPr>
                    <w:t>交汇处上游200m</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117°13'43.79"</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32°59'42.66”</w:t>
                  </w:r>
                </w:p>
              </w:tc>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rFonts w:hint="eastAsia"/>
                      <w:color w:val="auto"/>
                      <w:sz w:val="20"/>
                      <w:szCs w:val="20"/>
                    </w:rPr>
                    <w:t>一号大沟</w:t>
                  </w:r>
                </w:p>
              </w:tc>
            </w:tr>
            <w:tr>
              <w:tblPrEx>
                <w:tblCellMar>
                  <w:top w:w="0" w:type="dxa"/>
                  <w:left w:w="108" w:type="dxa"/>
                  <w:bottom w:w="0" w:type="dxa"/>
                  <w:right w:w="108" w:type="dxa"/>
                </w:tblCellMar>
              </w:tblPrEx>
              <w:trPr>
                <w:trHeight w:val="220" w:hRule="atLeast"/>
              </w:trPr>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W3</w:t>
                  </w:r>
                </w:p>
              </w:tc>
              <w:tc>
                <w:tcPr>
                  <w:tcW w:w="233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一号大沟与</w:t>
                  </w:r>
                  <w:r>
                    <w:rPr>
                      <w:rFonts w:hint="eastAsia"/>
                      <w:color w:val="auto"/>
                      <w:sz w:val="20"/>
                      <w:szCs w:val="20"/>
                    </w:rPr>
                    <w:t>龚刘路大沟</w:t>
                  </w:r>
                  <w:r>
                    <w:rPr>
                      <w:color w:val="auto"/>
                      <w:sz w:val="20"/>
                      <w:szCs w:val="20"/>
                    </w:rPr>
                    <w:t>交汇处下游500m</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117°13'51.28"</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33°00'4.21"</w:t>
                  </w:r>
                </w:p>
              </w:tc>
              <w:tc>
                <w:tcPr>
                  <w:tcW w:w="724" w:type="pct"/>
                  <w:tcBorders>
                    <w:top w:val="single" w:color="000000" w:sz="4" w:space="0"/>
                    <w:left w:val="single" w:color="000000" w:sz="4" w:space="0"/>
                    <w:bottom w:val="single" w:color="000000" w:sz="4" w:space="0"/>
                    <w:right w:val="single" w:color="000000" w:sz="4" w:space="0"/>
                  </w:tcBorders>
                  <w:shd w:val="clear" w:color="auto" w:fill="auto"/>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rFonts w:hint="eastAsia"/>
                      <w:color w:val="auto"/>
                      <w:sz w:val="20"/>
                      <w:szCs w:val="20"/>
                    </w:rPr>
                    <w:t>一号大沟</w:t>
                  </w:r>
                </w:p>
              </w:tc>
            </w:tr>
            <w:tr>
              <w:tblPrEx>
                <w:tblCellMar>
                  <w:top w:w="0" w:type="dxa"/>
                  <w:left w:w="108" w:type="dxa"/>
                  <w:bottom w:w="0" w:type="dxa"/>
                  <w:right w:w="108" w:type="dxa"/>
                </w:tblCellMar>
              </w:tblPrEx>
              <w:trPr>
                <w:trHeight w:val="200" w:hRule="atLeast"/>
              </w:trPr>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W4</w:t>
                  </w:r>
                </w:p>
              </w:tc>
              <w:tc>
                <w:tcPr>
                  <w:tcW w:w="233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一号大沟进入北淝河前100m</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117°1410.17"</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33°01'38.82</w:t>
                  </w:r>
                </w:p>
              </w:tc>
              <w:tc>
                <w:tcPr>
                  <w:tcW w:w="724" w:type="pct"/>
                  <w:tcBorders>
                    <w:top w:val="single" w:color="000000" w:sz="4" w:space="0"/>
                    <w:left w:val="single" w:color="000000" w:sz="4" w:space="0"/>
                    <w:bottom w:val="single" w:color="000000" w:sz="4" w:space="0"/>
                    <w:right w:val="single" w:color="000000" w:sz="4" w:space="0"/>
                  </w:tcBorders>
                  <w:shd w:val="clear" w:color="auto" w:fill="auto"/>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rFonts w:hint="eastAsia"/>
                      <w:color w:val="auto"/>
                      <w:sz w:val="20"/>
                      <w:szCs w:val="20"/>
                    </w:rPr>
                    <w:t>一号大沟</w:t>
                  </w:r>
                </w:p>
              </w:tc>
            </w:tr>
            <w:tr>
              <w:tblPrEx>
                <w:tblCellMar>
                  <w:top w:w="0" w:type="dxa"/>
                  <w:left w:w="108" w:type="dxa"/>
                  <w:bottom w:w="0" w:type="dxa"/>
                  <w:right w:w="108" w:type="dxa"/>
                </w:tblCellMar>
              </w:tblPrEx>
              <w:trPr>
                <w:trHeight w:val="230" w:hRule="atLeast"/>
              </w:trPr>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W5</w:t>
                  </w:r>
                </w:p>
              </w:tc>
              <w:tc>
                <w:tcPr>
                  <w:tcW w:w="233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1号大沟与北淝河交汇处上游500m</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117°1349.04"</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color w:val="auto"/>
                      <w:sz w:val="20"/>
                      <w:szCs w:val="20"/>
                    </w:rPr>
                  </w:pPr>
                  <w:r>
                    <w:rPr>
                      <w:rFonts w:hint="eastAsia"/>
                      <w:color w:val="auto"/>
                      <w:sz w:val="20"/>
                      <w:szCs w:val="20"/>
                    </w:rPr>
                    <w:t>33</w:t>
                  </w:r>
                  <w:r>
                    <w:rPr>
                      <w:color w:val="auto"/>
                      <w:sz w:val="20"/>
                      <w:szCs w:val="20"/>
                    </w:rPr>
                    <w:t>°</w:t>
                  </w:r>
                  <w:r>
                    <w:rPr>
                      <w:rFonts w:hint="eastAsia"/>
                      <w:color w:val="auto"/>
                      <w:sz w:val="20"/>
                      <w:szCs w:val="20"/>
                    </w:rPr>
                    <w:t>01</w:t>
                  </w:r>
                  <w:r>
                    <w:rPr>
                      <w:color w:val="auto"/>
                      <w:sz w:val="20"/>
                      <w:szCs w:val="20"/>
                    </w:rPr>
                    <w:t>'</w:t>
                  </w:r>
                  <w:r>
                    <w:rPr>
                      <w:rFonts w:hint="eastAsia"/>
                      <w:color w:val="auto"/>
                      <w:sz w:val="20"/>
                      <w:szCs w:val="20"/>
                    </w:rPr>
                    <w:t>45.75</w:t>
                  </w:r>
                </w:p>
              </w:tc>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北淝河</w:t>
                  </w:r>
                </w:p>
              </w:tc>
            </w:tr>
            <w:tr>
              <w:tblPrEx>
                <w:tblCellMar>
                  <w:top w:w="0" w:type="dxa"/>
                  <w:left w:w="108" w:type="dxa"/>
                  <w:bottom w:w="0" w:type="dxa"/>
                  <w:right w:w="108" w:type="dxa"/>
                </w:tblCellMar>
              </w:tblPrEx>
              <w:trPr>
                <w:trHeight w:val="200" w:hRule="atLeast"/>
              </w:trPr>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W6</w:t>
                  </w:r>
                </w:p>
              </w:tc>
              <w:tc>
                <w:tcPr>
                  <w:tcW w:w="233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沟与北淝河交汇处下游500m</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117°1427.32"</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33°01'44.32</w:t>
                  </w:r>
                </w:p>
              </w:tc>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北淝河</w:t>
                  </w:r>
                </w:p>
              </w:tc>
            </w:tr>
            <w:tr>
              <w:tblPrEx>
                <w:tblCellMar>
                  <w:top w:w="0" w:type="dxa"/>
                  <w:left w:w="108" w:type="dxa"/>
                  <w:bottom w:w="0" w:type="dxa"/>
                  <w:right w:w="108" w:type="dxa"/>
                </w:tblCellMar>
              </w:tblPrEx>
              <w:trPr>
                <w:trHeight w:val="230" w:hRule="atLeast"/>
              </w:trPr>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W7</w:t>
                  </w:r>
                </w:p>
              </w:tc>
              <w:tc>
                <w:tcPr>
                  <w:tcW w:w="233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1号沟与北淝河交汇处下游1000m</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color w:val="auto"/>
                      <w:sz w:val="20"/>
                      <w:szCs w:val="20"/>
                    </w:rPr>
                  </w:pPr>
                  <w:r>
                    <w:rPr>
                      <w:rFonts w:hint="eastAsia"/>
                      <w:color w:val="auto"/>
                      <w:sz w:val="20"/>
                      <w:szCs w:val="20"/>
                    </w:rPr>
                    <w:t>117</w:t>
                  </w:r>
                  <w:r>
                    <w:rPr>
                      <w:color w:val="auto"/>
                      <w:sz w:val="20"/>
                      <w:szCs w:val="20"/>
                    </w:rPr>
                    <w:t>°</w:t>
                  </w:r>
                  <w:r>
                    <w:rPr>
                      <w:rFonts w:hint="eastAsia"/>
                      <w:color w:val="auto"/>
                      <w:sz w:val="20"/>
                      <w:szCs w:val="20"/>
                    </w:rPr>
                    <w:t>1445.32</w:t>
                  </w:r>
                  <w:r>
                    <w:rPr>
                      <w:color w:val="auto"/>
                      <w:sz w:val="20"/>
                      <w:szCs w:val="20"/>
                    </w:rPr>
                    <w:t>"</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33°01'49.88"</w:t>
                  </w:r>
                </w:p>
              </w:tc>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北淝河</w:t>
                  </w:r>
                </w:p>
              </w:tc>
            </w:tr>
            <w:tr>
              <w:tblPrEx>
                <w:tblCellMar>
                  <w:top w:w="0" w:type="dxa"/>
                  <w:left w:w="108" w:type="dxa"/>
                  <w:bottom w:w="0" w:type="dxa"/>
                  <w:right w:w="108" w:type="dxa"/>
                </w:tblCellMar>
              </w:tblPrEx>
              <w:trPr>
                <w:trHeight w:val="205" w:hRule="atLeast"/>
              </w:trPr>
              <w:tc>
                <w:tcPr>
                  <w:tcW w:w="36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W8</w:t>
                  </w:r>
                </w:p>
              </w:tc>
              <w:tc>
                <w:tcPr>
                  <w:tcW w:w="233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1号沟与北淝河交汇处下游2000m</w:t>
                  </w:r>
                </w:p>
              </w:tc>
              <w:tc>
                <w:tcPr>
                  <w:tcW w:w="81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color w:val="auto"/>
                      <w:sz w:val="20"/>
                      <w:szCs w:val="20"/>
                    </w:rPr>
                  </w:pPr>
                  <w:r>
                    <w:rPr>
                      <w:rFonts w:hint="eastAsia"/>
                      <w:color w:val="auto"/>
                      <w:sz w:val="20"/>
                      <w:szCs w:val="20"/>
                    </w:rPr>
                    <w:t>117</w:t>
                  </w:r>
                  <w:r>
                    <w:rPr>
                      <w:color w:val="auto"/>
                      <w:sz w:val="20"/>
                      <w:szCs w:val="20"/>
                    </w:rPr>
                    <w:t>°</w:t>
                  </w:r>
                  <w:r>
                    <w:rPr>
                      <w:rFonts w:hint="eastAsia"/>
                      <w:color w:val="auto"/>
                      <w:sz w:val="20"/>
                      <w:szCs w:val="20"/>
                    </w:rPr>
                    <w:t>15'18.15"</w:t>
                  </w:r>
                </w:p>
              </w:tc>
              <w:tc>
                <w:tcPr>
                  <w:tcW w:w="75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33°02'6.26"</w:t>
                  </w:r>
                </w:p>
              </w:tc>
              <w:tc>
                <w:tcPr>
                  <w:tcW w:w="7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Arial" w:hAnsi="Arial"/>
                      <w:color w:val="auto"/>
                      <w:sz w:val="20"/>
                      <w:szCs w:val="20"/>
                    </w:rPr>
                  </w:pPr>
                  <w:r>
                    <w:rPr>
                      <w:color w:val="auto"/>
                      <w:sz w:val="20"/>
                      <w:szCs w:val="20"/>
                    </w:rPr>
                    <w:t>北淝河</w:t>
                  </w:r>
                </w:p>
              </w:tc>
            </w:tr>
          </w:tbl>
          <w:p>
            <w:pPr>
              <w:bidi w:val="0"/>
            </w:pPr>
          </w:p>
          <w:p>
            <w:pPr>
              <w:bidi w:val="0"/>
            </w:pPr>
          </w:p>
          <w:p>
            <w:pPr>
              <w:bidi w:val="0"/>
            </w:pPr>
          </w:p>
          <w:p>
            <w:pPr>
              <w:bidi w:val="0"/>
            </w:pPr>
          </w:p>
          <w:p>
            <w:pPr>
              <w:pStyle w:val="21"/>
            </w:pPr>
            <w:r>
              <w:drawing>
                <wp:inline distT="0" distB="0" distL="0" distR="0">
                  <wp:extent cx="5400040" cy="5415915"/>
                  <wp:effectExtent l="0" t="0" r="10160" b="13335"/>
                  <wp:docPr id="8030498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49806" name="图片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400040" cy="5415915"/>
                          </a:xfrm>
                          <a:prstGeom prst="rect">
                            <a:avLst/>
                          </a:prstGeom>
                          <a:noFill/>
                          <a:ln>
                            <a:noFill/>
                          </a:ln>
                        </pic:spPr>
                      </pic:pic>
                    </a:graphicData>
                  </a:graphic>
                </wp:inline>
              </w:drawing>
            </w:r>
          </w:p>
          <w:p>
            <w:pPr>
              <w:pStyle w:val="23"/>
              <w:rPr>
                <w:rFonts w:hint="eastAsia" w:eastAsia="宋体"/>
                <w:lang w:val="en-US" w:eastAsia="zh-CN"/>
              </w:rPr>
            </w:pPr>
            <w:r>
              <w:rPr>
                <w:rFonts w:hint="eastAsia"/>
              </w:rPr>
              <w:t>图3</w:t>
            </w:r>
            <w:r>
              <w:t>-</w:t>
            </w:r>
            <w:r>
              <w:rPr>
                <w:rFonts w:hint="eastAsia"/>
                <w:lang w:val="en-US" w:eastAsia="zh-CN"/>
              </w:rPr>
              <w:t>2</w:t>
            </w:r>
            <w:r>
              <w:t xml:space="preserve">  </w:t>
            </w:r>
            <w:r>
              <w:rPr>
                <w:rFonts w:hint="eastAsia"/>
              </w:rPr>
              <w:t>地表水环境质量监测断面</w:t>
            </w:r>
            <w:r>
              <w:rPr>
                <w:rFonts w:hint="eastAsia"/>
                <w:lang w:val="en-US" w:eastAsia="zh-CN"/>
              </w:rPr>
              <w:t>示意图</w:t>
            </w:r>
          </w:p>
          <w:p>
            <w:pPr>
              <w:rPr>
                <w:rFonts w:hint="eastAsia"/>
              </w:rPr>
            </w:pPr>
            <w:r>
              <w:rPr>
                <w:rFonts w:hint="eastAsia"/>
              </w:rPr>
              <w:t>地表水水质现状监测及评价结果统计见下表3</w:t>
            </w:r>
            <w:r>
              <w:rPr>
                <w:rFonts w:hint="eastAsia"/>
                <w:lang w:val="en-US" w:eastAsia="zh-CN"/>
              </w:rPr>
              <w:t>-4</w:t>
            </w:r>
            <w:r>
              <w:rPr>
                <w:rFonts w:hint="eastAsia"/>
              </w:rPr>
              <w:t>。由表可知，监测期间一号大沟和北淝河上各监测断面能满足《地表水环境质量标准》</w:t>
            </w:r>
            <w:r>
              <w:rPr>
                <w:rFonts w:hint="eastAsia"/>
                <w:lang w:eastAsia="zh-CN"/>
              </w:rPr>
              <w:t>(</w:t>
            </w:r>
            <w:r>
              <w:rPr>
                <w:rFonts w:hint="eastAsia"/>
              </w:rPr>
              <w:t>GB</w:t>
            </w:r>
            <w:r>
              <w:t xml:space="preserve"> </w:t>
            </w:r>
            <w:r>
              <w:rPr>
                <w:rFonts w:hint="eastAsia"/>
              </w:rPr>
              <w:t>3838-2002</w:t>
            </w:r>
            <w:r>
              <w:rPr>
                <w:rFonts w:hint="eastAsia"/>
                <w:lang w:eastAsia="zh-CN"/>
              </w:rPr>
              <w:t>)</w:t>
            </w:r>
            <w:r>
              <w:rPr>
                <w:rFonts w:hint="eastAsia"/>
              </w:rPr>
              <w:t>中IV类水标准限值。</w:t>
            </w:r>
          </w:p>
          <w:p>
            <w:pPr>
              <w:pStyle w:val="21"/>
            </w:pPr>
            <w:r>
              <w:rPr>
                <w:rFonts w:hint="eastAsia"/>
              </w:rPr>
              <w:t>表3</w:t>
            </w:r>
            <w:r>
              <w:rPr>
                <w:rFonts w:hint="eastAsia"/>
                <w:lang w:val="en-US" w:eastAsia="zh-CN"/>
              </w:rPr>
              <w:t>-4</w:t>
            </w:r>
            <w:r>
              <w:t xml:space="preserve">  </w:t>
            </w:r>
            <w:r>
              <w:rPr>
                <w:rFonts w:hint="eastAsia"/>
              </w:rPr>
              <w:t>地表水环境现状监测及评价结果</w:t>
            </w:r>
          </w:p>
          <w:tbl>
            <w:tblPr>
              <w:tblStyle w:val="16"/>
              <w:tblW w:w="4997" w:type="pct"/>
              <w:tblInd w:w="0" w:type="dxa"/>
              <w:tblLayout w:type="autofit"/>
              <w:tblCellMar>
                <w:top w:w="0" w:type="dxa"/>
                <w:left w:w="108" w:type="dxa"/>
                <w:bottom w:w="0" w:type="dxa"/>
                <w:right w:w="108" w:type="dxa"/>
              </w:tblCellMar>
            </w:tblPr>
            <w:tblGrid>
              <w:gridCol w:w="1314"/>
              <w:gridCol w:w="1314"/>
              <w:gridCol w:w="1314"/>
              <w:gridCol w:w="725"/>
              <w:gridCol w:w="1025"/>
              <w:gridCol w:w="1185"/>
              <w:gridCol w:w="1001"/>
              <w:gridCol w:w="730"/>
            </w:tblGrid>
            <w:tr>
              <w:tblPrEx>
                <w:tblCellMar>
                  <w:top w:w="0" w:type="dxa"/>
                  <w:left w:w="108" w:type="dxa"/>
                  <w:bottom w:w="0" w:type="dxa"/>
                  <w:right w:w="108" w:type="dxa"/>
                </w:tblCellMar>
              </w:tblPrEx>
              <w:trPr>
                <w:trHeight w:val="210" w:hRule="atLeast"/>
                <w:tblHeader/>
              </w:trPr>
              <w:tc>
                <w:tcPr>
                  <w:tcW w:w="763" w:type="pct"/>
                  <w:tcBorders>
                    <w:top w:val="single" w:color="000000" w:sz="4" w:space="0"/>
                    <w:left w:val="single" w:color="000000" w:sz="4" w:space="0"/>
                    <w:bottom w:val="single" w:color="000000" w:sz="4" w:space="0"/>
                    <w:right w:val="single" w:color="000000" w:sz="4" w:space="0"/>
                  </w:tcBorders>
                  <w:vAlign w:val="center"/>
                </w:tcPr>
                <w:p>
                  <w:pPr>
                    <w:pStyle w:val="19"/>
                    <w:ind w:firstLine="0" w:firstLineChars="0"/>
                    <w:rPr>
                      <w:b/>
                      <w:bCs/>
                    </w:rPr>
                  </w:pPr>
                  <w:r>
                    <w:rPr>
                      <w:b/>
                      <w:bCs/>
                    </w:rPr>
                    <w:t>监测断面</w:t>
                  </w:r>
                </w:p>
              </w:tc>
              <w:tc>
                <w:tcPr>
                  <w:tcW w:w="763" w:type="pct"/>
                  <w:tcBorders>
                    <w:top w:val="single" w:color="000000" w:sz="4" w:space="0"/>
                    <w:left w:val="single" w:color="000000" w:sz="4" w:space="0"/>
                    <w:bottom w:val="single" w:color="000000" w:sz="4" w:space="0"/>
                    <w:right w:val="single" w:color="000000" w:sz="4" w:space="0"/>
                  </w:tcBorders>
                  <w:vAlign w:val="center"/>
                </w:tcPr>
                <w:p>
                  <w:pPr>
                    <w:pStyle w:val="19"/>
                    <w:ind w:firstLine="0" w:firstLineChars="0"/>
                    <w:rPr>
                      <w:b/>
                      <w:bCs/>
                    </w:rPr>
                  </w:pPr>
                  <w:r>
                    <w:rPr>
                      <w:b/>
                      <w:bCs/>
                    </w:rPr>
                    <w:t>采样时间</w:t>
                  </w:r>
                </w:p>
              </w:tc>
              <w:tc>
                <w:tcPr>
                  <w:tcW w:w="763" w:type="pct"/>
                  <w:tcBorders>
                    <w:top w:val="single" w:color="000000" w:sz="4" w:space="0"/>
                    <w:left w:val="single" w:color="000000" w:sz="4" w:space="0"/>
                    <w:bottom w:val="single" w:color="000000" w:sz="4" w:space="0"/>
                    <w:right w:val="single" w:color="000000" w:sz="4" w:space="0"/>
                  </w:tcBorders>
                  <w:vAlign w:val="center"/>
                </w:tcPr>
                <w:p>
                  <w:pPr>
                    <w:pStyle w:val="19"/>
                    <w:ind w:firstLine="0" w:firstLineChars="0"/>
                    <w:rPr>
                      <w:b/>
                      <w:bCs/>
                    </w:rPr>
                  </w:pPr>
                  <w:r>
                    <w:rPr>
                      <w:b/>
                      <w:bCs/>
                    </w:rPr>
                    <w:t>统计项目</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rPr>
                      <w:b/>
                      <w:bCs/>
                    </w:rPr>
                  </w:pPr>
                  <w:r>
                    <w:rPr>
                      <w:rFonts w:hint="eastAsia"/>
                      <w:b/>
                      <w:bCs/>
                    </w:rPr>
                    <w:t>p</w:t>
                  </w:r>
                  <w:r>
                    <w:rPr>
                      <w:b/>
                      <w:bCs/>
                    </w:rPr>
                    <w:t>H</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rPr>
                      <w:b/>
                      <w:bCs/>
                    </w:rPr>
                  </w:pPr>
                  <w:r>
                    <w:rPr>
                      <w:b/>
                      <w:bCs/>
                    </w:rPr>
                    <w:t>COD</w:t>
                  </w:r>
                  <w:r>
                    <w:rPr>
                      <w:b/>
                      <w:bCs/>
                      <w:vertAlign w:val="subscript"/>
                    </w:rPr>
                    <w:t>cr</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rPr>
                      <w:b/>
                      <w:bCs/>
                    </w:rPr>
                  </w:pPr>
                  <w:r>
                    <w:rPr>
                      <w:b/>
                      <w:bCs/>
                    </w:rPr>
                    <w:t>COD</w:t>
                  </w:r>
                  <w:r>
                    <w:rPr>
                      <w:b/>
                      <w:bCs/>
                      <w:vertAlign w:val="subscript"/>
                    </w:rPr>
                    <w:t>Mn</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rPr>
                      <w:b/>
                      <w:bCs/>
                    </w:rPr>
                  </w:pPr>
                  <w:r>
                    <w:rPr>
                      <w:b/>
                      <w:bCs/>
                    </w:rPr>
                    <w:t>NH₃-N</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rPr>
                      <w:b/>
                      <w:bCs/>
                    </w:rPr>
                  </w:pPr>
                  <w:r>
                    <w:rPr>
                      <w:b/>
                      <w:bCs/>
                    </w:rPr>
                    <w:t>TP</w:t>
                  </w:r>
                </w:p>
              </w:tc>
            </w:tr>
            <w:tr>
              <w:tblPrEx>
                <w:tblCellMar>
                  <w:top w:w="0" w:type="dxa"/>
                  <w:left w:w="108" w:type="dxa"/>
                  <w:bottom w:w="0" w:type="dxa"/>
                  <w:right w:w="108" w:type="dxa"/>
                </w:tblCellMar>
              </w:tblPrEx>
              <w:trPr>
                <w:trHeight w:val="230" w:hRule="atLeast"/>
              </w:trPr>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Wl</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2022.8.3</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10.00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4.20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0.442</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0.08 </w:t>
                  </w:r>
                </w:p>
              </w:tc>
            </w:tr>
            <w:tr>
              <w:tblPrEx>
                <w:tblCellMar>
                  <w:top w:w="0" w:type="dxa"/>
                  <w:left w:w="108" w:type="dxa"/>
                  <w:bottom w:w="0" w:type="dxa"/>
                  <w:right w:w="108" w:type="dxa"/>
                </w:tblCellMar>
              </w:tblPrEx>
              <w:trPr>
                <w:trHeight w:val="210"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0.33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0.42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0.294</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0.27 </w:t>
                  </w:r>
                </w:p>
              </w:tc>
            </w:tr>
            <w:tr>
              <w:tblPrEx>
                <w:tblCellMar>
                  <w:top w:w="0" w:type="dxa"/>
                  <w:left w:w="108" w:type="dxa"/>
                  <w:bottom w:w="0" w:type="dxa"/>
                  <w:right w:w="108" w:type="dxa"/>
                </w:tblCellMar>
              </w:tblPrEx>
              <w:trPr>
                <w:trHeight w:val="21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right w:val="single" w:color="000000" w:sz="4" w:space="0"/>
                  </w:tcBorders>
                  <w:shd w:val="clear" w:color="auto" w:fill="auto"/>
                  <w:vAlign w:val="center"/>
                </w:tcPr>
                <w:p>
                  <w:pPr>
                    <w:pStyle w:val="19"/>
                  </w:pPr>
                  <w:r>
                    <w:t>2022.8.4</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10.00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4.30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0.453</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0.08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left w:val="single" w:color="000000" w:sz="4" w:space="0"/>
                    <w:bottom w:val="single" w:color="000000" w:sz="4" w:space="0"/>
                    <w:right w:val="single" w:color="000000" w:sz="4" w:space="0"/>
                  </w:tcBorders>
                  <w:shd w:val="clear" w:color="auto" w:fill="auto"/>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0.33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0.43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0.26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2022.8.5</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12.00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4.20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0.45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0.08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0.42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0.27 </w:t>
                  </w:r>
                </w:p>
              </w:tc>
            </w:tr>
            <w:tr>
              <w:tblPrEx>
                <w:tblCellMar>
                  <w:top w:w="0" w:type="dxa"/>
                  <w:left w:w="108" w:type="dxa"/>
                  <w:bottom w:w="0" w:type="dxa"/>
                  <w:right w:w="108" w:type="dxa"/>
                </w:tblCellMar>
              </w:tblPrEx>
              <w:trPr>
                <w:trHeight w:val="285" w:hRule="atLeast"/>
              </w:trPr>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W2</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2022.8.3</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8.00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2.80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0.52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0.08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0.27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0.28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0.35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0.26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2022.8.4</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13.00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2.50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0.46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0.08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0.43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0.25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0.31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0.27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2022.8.5</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9.00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2.60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0.53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0.09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0.26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0.36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r>
            <w:tr>
              <w:tblPrEx>
                <w:tblCellMar>
                  <w:top w:w="0" w:type="dxa"/>
                  <w:left w:w="108" w:type="dxa"/>
                  <w:bottom w:w="0" w:type="dxa"/>
                  <w:right w:w="108" w:type="dxa"/>
                </w:tblCellMar>
              </w:tblPrEx>
              <w:trPr>
                <w:trHeight w:val="285" w:hRule="atLeast"/>
              </w:trPr>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W3</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2022.8.3</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21.00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4.60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1.29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0.18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0.46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0.86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0.60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2022.8.4</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19.00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4.50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1.39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0.17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0.63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0.45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0.93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0.57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2022.8.5</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20.00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4.60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1.24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0.18 </w:t>
                  </w:r>
                </w:p>
              </w:tc>
            </w:tr>
            <w:tr>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0.67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0.46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0.83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0.60 </w:t>
                  </w:r>
                </w:p>
              </w:tc>
            </w:tr>
            <w:tr>
              <w:tblPrEx>
                <w:tblCellMar>
                  <w:top w:w="0" w:type="dxa"/>
                  <w:left w:w="108" w:type="dxa"/>
                  <w:bottom w:w="0" w:type="dxa"/>
                  <w:right w:w="108" w:type="dxa"/>
                </w:tblCellMar>
              </w:tblPrEx>
              <w:trPr>
                <w:trHeight w:val="285" w:hRule="atLeast"/>
              </w:trPr>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W4</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2022.8.3</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13.00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1.20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1.08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0.16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0.43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0.12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0.72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0.53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2022.8.4</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12.00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1.30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1.02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0.16 </w:t>
                  </w:r>
                </w:p>
              </w:tc>
            </w:tr>
            <w:tr>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0.13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0.68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0.53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2022.8.5</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6.60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14.00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1.10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1.06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0.15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0.47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0.11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0.71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0.50 </w:t>
                  </w:r>
                </w:p>
              </w:tc>
            </w:tr>
            <w:tr>
              <w:tblPrEx>
                <w:tblCellMar>
                  <w:top w:w="0" w:type="dxa"/>
                  <w:left w:w="108" w:type="dxa"/>
                  <w:bottom w:w="0" w:type="dxa"/>
                  <w:right w:w="108" w:type="dxa"/>
                </w:tblCellMar>
              </w:tblPrEx>
              <w:trPr>
                <w:trHeight w:val="285" w:hRule="atLeast"/>
              </w:trPr>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W5</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2022.8.3</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20.00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3.90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0.90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0.08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0.67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0.39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0.60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0.27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2022.8.4</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21.00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4.00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0.94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0.09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0.63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2022.8.5</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21.00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3.50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0.89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0.07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0.35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0.59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0.23 </w:t>
                  </w:r>
                </w:p>
              </w:tc>
            </w:tr>
            <w:tr>
              <w:tblPrEx>
                <w:tblCellMar>
                  <w:top w:w="0" w:type="dxa"/>
                  <w:left w:w="108" w:type="dxa"/>
                  <w:bottom w:w="0" w:type="dxa"/>
                  <w:right w:w="108" w:type="dxa"/>
                </w:tblCellMar>
              </w:tblPrEx>
              <w:trPr>
                <w:trHeight w:val="285" w:hRule="atLeast"/>
              </w:trPr>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W6</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2022.8.3</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20.00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5.10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0.86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0.15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0.67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0.51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0.57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0.50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2022.8.4</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22.00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5.20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0.80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0.15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0.73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0.52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0.53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0.50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2022.8.5</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23.00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4.90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0.84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0.15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0.77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0.49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0.56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0.50 </w:t>
                  </w:r>
                </w:p>
              </w:tc>
            </w:tr>
            <w:tr>
              <w:tblPrEx>
                <w:tblCellMar>
                  <w:top w:w="0" w:type="dxa"/>
                  <w:left w:w="108" w:type="dxa"/>
                  <w:bottom w:w="0" w:type="dxa"/>
                  <w:right w:w="108" w:type="dxa"/>
                </w:tblCellMar>
              </w:tblPrEx>
              <w:trPr>
                <w:trHeight w:val="285" w:hRule="atLeast"/>
              </w:trPr>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W7</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2022.8.3</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6.90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24.00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8.20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0.68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0.14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0.82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0.45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0.47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2022.8.4</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27.00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8.60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0.73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0.15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0.90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0.86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0.49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0.50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2022.8.5</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6.60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25.00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8.00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0.71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0.14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0.83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0.47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0.47 </w:t>
                  </w:r>
                </w:p>
              </w:tc>
            </w:tr>
            <w:tr>
              <w:tblPrEx>
                <w:tblCellMar>
                  <w:top w:w="0" w:type="dxa"/>
                  <w:left w:w="108" w:type="dxa"/>
                  <w:bottom w:w="0" w:type="dxa"/>
                  <w:right w:w="108" w:type="dxa"/>
                </w:tblCellMar>
              </w:tblPrEx>
              <w:trPr>
                <w:trHeight w:val="285" w:hRule="atLeast"/>
              </w:trPr>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W8</w:t>
                  </w: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2022.8.3</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6.70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26.00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9.00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0.56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0.10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0.30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0.87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0.90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0.37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0.33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right w:val="single" w:color="000000" w:sz="4" w:space="0"/>
                  </w:tcBorders>
                  <w:shd w:val="clear" w:color="auto" w:fill="auto"/>
                  <w:vAlign w:val="center"/>
                </w:tcPr>
                <w:p>
                  <w:pPr>
                    <w:pStyle w:val="19"/>
                  </w:pPr>
                  <w:r>
                    <w:t>2022.8.4</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24.00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9.30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0.53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bottom"/>
                </w:tcPr>
                <w:p>
                  <w:pPr>
                    <w:pStyle w:val="19"/>
                  </w:pPr>
                  <w:r>
                    <w:t xml:space="preserve">0.10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left w:val="single" w:color="000000" w:sz="4" w:space="0"/>
                    <w:bottom w:val="single" w:color="000000" w:sz="4" w:space="0"/>
                    <w:right w:val="single" w:color="000000" w:sz="4" w:space="0"/>
                  </w:tcBorders>
                  <w:shd w:val="clear" w:color="auto" w:fill="auto"/>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0.93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0.35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0.33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2022.8.5</w:t>
                  </w: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Ci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6.80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22.00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8.90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0.50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0.10 </w:t>
                  </w:r>
                </w:p>
              </w:tc>
            </w:tr>
            <w:tr>
              <w:tblPrEx>
                <w:tblCellMar>
                  <w:top w:w="0" w:type="dxa"/>
                  <w:left w:w="108" w:type="dxa"/>
                  <w:bottom w:w="0" w:type="dxa"/>
                  <w:right w:w="108" w:type="dxa"/>
                </w:tblCellMar>
              </w:tblPrEx>
              <w:trPr>
                <w:trHeight w:val="285" w:hRule="atLeast"/>
              </w:trPr>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vMerge w:val="continue"/>
                  <w:tcBorders>
                    <w:top w:val="single" w:color="000000" w:sz="4" w:space="0"/>
                    <w:left w:val="single" w:color="000000" w:sz="4" w:space="0"/>
                    <w:bottom w:val="single" w:color="000000" w:sz="4" w:space="0"/>
                    <w:right w:val="single" w:color="000000" w:sz="4" w:space="0"/>
                  </w:tcBorders>
                  <w:vAlign w:val="center"/>
                </w:tcPr>
                <w:p>
                  <w:pPr>
                    <w:pStyle w:val="19"/>
                  </w:pPr>
                </w:p>
              </w:tc>
              <w:tc>
                <w:tcPr>
                  <w:tcW w:w="7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Si</w:t>
                  </w:r>
                </w:p>
              </w:tc>
              <w:tc>
                <w:tcPr>
                  <w:tcW w:w="42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0.20 </w:t>
                  </w:r>
                </w:p>
              </w:tc>
              <w:tc>
                <w:tcPr>
                  <w:tcW w:w="59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0.73 </w:t>
                  </w:r>
                </w:p>
              </w:tc>
              <w:tc>
                <w:tcPr>
                  <w:tcW w:w="688"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0.89 </w:t>
                  </w:r>
                </w:p>
              </w:tc>
              <w:tc>
                <w:tcPr>
                  <w:tcW w:w="58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0.33 </w:t>
                  </w:r>
                </w:p>
              </w:tc>
              <w:tc>
                <w:tcPr>
                  <w:tcW w:w="42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pPr>
                  <w:r>
                    <w:t xml:space="preserve">0.33 </w:t>
                  </w:r>
                </w:p>
              </w:tc>
            </w:tr>
          </w:tbl>
          <w:p>
            <w:pPr>
              <w:spacing w:line="480" w:lineRule="exact"/>
              <w:ind w:left="0" w:leftChars="0" w:firstLine="0" w:firstLineChars="0"/>
              <w:rPr>
                <w:b/>
                <w:bCs/>
                <w:kern w:val="0"/>
              </w:rPr>
            </w:pPr>
          </w:p>
          <w:p>
            <w:pPr>
              <w:spacing w:line="480" w:lineRule="exact"/>
              <w:ind w:left="0" w:leftChars="0" w:firstLine="0" w:firstLineChars="0"/>
              <w:rPr>
                <w:b/>
                <w:bCs/>
                <w:kern w:val="0"/>
              </w:rPr>
            </w:pPr>
            <w:r>
              <w:rPr>
                <w:b/>
                <w:bCs/>
                <w:kern w:val="0"/>
              </w:rPr>
              <w:t>3、</w:t>
            </w:r>
            <w:r>
              <w:rPr>
                <w:rFonts w:hint="eastAsia"/>
                <w:b/>
                <w:bCs/>
                <w:kern w:val="0"/>
              </w:rPr>
              <w:t>声环境</w:t>
            </w:r>
          </w:p>
          <w:p>
            <w:pPr>
              <w:widowControl/>
              <w:spacing w:line="480" w:lineRule="exact"/>
              <w:rPr>
                <w:kern w:val="0"/>
              </w:rPr>
            </w:pPr>
            <w:r>
              <w:rPr>
                <w:rFonts w:hint="eastAsia"/>
                <w:kern w:val="0"/>
              </w:rPr>
              <w:t>安徽泰昌特殊合金制造有限公司位于安徽怀远经济开发区，厂界外周边50m范围内无声环境保护目标，本次不对周边声环境质量现状调查评价。</w:t>
            </w:r>
          </w:p>
          <w:p>
            <w:pPr>
              <w:spacing w:line="480" w:lineRule="exact"/>
              <w:ind w:left="0" w:leftChars="0" w:firstLine="0" w:firstLineChars="0"/>
              <w:rPr>
                <w:b/>
                <w:bCs/>
                <w:kern w:val="0"/>
              </w:rPr>
            </w:pPr>
            <w:r>
              <w:rPr>
                <w:b/>
                <w:bCs/>
                <w:kern w:val="0"/>
              </w:rPr>
              <w:t>4、</w:t>
            </w:r>
            <w:r>
              <w:rPr>
                <w:rFonts w:hint="eastAsia"/>
                <w:b/>
                <w:bCs/>
                <w:kern w:val="0"/>
              </w:rPr>
              <w:t>生态环境</w:t>
            </w:r>
          </w:p>
          <w:p>
            <w:pPr>
              <w:widowControl/>
              <w:spacing w:line="480" w:lineRule="exact"/>
              <w:rPr>
                <w:rFonts w:hint="eastAsia"/>
                <w:kern w:val="0"/>
              </w:rPr>
            </w:pPr>
            <w:r>
              <w:rPr>
                <w:rFonts w:hint="eastAsia"/>
                <w:kern w:val="0"/>
              </w:rPr>
              <w:t>安徽泰昌特殊合金制造有限公司位于安徽怀远经济开发区，不新增用地且用地范围内无生态环境保护目标，本次不对周边生态现状调查评价。</w:t>
            </w:r>
          </w:p>
          <w:p>
            <w:pPr>
              <w:spacing w:line="480" w:lineRule="exact"/>
              <w:ind w:left="0" w:leftChars="0" w:firstLine="0" w:firstLineChars="0"/>
              <w:rPr>
                <w:b/>
                <w:bCs/>
                <w:kern w:val="0"/>
              </w:rPr>
            </w:pPr>
            <w:r>
              <w:rPr>
                <w:b/>
                <w:bCs/>
                <w:kern w:val="0"/>
              </w:rPr>
              <w:t>5、</w:t>
            </w:r>
            <w:r>
              <w:rPr>
                <w:rFonts w:hint="eastAsia"/>
                <w:b/>
                <w:bCs/>
                <w:kern w:val="0"/>
              </w:rPr>
              <w:t>地下水环境</w:t>
            </w:r>
          </w:p>
          <w:p>
            <w:pPr>
              <w:widowControl/>
              <w:spacing w:line="480" w:lineRule="exact"/>
              <w:rPr>
                <w:rFonts w:hint="eastAsia" w:eastAsia="宋体"/>
                <w:kern w:val="0"/>
                <w:lang w:val="en-US" w:eastAsia="zh-CN"/>
              </w:rPr>
            </w:pPr>
            <w:r>
              <w:rPr>
                <w:rFonts w:hint="eastAsia"/>
                <w:kern w:val="0"/>
              </w:rPr>
              <w:t>本次评价</w:t>
            </w:r>
            <w:r>
              <w:rPr>
                <w:rFonts w:hint="eastAsia"/>
                <w:kern w:val="0"/>
                <w:lang w:val="en-US" w:eastAsia="zh-CN"/>
              </w:rPr>
              <w:t>委托安徽世标检测技术有限公司于2024年1月16日</w:t>
            </w:r>
            <w:r>
              <w:rPr>
                <w:rFonts w:hint="eastAsia"/>
                <w:kern w:val="0"/>
              </w:rPr>
              <w:t>在危废库南侧布置1眼地下水监测井，开展地下水现状调查留作背景值</w:t>
            </w:r>
            <w:r>
              <w:rPr>
                <w:rFonts w:hint="eastAsia"/>
                <w:color w:val="000000" w:themeColor="text1"/>
                <w:lang w:val="en-US" w:eastAsia="zh-CN"/>
                <w14:textFill>
                  <w14:solidFill>
                    <w14:schemeClr w14:val="tx1"/>
                  </w14:solidFill>
                </w14:textFill>
              </w:rPr>
              <w:t>(附件6)</w:t>
            </w:r>
            <w:r>
              <w:rPr>
                <w:rFonts w:hint="eastAsia"/>
                <w:kern w:val="0"/>
              </w:rPr>
              <w:t>。</w:t>
            </w:r>
          </w:p>
          <w:p>
            <w:pPr>
              <w:pStyle w:val="21"/>
            </w:pPr>
            <w:r>
              <w:rPr>
                <w:rFonts w:hint="eastAsia"/>
              </w:rPr>
              <w:t>表</w:t>
            </w:r>
            <w:r>
              <w:rPr>
                <w:rFonts w:hint="eastAsia"/>
                <w:lang w:val="en-US" w:eastAsia="zh-CN"/>
              </w:rPr>
              <w:t>3-5</w:t>
            </w:r>
            <w:r>
              <w:t xml:space="preserve">  </w:t>
            </w:r>
            <w:r>
              <w:rPr>
                <w:rFonts w:hint="eastAsia"/>
              </w:rPr>
              <w:t>地下水环境质量现状监测结果</w:t>
            </w:r>
          </w:p>
          <w:tbl>
            <w:tblPr>
              <w:tblStyle w:val="16"/>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62"/>
              <w:gridCol w:w="1477"/>
              <w:gridCol w:w="1520"/>
              <w:gridCol w:w="374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tcBorders>
                    <w:right w:val="single" w:color="auto" w:sz="4" w:space="0"/>
                  </w:tcBorders>
                  <w:vAlign w:val="center"/>
                </w:tcPr>
                <w:p>
                  <w:pPr>
                    <w:pStyle w:val="19"/>
                    <w:bidi w:val="0"/>
                    <w:rPr>
                      <w:rFonts w:hint="eastAsia" w:eastAsia="宋体"/>
                      <w:b/>
                      <w:bCs/>
                      <w:lang w:val="en-US" w:eastAsia="zh-CN"/>
                    </w:rPr>
                  </w:pPr>
                  <w:r>
                    <w:rPr>
                      <w:rFonts w:hint="eastAsia"/>
                      <w:b/>
                      <w:bCs/>
                      <w:lang w:val="en-US" w:eastAsia="zh-CN"/>
                    </w:rPr>
                    <w:t>指标</w:t>
                  </w:r>
                </w:p>
              </w:tc>
              <w:tc>
                <w:tcPr>
                  <w:tcW w:w="858" w:type="pct"/>
                  <w:tcBorders>
                    <w:left w:val="single" w:color="auto" w:sz="4" w:space="0"/>
                  </w:tcBorders>
                  <w:vAlign w:val="center"/>
                </w:tcPr>
                <w:p>
                  <w:pPr>
                    <w:pStyle w:val="19"/>
                    <w:bidi w:val="0"/>
                    <w:rPr>
                      <w:rFonts w:hint="eastAsia" w:eastAsia="宋体"/>
                      <w:b/>
                      <w:bCs/>
                      <w:lang w:val="en-US" w:eastAsia="zh-CN"/>
                    </w:rPr>
                  </w:pPr>
                  <w:r>
                    <w:rPr>
                      <w:rFonts w:hint="eastAsia"/>
                      <w:b/>
                      <w:bCs/>
                      <w:lang w:val="en-US" w:eastAsia="zh-CN"/>
                    </w:rPr>
                    <w:t>单位</w:t>
                  </w:r>
                </w:p>
              </w:tc>
              <w:tc>
                <w:tcPr>
                  <w:tcW w:w="883" w:type="pct"/>
                  <w:vAlign w:val="center"/>
                </w:tcPr>
                <w:p>
                  <w:pPr>
                    <w:pStyle w:val="19"/>
                    <w:bidi w:val="0"/>
                    <w:rPr>
                      <w:rFonts w:hint="default"/>
                      <w:b/>
                      <w:bCs/>
                      <w:lang w:val="en-US" w:eastAsia="zh-CN"/>
                    </w:rPr>
                  </w:pPr>
                  <w:r>
                    <w:rPr>
                      <w:rFonts w:hint="eastAsia"/>
                      <w:b/>
                      <w:bCs/>
                      <w:lang w:val="en-US" w:eastAsia="zh-CN"/>
                    </w:rPr>
                    <w:t>数值</w:t>
                  </w:r>
                </w:p>
              </w:tc>
              <w:tc>
                <w:tcPr>
                  <w:tcW w:w="2176" w:type="pct"/>
                  <w:vAlign w:val="center"/>
                </w:tcPr>
                <w:p>
                  <w:pPr>
                    <w:pStyle w:val="19"/>
                    <w:bidi w:val="0"/>
                    <w:rPr>
                      <w:rFonts w:hint="default"/>
                      <w:b/>
                      <w:bCs/>
                      <w:lang w:val="en-US" w:eastAsia="zh-CN"/>
                    </w:rPr>
                  </w:pPr>
                  <w:r>
                    <w:rPr>
                      <w:rFonts w:hint="eastAsia"/>
                      <w:b/>
                      <w:bCs/>
                      <w:lang w:val="en-US" w:eastAsia="zh-CN"/>
                    </w:rPr>
                    <w:t>GB/T 14848-2017中III类标准限值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tcBorders>
                    <w:right w:val="single" w:color="auto" w:sz="4" w:space="0"/>
                  </w:tcBorders>
                  <w:vAlign w:val="center"/>
                </w:tcPr>
                <w:p>
                  <w:pPr>
                    <w:pStyle w:val="19"/>
                    <w:bidi w:val="0"/>
                    <w:rPr>
                      <w:rFonts w:hint="default"/>
                      <w:lang w:val="en-US" w:eastAsia="zh-CN"/>
                    </w:rPr>
                  </w:pPr>
                  <w:r>
                    <w:rPr>
                      <w:rFonts w:hint="default"/>
                    </w:rPr>
                    <w:t>pH</w:t>
                  </w:r>
                </w:p>
              </w:tc>
              <w:tc>
                <w:tcPr>
                  <w:tcW w:w="858" w:type="pct"/>
                  <w:tcBorders>
                    <w:left w:val="single" w:color="auto" w:sz="4" w:space="0"/>
                  </w:tcBorders>
                  <w:vAlign w:val="center"/>
                </w:tcPr>
                <w:p>
                  <w:pPr>
                    <w:pStyle w:val="19"/>
                    <w:bidi w:val="0"/>
                    <w:rPr>
                      <w:rFonts w:hint="default"/>
                      <w:lang w:val="en-US" w:eastAsia="zh-CN"/>
                    </w:rPr>
                  </w:pPr>
                  <w:r>
                    <w:rPr>
                      <w:rFonts w:hint="default"/>
                      <w:lang w:val="en-US" w:eastAsia="zh-CN"/>
                    </w:rPr>
                    <w:t>无量纲</w:t>
                  </w:r>
                </w:p>
              </w:tc>
              <w:tc>
                <w:tcPr>
                  <w:tcW w:w="883" w:type="pct"/>
                  <w:vAlign w:val="center"/>
                </w:tcPr>
                <w:p>
                  <w:pPr>
                    <w:pStyle w:val="19"/>
                    <w:bidi w:val="0"/>
                    <w:rPr>
                      <w:rFonts w:hint="default"/>
                      <w:lang w:val="en-US" w:eastAsia="zh-CN"/>
                    </w:rPr>
                  </w:pPr>
                  <w:r>
                    <w:rPr>
                      <w:rFonts w:hint="eastAsia"/>
                      <w:lang w:val="en-US" w:eastAsia="zh-CN"/>
                    </w:rPr>
                    <w:t>7.1(8.3</w:t>
                  </w:r>
                  <w:r>
                    <w:rPr>
                      <w:rFonts w:hint="default"/>
                      <w:lang w:val="en-US" w:eastAsia="zh-CN"/>
                    </w:rPr>
                    <w:t>℃</w:t>
                  </w:r>
                  <w:r>
                    <w:rPr>
                      <w:rFonts w:hint="eastAsia"/>
                      <w:lang w:val="en-US" w:eastAsia="zh-CN"/>
                    </w:rPr>
                    <w:t>)</w:t>
                  </w:r>
                </w:p>
              </w:tc>
              <w:tc>
                <w:tcPr>
                  <w:tcW w:w="2176" w:type="pct"/>
                  <w:vAlign w:val="center"/>
                </w:tcPr>
                <w:p>
                  <w:pPr>
                    <w:pStyle w:val="19"/>
                    <w:bidi w:val="0"/>
                    <w:rPr>
                      <w:rFonts w:hint="default"/>
                      <w:lang w:val="en-US" w:eastAsia="zh-CN"/>
                    </w:rPr>
                  </w:pPr>
                  <w:r>
                    <w:rPr>
                      <w:rFonts w:hint="eastAsia"/>
                      <w:lang w:val="en-US" w:eastAsia="zh-CN"/>
                    </w:rPr>
                    <w:t>6.5</w:t>
                  </w:r>
                  <w:r>
                    <w:rPr>
                      <w:rFonts w:hint="default" w:ascii="Times New Roman" w:hAnsi="Times New Roman" w:cs="Times New Roman"/>
                      <w:lang w:val="en-US" w:eastAsia="zh-CN"/>
                    </w:rPr>
                    <w:t>≤pH≤8.5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钾</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0.96</w:t>
                  </w:r>
                </w:p>
              </w:tc>
              <w:tc>
                <w:tcPr>
                  <w:tcW w:w="2176" w:type="pct"/>
                  <w:vAlign w:val="center"/>
                </w:tcPr>
                <w:p>
                  <w:pPr>
                    <w:pStyle w:val="19"/>
                    <w:bidi w:val="0"/>
                    <w:rPr>
                      <w:rFonts w:hint="default"/>
                      <w:lang w:val="en-US" w:eastAsia="zh-CN"/>
                    </w:rPr>
                  </w:pPr>
                  <w:r>
                    <w:rPr>
                      <w:rFonts w:hint="eastAsia"/>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钠</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106</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200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钙</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88.2</w:t>
                  </w:r>
                </w:p>
              </w:tc>
              <w:tc>
                <w:tcPr>
                  <w:tcW w:w="2176" w:type="pct"/>
                  <w:vAlign w:val="center"/>
                </w:tcPr>
                <w:p>
                  <w:pPr>
                    <w:pStyle w:val="19"/>
                    <w:bidi w:val="0"/>
                    <w:rPr>
                      <w:rFonts w:hint="default"/>
                      <w:lang w:val="en-US" w:eastAsia="zh-CN"/>
                    </w:rPr>
                  </w:pPr>
                  <w:r>
                    <w:rPr>
                      <w:rFonts w:hint="eastAsia"/>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镁</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8.18</w:t>
                  </w:r>
                </w:p>
              </w:tc>
              <w:tc>
                <w:tcPr>
                  <w:tcW w:w="2176" w:type="pct"/>
                  <w:vAlign w:val="center"/>
                </w:tcPr>
                <w:p>
                  <w:pPr>
                    <w:pStyle w:val="19"/>
                    <w:bidi w:val="0"/>
                    <w:rPr>
                      <w:rFonts w:hint="default"/>
                      <w:lang w:val="en-US" w:eastAsia="zh-CN"/>
                    </w:rPr>
                  </w:pPr>
                  <w:r>
                    <w:rPr>
                      <w:rFonts w:hint="eastAsia"/>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碳酸根</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5L</w:t>
                  </w:r>
                </w:p>
              </w:tc>
              <w:tc>
                <w:tcPr>
                  <w:tcW w:w="2176" w:type="pct"/>
                  <w:vAlign w:val="center"/>
                </w:tcPr>
                <w:p>
                  <w:pPr>
                    <w:pStyle w:val="19"/>
                    <w:bidi w:val="0"/>
                    <w:rPr>
                      <w:rFonts w:hint="default"/>
                      <w:lang w:val="en-US" w:eastAsia="zh-CN"/>
                    </w:rPr>
                  </w:pPr>
                  <w:r>
                    <w:rPr>
                      <w:rFonts w:hint="eastAsia"/>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碳酸氢根</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458</w:t>
                  </w:r>
                </w:p>
              </w:tc>
              <w:tc>
                <w:tcPr>
                  <w:tcW w:w="2176" w:type="pct"/>
                  <w:vAlign w:val="center"/>
                </w:tcPr>
                <w:p>
                  <w:pPr>
                    <w:pStyle w:val="19"/>
                    <w:bidi w:val="0"/>
                    <w:rPr>
                      <w:rFonts w:hint="default"/>
                      <w:lang w:val="en-US" w:eastAsia="zh-CN"/>
                    </w:rPr>
                  </w:pPr>
                  <w:r>
                    <w:rPr>
                      <w:rFonts w:hint="eastAsia"/>
                      <w:lang w:val="en-US" w:eastAsia="zh-CN"/>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氯化物</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57.4</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250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硫酸盐</w:t>
                  </w:r>
                </w:p>
              </w:tc>
              <w:tc>
                <w:tcPr>
                  <w:tcW w:w="858" w:type="pct"/>
                  <w:vAlign w:val="center"/>
                </w:tcPr>
                <w:p>
                  <w:pPr>
                    <w:pStyle w:val="19"/>
                    <w:bidi w:val="0"/>
                    <w:rPr>
                      <w:rFonts w:hint="default"/>
                      <w:lang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75.6</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250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氨氮</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0.489</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0.50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硝酸盐</w:t>
                  </w:r>
                  <w:r>
                    <w:rPr>
                      <w:rFonts w:hint="eastAsia"/>
                      <w:lang w:eastAsia="zh-CN"/>
                    </w:rPr>
                    <w:t>(</w:t>
                  </w:r>
                  <w:r>
                    <w:rPr>
                      <w:rFonts w:hint="default"/>
                      <w:lang w:val="en-US" w:eastAsia="zh-CN"/>
                    </w:rPr>
                    <w:t>氮</w:t>
                  </w:r>
                  <w:r>
                    <w:rPr>
                      <w:rFonts w:hint="eastAsia"/>
                      <w:lang w:eastAsia="zh-CN"/>
                    </w:rPr>
                    <w:t>)</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0.004L</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20.0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亚硝酸盐</w:t>
                  </w:r>
                  <w:r>
                    <w:rPr>
                      <w:rFonts w:hint="eastAsia"/>
                      <w:lang w:eastAsia="zh-CN"/>
                    </w:rPr>
                    <w:t>(</w:t>
                  </w:r>
                  <w:r>
                    <w:rPr>
                      <w:rFonts w:hint="default"/>
                      <w:lang w:val="en-US" w:eastAsia="zh-CN"/>
                    </w:rPr>
                    <w:t>氮</w:t>
                  </w:r>
                  <w:r>
                    <w:rPr>
                      <w:rFonts w:hint="eastAsia"/>
                      <w:lang w:eastAsia="zh-CN"/>
                    </w:rPr>
                    <w:t>)</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0.003</w:t>
                  </w:r>
                </w:p>
              </w:tc>
              <w:tc>
                <w:tcPr>
                  <w:tcW w:w="2176" w:type="pct"/>
                  <w:vAlign w:val="center"/>
                </w:tcPr>
                <w:p>
                  <w:pPr>
                    <w:pStyle w:val="19"/>
                    <w:bidi w:val="0"/>
                    <w:rPr>
                      <w:rFonts w:hint="eastAsia"/>
                      <w:lang w:val="en-US" w:eastAsia="zh-CN"/>
                    </w:rPr>
                  </w:pPr>
                  <w:r>
                    <w:rPr>
                      <w:rFonts w:hint="default" w:ascii="Times New Roman" w:hAnsi="Times New Roman" w:cs="Times New Roman"/>
                      <w:lang w:val="en-US" w:eastAsia="zh-CN"/>
                    </w:rPr>
                    <w:t>≤</w:t>
                  </w:r>
                  <w:r>
                    <w:rPr>
                      <w:rFonts w:hint="eastAsia"/>
                      <w:lang w:val="en-US" w:eastAsia="zh-CN"/>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挥发酚</w:t>
                  </w:r>
                </w:p>
              </w:tc>
              <w:tc>
                <w:tcPr>
                  <w:tcW w:w="858" w:type="pct"/>
                  <w:vAlign w:val="center"/>
                </w:tcPr>
                <w:p>
                  <w:pPr>
                    <w:pStyle w:val="19"/>
                    <w:bidi w:val="0"/>
                    <w:rPr>
                      <w:rFonts w:hint="default"/>
                      <w:lang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0.0003L</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0.002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氰化物</w:t>
                  </w:r>
                </w:p>
              </w:tc>
              <w:tc>
                <w:tcPr>
                  <w:tcW w:w="858" w:type="pct"/>
                  <w:vAlign w:val="center"/>
                </w:tcPr>
                <w:p>
                  <w:pPr>
                    <w:pStyle w:val="19"/>
                    <w:bidi w:val="0"/>
                    <w:rPr>
                      <w:rFonts w:hint="default"/>
                      <w:lang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0.002L</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0.05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砷</w:t>
                  </w:r>
                </w:p>
              </w:tc>
              <w:tc>
                <w:tcPr>
                  <w:tcW w:w="858" w:type="pct"/>
                  <w:vAlign w:val="center"/>
                </w:tcPr>
                <w:p>
                  <w:pPr>
                    <w:pStyle w:val="19"/>
                    <w:bidi w:val="0"/>
                    <w:rPr>
                      <w:rFonts w:hint="default"/>
                      <w:lang w:eastAsia="zh-CN"/>
                    </w:rPr>
                  </w:pPr>
                  <w:r>
                    <w:rPr>
                      <w:rFonts w:hint="default"/>
                      <w:lang w:val="en-US" w:eastAsia="zh-CN"/>
                    </w:rPr>
                    <w:t>µg/L</w:t>
                  </w:r>
                </w:p>
              </w:tc>
              <w:tc>
                <w:tcPr>
                  <w:tcW w:w="883" w:type="pct"/>
                  <w:vAlign w:val="center"/>
                </w:tcPr>
                <w:p>
                  <w:pPr>
                    <w:pStyle w:val="19"/>
                    <w:bidi w:val="0"/>
                    <w:rPr>
                      <w:rFonts w:hint="default"/>
                      <w:lang w:val="en-US" w:eastAsia="zh-CN"/>
                    </w:rPr>
                  </w:pPr>
                  <w:r>
                    <w:rPr>
                      <w:rFonts w:hint="eastAsia"/>
                      <w:lang w:val="en-US" w:eastAsia="zh-CN"/>
                    </w:rPr>
                    <w:t>0.9</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汞</w:t>
                  </w:r>
                </w:p>
              </w:tc>
              <w:tc>
                <w:tcPr>
                  <w:tcW w:w="858" w:type="pct"/>
                  <w:vAlign w:val="center"/>
                </w:tcPr>
                <w:p>
                  <w:pPr>
                    <w:pStyle w:val="19"/>
                    <w:bidi w:val="0"/>
                    <w:rPr>
                      <w:rFonts w:hint="default"/>
                      <w:lang w:val="en-US" w:eastAsia="zh-CN"/>
                    </w:rPr>
                  </w:pPr>
                  <w:r>
                    <w:rPr>
                      <w:rFonts w:hint="default"/>
                      <w:lang w:val="en-US" w:eastAsia="zh-CN"/>
                    </w:rPr>
                    <w:t>µg/L</w:t>
                  </w:r>
                </w:p>
              </w:tc>
              <w:tc>
                <w:tcPr>
                  <w:tcW w:w="883" w:type="pct"/>
                  <w:vAlign w:val="center"/>
                </w:tcPr>
                <w:p>
                  <w:pPr>
                    <w:pStyle w:val="19"/>
                    <w:bidi w:val="0"/>
                    <w:rPr>
                      <w:rFonts w:hint="default"/>
                      <w:lang w:val="en-US" w:eastAsia="zh-CN"/>
                    </w:rPr>
                  </w:pPr>
                  <w:r>
                    <w:rPr>
                      <w:rFonts w:hint="eastAsia"/>
                      <w:lang w:val="en-US" w:eastAsia="zh-CN"/>
                    </w:rPr>
                    <w:t>0.04L</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eastAsia="zh-CN"/>
                    </w:rPr>
                    <w:t>六价铬</w:t>
                  </w:r>
                </w:p>
              </w:tc>
              <w:tc>
                <w:tcPr>
                  <w:tcW w:w="858" w:type="pct"/>
                  <w:vAlign w:val="center"/>
                </w:tcPr>
                <w:p>
                  <w:pPr>
                    <w:pStyle w:val="19"/>
                    <w:bidi w:val="0"/>
                    <w:rPr>
                      <w:rFonts w:hint="default"/>
                      <w:lang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0.004L</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0.05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总硬度</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248</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450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eastAsia="zh-CN"/>
                    </w:rPr>
                    <w:t>耗氧量</w:t>
                  </w:r>
                </w:p>
              </w:tc>
              <w:tc>
                <w:tcPr>
                  <w:tcW w:w="858" w:type="pct"/>
                  <w:vAlign w:val="center"/>
                </w:tcPr>
                <w:p>
                  <w:pPr>
                    <w:pStyle w:val="19"/>
                    <w:bidi w:val="0"/>
                    <w:rPr>
                      <w:rFonts w:hint="default"/>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1.0</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3.0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铅</w:t>
                  </w:r>
                </w:p>
              </w:tc>
              <w:tc>
                <w:tcPr>
                  <w:tcW w:w="858" w:type="pct"/>
                  <w:vAlign w:val="center"/>
                </w:tcPr>
                <w:p>
                  <w:pPr>
                    <w:pStyle w:val="19"/>
                    <w:bidi w:val="0"/>
                    <w:rPr>
                      <w:rFonts w:hint="default"/>
                    </w:rPr>
                  </w:pPr>
                  <w:r>
                    <w:rPr>
                      <w:rFonts w:hint="default"/>
                      <w:lang w:val="en-US" w:eastAsia="zh-CN"/>
                    </w:rPr>
                    <w:t>µg/L</w:t>
                  </w:r>
                </w:p>
              </w:tc>
              <w:tc>
                <w:tcPr>
                  <w:tcW w:w="883" w:type="pct"/>
                  <w:vAlign w:val="center"/>
                </w:tcPr>
                <w:p>
                  <w:pPr>
                    <w:pStyle w:val="19"/>
                    <w:bidi w:val="0"/>
                    <w:rPr>
                      <w:rFonts w:hint="default"/>
                      <w:lang w:val="en-US" w:eastAsia="zh-CN"/>
                    </w:rPr>
                  </w:pPr>
                  <w:r>
                    <w:rPr>
                      <w:rFonts w:hint="eastAsia"/>
                      <w:lang w:val="en-US" w:eastAsia="zh-CN"/>
                    </w:rPr>
                    <w:t>2</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氟</w:t>
                  </w:r>
                  <w:r>
                    <w:rPr>
                      <w:rFonts w:hint="default"/>
                      <w:lang w:val="en-US" w:eastAsia="zh-CN"/>
                    </w:rPr>
                    <w:t>化物</w:t>
                  </w:r>
                </w:p>
              </w:tc>
              <w:tc>
                <w:tcPr>
                  <w:tcW w:w="858" w:type="pct"/>
                  <w:vAlign w:val="center"/>
                </w:tcPr>
                <w:p>
                  <w:pPr>
                    <w:pStyle w:val="19"/>
                    <w:bidi w:val="0"/>
                    <w:rPr>
                      <w:rFonts w:hint="default"/>
                      <w:lang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0.64</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镉</w:t>
                  </w:r>
                </w:p>
              </w:tc>
              <w:tc>
                <w:tcPr>
                  <w:tcW w:w="858" w:type="pct"/>
                  <w:vAlign w:val="center"/>
                </w:tcPr>
                <w:p>
                  <w:pPr>
                    <w:pStyle w:val="19"/>
                    <w:bidi w:val="0"/>
                    <w:rPr>
                      <w:rFonts w:hint="default"/>
                      <w:lang w:eastAsia="zh-CN"/>
                    </w:rPr>
                  </w:pPr>
                  <w:r>
                    <w:rPr>
                      <w:rFonts w:hint="default"/>
                      <w:lang w:val="en-US" w:eastAsia="zh-CN"/>
                    </w:rPr>
                    <w:t>µg/L</w:t>
                  </w:r>
                </w:p>
              </w:tc>
              <w:tc>
                <w:tcPr>
                  <w:tcW w:w="883" w:type="pct"/>
                  <w:vAlign w:val="center"/>
                </w:tcPr>
                <w:p>
                  <w:pPr>
                    <w:pStyle w:val="19"/>
                    <w:bidi w:val="0"/>
                    <w:rPr>
                      <w:rFonts w:hint="default"/>
                      <w:lang w:val="en-US" w:eastAsia="zh-CN"/>
                    </w:rPr>
                  </w:pPr>
                  <w:r>
                    <w:rPr>
                      <w:rFonts w:hint="eastAsia"/>
                      <w:lang w:val="en-US" w:eastAsia="zh-CN"/>
                    </w:rPr>
                    <w:t>0.1</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铁</w:t>
                  </w:r>
                </w:p>
              </w:tc>
              <w:tc>
                <w:tcPr>
                  <w:tcW w:w="858" w:type="pct"/>
                  <w:vAlign w:val="center"/>
                </w:tcPr>
                <w:p>
                  <w:pPr>
                    <w:pStyle w:val="19"/>
                    <w:bidi w:val="0"/>
                    <w:rPr>
                      <w:rFonts w:hint="default"/>
                      <w:lang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0.78</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0.3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color w:val="auto"/>
                      <w:highlight w:val="none"/>
                      <w:lang w:val="en-US" w:eastAsia="zh-CN"/>
                    </w:rPr>
                  </w:pPr>
                  <w:r>
                    <w:rPr>
                      <w:rFonts w:hint="default"/>
                      <w:color w:val="auto"/>
                      <w:highlight w:val="none"/>
                    </w:rPr>
                    <w:t>锰</w:t>
                  </w:r>
                </w:p>
              </w:tc>
              <w:tc>
                <w:tcPr>
                  <w:tcW w:w="858" w:type="pct"/>
                  <w:vAlign w:val="center"/>
                </w:tcPr>
                <w:p>
                  <w:pPr>
                    <w:pStyle w:val="19"/>
                    <w:bidi w:val="0"/>
                    <w:rPr>
                      <w:rFonts w:hint="default"/>
                      <w:color w:val="auto"/>
                      <w:highlight w:val="none"/>
                    </w:rPr>
                  </w:pPr>
                  <w:r>
                    <w:rPr>
                      <w:rFonts w:hint="default"/>
                      <w:color w:val="auto"/>
                      <w:highlight w:val="none"/>
                      <w:lang w:val="en-US" w:eastAsia="zh-CN"/>
                    </w:rPr>
                    <w:t>mg/L</w:t>
                  </w:r>
                </w:p>
              </w:tc>
              <w:tc>
                <w:tcPr>
                  <w:tcW w:w="883" w:type="pct"/>
                  <w:vAlign w:val="center"/>
                </w:tcPr>
                <w:p>
                  <w:pPr>
                    <w:pStyle w:val="19"/>
                    <w:bidi w:val="0"/>
                    <w:rPr>
                      <w:rFonts w:hint="default"/>
                      <w:color w:val="auto"/>
                      <w:highlight w:val="none"/>
                      <w:lang w:val="en-US" w:eastAsia="zh-CN"/>
                    </w:rPr>
                  </w:pPr>
                  <w:r>
                    <w:rPr>
                      <w:rFonts w:hint="eastAsia"/>
                      <w:color w:val="auto"/>
                      <w:highlight w:val="none"/>
                      <w:lang w:val="en-US" w:eastAsia="zh-CN"/>
                    </w:rPr>
                    <w:t>0.08</w:t>
                  </w:r>
                </w:p>
              </w:tc>
              <w:tc>
                <w:tcPr>
                  <w:tcW w:w="2176" w:type="pct"/>
                  <w:vAlign w:val="center"/>
                </w:tcPr>
                <w:p>
                  <w:pPr>
                    <w:pStyle w:val="19"/>
                    <w:bidi w:val="0"/>
                    <w:rPr>
                      <w:rFonts w:hint="default"/>
                      <w:color w:val="auto"/>
                      <w:highlight w:val="none"/>
                      <w:lang w:val="en-US" w:eastAsia="zh-CN"/>
                    </w:rPr>
                  </w:pPr>
                  <w:r>
                    <w:rPr>
                      <w:rFonts w:hint="default" w:ascii="Times New Roman" w:hAnsi="Times New Roman" w:cs="Times New Roman"/>
                      <w:color w:val="auto"/>
                      <w:highlight w:val="none"/>
                      <w:lang w:val="en-US" w:eastAsia="zh-CN"/>
                    </w:rPr>
                    <w:t>≤</w:t>
                  </w:r>
                  <w:r>
                    <w:rPr>
                      <w:rFonts w:hint="eastAsia"/>
                      <w:color w:val="auto"/>
                      <w:highlight w:val="none"/>
                      <w:lang w:val="en-US" w:eastAsia="zh-CN"/>
                    </w:rPr>
                    <w:t>0.10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rPr>
                  </w:pPr>
                  <w:r>
                    <w:rPr>
                      <w:rFonts w:hint="default"/>
                    </w:rPr>
                    <w:t>溶解性总固体</w:t>
                  </w:r>
                </w:p>
              </w:tc>
              <w:tc>
                <w:tcPr>
                  <w:tcW w:w="858" w:type="pct"/>
                  <w:vAlign w:val="center"/>
                </w:tcPr>
                <w:p>
                  <w:pPr>
                    <w:pStyle w:val="19"/>
                    <w:bidi w:val="0"/>
                    <w:rPr>
                      <w:rFonts w:hint="default"/>
                      <w:lang w:val="en-US" w:eastAsia="zh-CN"/>
                    </w:rPr>
                  </w:pPr>
                  <w:r>
                    <w:rPr>
                      <w:rFonts w:hint="default"/>
                      <w:lang w:val="en-US" w:eastAsia="zh-CN"/>
                    </w:rPr>
                    <w:t>mg/L</w:t>
                  </w:r>
                </w:p>
              </w:tc>
              <w:tc>
                <w:tcPr>
                  <w:tcW w:w="883" w:type="pct"/>
                  <w:vAlign w:val="center"/>
                </w:tcPr>
                <w:p>
                  <w:pPr>
                    <w:pStyle w:val="19"/>
                    <w:bidi w:val="0"/>
                    <w:rPr>
                      <w:rFonts w:hint="default"/>
                      <w:lang w:val="en-US" w:eastAsia="zh-CN"/>
                    </w:rPr>
                  </w:pPr>
                  <w:r>
                    <w:rPr>
                      <w:rFonts w:hint="eastAsia"/>
                      <w:lang w:val="en-US" w:eastAsia="zh-CN"/>
                    </w:rPr>
                    <w:t>559</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1000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rPr>
                    <w:t>总大肠菌群</w:t>
                  </w:r>
                </w:p>
              </w:tc>
              <w:tc>
                <w:tcPr>
                  <w:tcW w:w="858" w:type="pct"/>
                  <w:vAlign w:val="center"/>
                </w:tcPr>
                <w:p>
                  <w:pPr>
                    <w:pStyle w:val="19"/>
                    <w:bidi w:val="0"/>
                    <w:rPr>
                      <w:rFonts w:hint="default"/>
                      <w:lang w:val="en-US" w:eastAsia="zh-CN"/>
                    </w:rPr>
                  </w:pPr>
                  <w:r>
                    <w:rPr>
                      <w:rFonts w:hint="default"/>
                      <w:lang w:val="en-US" w:eastAsia="zh-CN"/>
                    </w:rPr>
                    <w:t>MPN/100mL</w:t>
                  </w:r>
                </w:p>
              </w:tc>
              <w:tc>
                <w:tcPr>
                  <w:tcW w:w="883" w:type="pct"/>
                  <w:vAlign w:val="center"/>
                </w:tcPr>
                <w:p>
                  <w:pPr>
                    <w:pStyle w:val="19"/>
                    <w:bidi w:val="0"/>
                    <w:rPr>
                      <w:rFonts w:hint="default"/>
                      <w:lang w:val="en-US" w:eastAsia="zh-CN"/>
                    </w:rPr>
                  </w:pPr>
                  <w:r>
                    <w:rPr>
                      <w:rFonts w:hint="eastAsia"/>
                      <w:lang w:val="en-US" w:eastAsia="zh-CN"/>
                    </w:rPr>
                    <w:t>2L</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3.0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5" w:hRule="atLeast"/>
                <w:jc w:val="center"/>
              </w:trPr>
              <w:tc>
                <w:tcPr>
                  <w:tcW w:w="1082" w:type="pct"/>
                  <w:vAlign w:val="center"/>
                </w:tcPr>
                <w:p>
                  <w:pPr>
                    <w:pStyle w:val="19"/>
                    <w:bidi w:val="0"/>
                    <w:rPr>
                      <w:rFonts w:hint="default"/>
                      <w:lang w:val="en-US" w:eastAsia="zh-CN"/>
                    </w:rPr>
                  </w:pPr>
                  <w:r>
                    <w:rPr>
                      <w:rFonts w:hint="default"/>
                      <w:lang w:val="en-US" w:eastAsia="zh-CN"/>
                    </w:rPr>
                    <w:t>细菌总数</w:t>
                  </w:r>
                </w:p>
              </w:tc>
              <w:tc>
                <w:tcPr>
                  <w:tcW w:w="858" w:type="pct"/>
                  <w:vAlign w:val="center"/>
                </w:tcPr>
                <w:p>
                  <w:pPr>
                    <w:pStyle w:val="19"/>
                    <w:bidi w:val="0"/>
                    <w:rPr>
                      <w:rFonts w:hint="default"/>
                      <w:lang w:val="en-US" w:eastAsia="zh-CN"/>
                    </w:rPr>
                  </w:pPr>
                  <w:r>
                    <w:rPr>
                      <w:rFonts w:hint="default"/>
                      <w:lang w:val="en-US" w:eastAsia="zh-CN"/>
                    </w:rPr>
                    <w:t>CFU/mL</w:t>
                  </w:r>
                </w:p>
              </w:tc>
              <w:tc>
                <w:tcPr>
                  <w:tcW w:w="883" w:type="pct"/>
                  <w:vAlign w:val="center"/>
                </w:tcPr>
                <w:p>
                  <w:pPr>
                    <w:pStyle w:val="19"/>
                    <w:bidi w:val="0"/>
                    <w:rPr>
                      <w:rFonts w:hint="default"/>
                      <w:lang w:val="en-US" w:eastAsia="zh-CN"/>
                    </w:rPr>
                  </w:pPr>
                  <w:r>
                    <w:rPr>
                      <w:rFonts w:hint="eastAsia"/>
                      <w:lang w:val="en-US" w:eastAsia="zh-CN"/>
                    </w:rPr>
                    <w:t>55</w:t>
                  </w:r>
                </w:p>
              </w:tc>
              <w:tc>
                <w:tcPr>
                  <w:tcW w:w="2176" w:type="pct"/>
                  <w:vAlign w:val="center"/>
                </w:tcPr>
                <w:p>
                  <w:pPr>
                    <w:pStyle w:val="19"/>
                    <w:bidi w:val="0"/>
                    <w:rPr>
                      <w:rFonts w:hint="default"/>
                      <w:lang w:val="en-US" w:eastAsia="zh-CN"/>
                    </w:rPr>
                  </w:pPr>
                  <w:r>
                    <w:rPr>
                      <w:rFonts w:hint="default" w:ascii="Times New Roman" w:hAnsi="Times New Roman" w:cs="Times New Roman"/>
                      <w:lang w:val="en-US" w:eastAsia="zh-CN"/>
                    </w:rPr>
                    <w:t>≤</w:t>
                  </w:r>
                  <w:r>
                    <w:rPr>
                      <w:rFonts w:hint="eastAsia"/>
                      <w:lang w:val="en-US" w:eastAsia="zh-CN"/>
                    </w:rPr>
                    <w:t>100</w:t>
                  </w:r>
                </w:p>
              </w:tc>
            </w:tr>
          </w:tbl>
          <w:p>
            <w:pPr>
              <w:spacing w:line="480" w:lineRule="exact"/>
              <w:ind w:left="0" w:leftChars="0" w:firstLine="0" w:firstLineChars="0"/>
              <w:rPr>
                <w:b/>
                <w:bCs/>
                <w:kern w:val="0"/>
              </w:rPr>
            </w:pPr>
          </w:p>
          <w:p>
            <w:pPr>
              <w:spacing w:line="480" w:lineRule="exact"/>
              <w:ind w:left="0" w:leftChars="0" w:firstLine="0" w:firstLineChars="0"/>
              <w:rPr>
                <w:b/>
                <w:bCs/>
                <w:kern w:val="0"/>
              </w:rPr>
            </w:pPr>
            <w:r>
              <w:rPr>
                <w:b/>
                <w:bCs/>
                <w:kern w:val="0"/>
              </w:rPr>
              <w:t>6、</w:t>
            </w:r>
            <w:r>
              <w:rPr>
                <w:rFonts w:hint="eastAsia"/>
                <w:b/>
                <w:bCs/>
                <w:kern w:val="0"/>
              </w:rPr>
              <w:t>土壤环境</w:t>
            </w:r>
          </w:p>
          <w:p>
            <w:pPr>
              <w:widowControl/>
              <w:spacing w:line="480" w:lineRule="exact"/>
              <w:rPr>
                <w:rFonts w:hint="eastAsia" w:eastAsia="宋体"/>
                <w:kern w:val="0"/>
                <w:lang w:val="en-US" w:eastAsia="zh-CN"/>
              </w:rPr>
            </w:pPr>
            <w:r>
              <w:rPr>
                <w:rFonts w:hint="eastAsia"/>
                <w:kern w:val="0"/>
              </w:rPr>
              <w:t>本次评价</w:t>
            </w:r>
            <w:r>
              <w:rPr>
                <w:rFonts w:hint="eastAsia"/>
                <w:kern w:val="0"/>
                <w:lang w:val="en-US" w:eastAsia="zh-CN"/>
              </w:rPr>
              <w:t>委托安徽世标检测技术有限公司于2024年1月16日</w:t>
            </w:r>
            <w:r>
              <w:rPr>
                <w:rFonts w:hint="eastAsia"/>
                <w:kern w:val="0"/>
              </w:rPr>
              <w:t>在</w:t>
            </w:r>
            <w:r>
              <w:rPr>
                <w:rFonts w:hint="eastAsia"/>
                <w:kern w:val="0"/>
                <w:lang w:val="en-US" w:eastAsia="zh-CN"/>
              </w:rPr>
              <w:t>原料仓库、生产车间、危废库周边(编号分别为T1、T2、T3)设置3个点位</w:t>
            </w:r>
            <w:r>
              <w:rPr>
                <w:rFonts w:hint="eastAsia"/>
                <w:kern w:val="0"/>
              </w:rPr>
              <w:t>，开展</w:t>
            </w:r>
            <w:r>
              <w:rPr>
                <w:rFonts w:hint="eastAsia"/>
                <w:kern w:val="0"/>
                <w:lang w:val="en-US" w:eastAsia="zh-CN"/>
              </w:rPr>
              <w:t>土壤</w:t>
            </w:r>
            <w:r>
              <w:rPr>
                <w:rFonts w:hint="eastAsia"/>
                <w:kern w:val="0"/>
              </w:rPr>
              <w:t>现状调查留作背景值</w:t>
            </w:r>
            <w:r>
              <w:rPr>
                <w:rFonts w:hint="eastAsia"/>
                <w:color w:val="000000" w:themeColor="text1"/>
                <w:lang w:val="en-US" w:eastAsia="zh-CN"/>
                <w14:textFill>
                  <w14:solidFill>
                    <w14:schemeClr w14:val="tx1"/>
                  </w14:solidFill>
                </w14:textFill>
              </w:rPr>
              <w:t>(附件6)</w:t>
            </w:r>
            <w:r>
              <w:rPr>
                <w:rFonts w:hint="eastAsia"/>
                <w:kern w:val="0"/>
              </w:rPr>
              <w:t>。</w:t>
            </w:r>
          </w:p>
          <w:p>
            <w:pPr>
              <w:pStyle w:val="21"/>
            </w:pPr>
            <w:r>
              <w:rPr>
                <w:rFonts w:hint="eastAsia"/>
              </w:rPr>
              <w:t>表3</w:t>
            </w:r>
            <w:r>
              <w:rPr>
                <w:rFonts w:hint="eastAsia"/>
                <w:lang w:val="en-US" w:eastAsia="zh-CN"/>
              </w:rPr>
              <w:t>-6</w:t>
            </w:r>
            <w:r>
              <w:t xml:space="preserve">  </w:t>
            </w:r>
            <w:r>
              <w:rPr>
                <w:rFonts w:hint="eastAsia"/>
                <w:lang w:val="en-US" w:eastAsia="zh-CN"/>
              </w:rPr>
              <w:t>土壤</w:t>
            </w:r>
            <w:r>
              <w:rPr>
                <w:rFonts w:hint="eastAsia"/>
              </w:rPr>
              <w:t>环境质量现状监测结果</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48"/>
              <w:gridCol w:w="1389"/>
              <w:gridCol w:w="828"/>
              <w:gridCol w:w="828"/>
              <w:gridCol w:w="828"/>
              <w:gridCol w:w="2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b/>
                      <w:bCs/>
                    </w:rPr>
                  </w:pPr>
                  <w:r>
                    <w:rPr>
                      <w:rFonts w:hint="eastAsia"/>
                      <w:b/>
                      <w:bCs/>
                      <w:lang w:val="en-US" w:eastAsia="zh-CN"/>
                    </w:rPr>
                    <w:t>污染物项目</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b/>
                      <w:bCs/>
                    </w:rPr>
                  </w:pPr>
                  <w:r>
                    <w:rPr>
                      <w:rFonts w:hint="eastAsia"/>
                      <w:b/>
                      <w:bCs/>
                      <w:lang w:val="en-US" w:eastAsia="zh-CN"/>
                    </w:rPr>
                    <w:t>单位</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b/>
                      <w:bCs/>
                    </w:rPr>
                  </w:pPr>
                  <w:r>
                    <w:rPr>
                      <w:rFonts w:hint="default"/>
                      <w:b/>
                      <w:bCs/>
                      <w:lang w:val="en-US" w:eastAsia="zh-CN"/>
                    </w:rPr>
                    <w:t>T1</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b/>
                      <w:bCs/>
                    </w:rPr>
                  </w:pPr>
                  <w:r>
                    <w:rPr>
                      <w:rFonts w:hint="default"/>
                      <w:b/>
                      <w:bCs/>
                      <w:lang w:val="en-US" w:eastAsia="zh-CN"/>
                    </w:rPr>
                    <w:t>T2</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b/>
                      <w:bCs/>
                    </w:rPr>
                  </w:pPr>
                  <w:r>
                    <w:rPr>
                      <w:rFonts w:hint="default"/>
                      <w:b/>
                      <w:bCs/>
                      <w:lang w:val="en-US" w:eastAsia="zh-CN"/>
                    </w:rPr>
                    <w:t>T3</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b/>
                      <w:bCs/>
                    </w:rPr>
                  </w:pPr>
                  <w:r>
                    <w:rPr>
                      <w:rFonts w:hint="eastAsia"/>
                      <w:b/>
                      <w:bCs/>
                      <w:lang w:val="en-US" w:eastAsia="zh-CN"/>
                    </w:rPr>
                    <w:t>第二类用地筛选值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pH</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8.57</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8.82</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8.23</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4.82</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5.29</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7.58</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镉</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0.09</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0.08</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0.39</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铜</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26</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25</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42</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铅</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16.8</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18</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19.4</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汞</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0.074</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0.123</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0.065</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镍</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66</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51</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120</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六价铬</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2.7</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氯乙烯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1,1-</w:t>
                  </w:r>
                  <w:r>
                    <w:rPr>
                      <w:rFonts w:hint="eastAsia"/>
                      <w:lang w:val="en-US" w:eastAsia="zh-CN"/>
                    </w:rPr>
                    <w:t>二氯乙烯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二氯甲烷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反</w:t>
                  </w:r>
                  <w:r>
                    <w:rPr>
                      <w:rFonts w:hint="default"/>
                      <w:lang w:val="en-US" w:eastAsia="zh-CN"/>
                    </w:rPr>
                    <w:t>-1,2-</w:t>
                  </w:r>
                  <w:r>
                    <w:rPr>
                      <w:rFonts w:hint="eastAsia"/>
                      <w:lang w:val="en-US" w:eastAsia="zh-CN"/>
                    </w:rPr>
                    <w:t>二氯乙烯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1,1,-</w:t>
                  </w:r>
                  <w:r>
                    <w:rPr>
                      <w:rFonts w:hint="eastAsia"/>
                      <w:lang w:val="en-US" w:eastAsia="zh-CN"/>
                    </w:rPr>
                    <w:t>二氯乙烷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顺</w:t>
                  </w:r>
                  <w:r>
                    <w:rPr>
                      <w:rFonts w:hint="default"/>
                      <w:lang w:val="en-US" w:eastAsia="zh-CN"/>
                    </w:rPr>
                    <w:t>-1,2-</w:t>
                  </w:r>
                  <w:r>
                    <w:rPr>
                      <w:rFonts w:hint="eastAsia"/>
                      <w:lang w:val="en-US" w:eastAsia="zh-CN"/>
                    </w:rPr>
                    <w:t>二氯乙烯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氯仿</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1,1,1-</w:t>
                  </w:r>
                  <w:r>
                    <w:rPr>
                      <w:rFonts w:hint="eastAsia"/>
                      <w:lang w:val="en-US" w:eastAsia="zh-CN"/>
                    </w:rPr>
                    <w:t>三氯乙烷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四氯化碳</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1,2-</w:t>
                  </w:r>
                  <w:r>
                    <w:rPr>
                      <w:rFonts w:hint="eastAsia"/>
                      <w:lang w:val="en-US" w:eastAsia="zh-CN"/>
                    </w:rPr>
                    <w:t>二氯乙烷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三氯乙烯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1,2-</w:t>
                  </w:r>
                  <w:r>
                    <w:rPr>
                      <w:rFonts w:hint="eastAsia"/>
                      <w:lang w:val="en-US" w:eastAsia="zh-CN"/>
                    </w:rPr>
                    <w:t>二氯丙烷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甲苯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1,1,2-</w:t>
                  </w:r>
                  <w:r>
                    <w:rPr>
                      <w:rFonts w:hint="eastAsia"/>
                      <w:lang w:val="en-US" w:eastAsia="zh-CN"/>
                    </w:rPr>
                    <w:t>三氯乙烷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四氯乙烯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氯苯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1,1,1,2-</w:t>
                  </w:r>
                  <w:r>
                    <w:rPr>
                      <w:rFonts w:hint="eastAsia"/>
                      <w:lang w:val="en-US" w:eastAsia="zh-CN"/>
                    </w:rPr>
                    <w:t>四氯乙烷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乙苯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间</w:t>
                  </w:r>
                  <w:r>
                    <w:rPr>
                      <w:rFonts w:hint="default"/>
                      <w:lang w:val="en-US" w:eastAsia="zh-CN"/>
                    </w:rPr>
                    <w:t>,</w:t>
                  </w:r>
                  <w:r>
                    <w:rPr>
                      <w:rFonts w:hint="eastAsia"/>
                      <w:lang w:val="en-US" w:eastAsia="zh-CN"/>
                    </w:rPr>
                    <w:t>对</w:t>
                  </w:r>
                  <w:r>
                    <w:rPr>
                      <w:rFonts w:hint="default"/>
                      <w:lang w:val="en-US" w:eastAsia="zh-CN"/>
                    </w:rPr>
                    <w:t>-</w:t>
                  </w:r>
                  <w:r>
                    <w:rPr>
                      <w:rFonts w:hint="eastAsia"/>
                      <w:lang w:val="en-US" w:eastAsia="zh-CN"/>
                    </w:rPr>
                    <w:t>二甲苯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邻</w:t>
                  </w:r>
                  <w:r>
                    <w:rPr>
                      <w:rFonts w:hint="default"/>
                      <w:lang w:val="en-US" w:eastAsia="zh-CN"/>
                    </w:rPr>
                    <w:t>-</w:t>
                  </w:r>
                  <w:r>
                    <w:rPr>
                      <w:rFonts w:hint="eastAsia"/>
                      <w:lang w:val="en-US" w:eastAsia="zh-CN"/>
                    </w:rPr>
                    <w:t>二甲苯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苯乙烯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1,1,2,2-</w:t>
                  </w:r>
                  <w:r>
                    <w:rPr>
                      <w:rFonts w:hint="eastAsia"/>
                      <w:lang w:val="en-US" w:eastAsia="zh-CN"/>
                    </w:rPr>
                    <w:t>四氯乙烷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1,2,3-</w:t>
                  </w:r>
                  <w:r>
                    <w:rPr>
                      <w:rFonts w:hint="eastAsia"/>
                      <w:lang w:val="en-US" w:eastAsia="zh-CN"/>
                    </w:rPr>
                    <w:t>三氯丙烷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1,4-</w:t>
                  </w:r>
                  <w:r>
                    <w:rPr>
                      <w:rFonts w:hint="eastAsia"/>
                      <w:lang w:val="en-US" w:eastAsia="zh-CN"/>
                    </w:rPr>
                    <w:t>二氯苯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1,2-</w:t>
                  </w:r>
                  <w:r>
                    <w:rPr>
                      <w:rFonts w:hint="eastAsia"/>
                      <w:lang w:val="en-US" w:eastAsia="zh-CN"/>
                    </w:rPr>
                    <w:t>二氯苯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氯甲烷</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苯胺</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2-</w:t>
                  </w:r>
                  <w:r>
                    <w:rPr>
                      <w:rFonts w:hint="eastAsia"/>
                      <w:lang w:val="en-US" w:eastAsia="zh-CN"/>
                    </w:rPr>
                    <w:t>氯苯酚</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硝基苯</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萘</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苯并</w:t>
                  </w:r>
                  <w:r>
                    <w:rPr>
                      <w:rFonts w:hint="default"/>
                      <w:lang w:val="en-US" w:eastAsia="zh-CN"/>
                    </w:rPr>
                    <w:t>(a)</w:t>
                  </w:r>
                  <w:r>
                    <w:rPr>
                      <w:rFonts w:hint="eastAsia"/>
                      <w:lang w:val="en-US" w:eastAsia="zh-CN"/>
                    </w:rPr>
                    <w:t>蒽</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䓛</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苯并(</w:t>
                  </w:r>
                  <w:r>
                    <w:rPr>
                      <w:rFonts w:hint="default"/>
                      <w:lang w:val="en-US" w:eastAsia="zh-CN"/>
                    </w:rPr>
                    <w:t>b</w:t>
                  </w:r>
                  <w:r>
                    <w:rPr>
                      <w:rFonts w:hint="eastAsia"/>
                      <w:lang w:val="en-US" w:eastAsia="zh-CN"/>
                    </w:rPr>
                    <w:t>)荧蒽</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苯并(</w:t>
                  </w:r>
                  <w:r>
                    <w:rPr>
                      <w:rFonts w:hint="default"/>
                      <w:lang w:val="en-US" w:eastAsia="zh-CN"/>
                    </w:rPr>
                    <w:t>k</w:t>
                  </w:r>
                  <w:r>
                    <w:rPr>
                      <w:rFonts w:hint="eastAsia"/>
                      <w:lang w:val="en-US" w:eastAsia="zh-CN"/>
                    </w:rPr>
                    <w:t>)荧蒽</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苯并</w:t>
                  </w:r>
                  <w:r>
                    <w:rPr>
                      <w:rFonts w:hint="default"/>
                      <w:lang w:val="en-US" w:eastAsia="zh-CN"/>
                    </w:rPr>
                    <w:t>(a)</w:t>
                  </w:r>
                  <w:r>
                    <w:rPr>
                      <w:rFonts w:hint="eastAsia"/>
                      <w:lang w:val="en-US" w:eastAsia="zh-CN"/>
                    </w:rPr>
                    <w:t>芘</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茚并(</w:t>
                  </w:r>
                  <w:r>
                    <w:rPr>
                      <w:rFonts w:hint="default"/>
                      <w:lang w:val="en-US" w:eastAsia="zh-CN"/>
                    </w:rPr>
                    <w:t>1,2,3-cd</w:t>
                  </w:r>
                  <w:r>
                    <w:rPr>
                      <w:rFonts w:hint="eastAsia"/>
                      <w:lang w:val="en-US" w:eastAsia="zh-CN"/>
                    </w:rPr>
                    <w:t>)芘</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二苯并</w:t>
                  </w:r>
                  <w:r>
                    <w:rPr>
                      <w:rFonts w:hint="default"/>
                      <w:lang w:val="en-US" w:eastAsia="zh-CN"/>
                    </w:rPr>
                    <w:t>(ah)</w:t>
                  </w:r>
                  <w:r>
                    <w:rPr>
                      <w:rFonts w:hint="eastAsia"/>
                      <w:lang w:val="en-US" w:eastAsia="zh-CN"/>
                    </w:rPr>
                    <w:t>蒽</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ND</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石油烃(</w:t>
                  </w:r>
                  <w:r>
                    <w:rPr>
                      <w:rFonts w:hint="default"/>
                      <w:lang w:val="en-US" w:eastAsia="zh-CN"/>
                    </w:rPr>
                    <w:t>C10-C40</w:t>
                  </w:r>
                  <w:r>
                    <w:rPr>
                      <w:rFonts w:hint="eastAsia"/>
                      <w:lang w:val="en-US" w:eastAsia="zh-CN"/>
                    </w:rPr>
                    <w:t>)</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mg/kg</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30</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95</w:t>
                  </w:r>
                </w:p>
              </w:tc>
              <w:tc>
                <w:tcPr>
                  <w:tcW w:w="481"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rPr>
                  </w:pPr>
                  <w:r>
                    <w:rPr>
                      <w:rFonts w:hint="default"/>
                      <w:lang w:val="en-US" w:eastAsia="zh-CN"/>
                    </w:rPr>
                    <w:t>29</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423"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二噁英</w:t>
                  </w:r>
                </w:p>
              </w:tc>
              <w:tc>
                <w:tcPr>
                  <w:tcW w:w="807"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ng TEQ/kg</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0.24</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0.17</w:t>
                  </w:r>
                </w:p>
              </w:tc>
              <w:tc>
                <w:tcPr>
                  <w:tcW w:w="481"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0.73</w:t>
                  </w:r>
                </w:p>
              </w:tc>
              <w:tc>
                <w:tcPr>
                  <w:tcW w:w="1324" w:type="pct"/>
                  <w:shd w:val="clear" w:color="auto" w:fill="auto"/>
                  <w:noWrap/>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rPr>
                  </w:pPr>
                  <w:r>
                    <w:rPr>
                      <w:rFonts w:hint="eastAsia"/>
                      <w:lang w:val="en-US" w:eastAsia="zh-CN"/>
                    </w:rPr>
                    <w:t>40</w:t>
                  </w:r>
                </w:p>
              </w:tc>
            </w:tr>
          </w:tbl>
          <w:p>
            <w:pPr>
              <w:widowControl/>
              <w:spacing w:line="480" w:lineRule="exact"/>
              <w:rPr>
                <w:kern w:val="0"/>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85" w:hRule="atLeast"/>
          <w:jc w:val="center"/>
        </w:trPr>
        <w:tc>
          <w:tcPr>
            <w:tcW w:w="246" w:type="pct"/>
          </w:tcPr>
          <w:p>
            <w:pPr>
              <w:widowControl/>
              <w:spacing w:line="480" w:lineRule="exact"/>
              <w:ind w:firstLine="0" w:firstLineChars="0"/>
              <w:jc w:val="center"/>
              <w:rPr>
                <w:b/>
                <w:bCs/>
                <w:kern w:val="0"/>
              </w:rPr>
            </w:pPr>
            <w:r>
              <w:rPr>
                <w:b/>
                <w:bCs/>
                <w:kern w:val="0"/>
              </w:rPr>
              <w:t>环境</w:t>
            </w:r>
          </w:p>
          <w:p>
            <w:pPr>
              <w:widowControl/>
              <w:spacing w:line="480" w:lineRule="exact"/>
              <w:ind w:firstLine="0" w:firstLineChars="0"/>
              <w:jc w:val="center"/>
              <w:rPr>
                <w:b/>
                <w:bCs/>
                <w:kern w:val="0"/>
              </w:rPr>
            </w:pPr>
            <w:r>
              <w:rPr>
                <w:b/>
                <w:bCs/>
                <w:kern w:val="0"/>
              </w:rPr>
              <w:t>保护</w:t>
            </w:r>
          </w:p>
          <w:p>
            <w:pPr>
              <w:widowControl/>
              <w:spacing w:line="480" w:lineRule="exact"/>
              <w:ind w:firstLine="0" w:firstLineChars="0"/>
              <w:jc w:val="center"/>
              <w:rPr>
                <w:b/>
                <w:bCs/>
                <w:kern w:val="0"/>
              </w:rPr>
            </w:pPr>
            <w:r>
              <w:rPr>
                <w:b/>
                <w:bCs/>
                <w:kern w:val="0"/>
              </w:rPr>
              <w:t>目标</w:t>
            </w:r>
          </w:p>
        </w:tc>
        <w:tc>
          <w:tcPr>
            <w:tcW w:w="4753" w:type="pct"/>
          </w:tcPr>
          <w:p>
            <w:pPr>
              <w:widowControl/>
              <w:spacing w:line="480" w:lineRule="exact"/>
              <w:ind w:left="0" w:leftChars="0" w:firstLine="0" w:firstLineChars="0"/>
              <w:rPr>
                <w:rFonts w:hint="eastAsia"/>
                <w:b/>
                <w:bCs/>
                <w:kern w:val="0"/>
                <w:lang w:val="en-US" w:eastAsia="zh-CN"/>
              </w:rPr>
            </w:pPr>
            <w:r>
              <w:rPr>
                <w:rFonts w:hint="eastAsia"/>
                <w:b/>
                <w:bCs/>
                <w:kern w:val="0"/>
                <w:lang w:val="en-US" w:eastAsia="zh-CN"/>
              </w:rPr>
              <w:t>1、大气环境</w:t>
            </w:r>
          </w:p>
          <w:p>
            <w:pPr>
              <w:widowControl/>
              <w:spacing w:line="480" w:lineRule="exact"/>
              <w:rPr>
                <w:rFonts w:hint="eastAsia"/>
                <w:color w:val="auto"/>
                <w:highlight w:val="none"/>
                <w:lang w:val="en-US" w:eastAsia="zh-CN"/>
              </w:rPr>
            </w:pPr>
            <w:r>
              <w:rPr>
                <w:rFonts w:hint="eastAsia"/>
                <w:color w:val="auto"/>
                <w:highlight w:val="none"/>
                <w:lang w:val="en-US" w:eastAsia="zh-CN"/>
              </w:rPr>
              <w:t>本次评价</w:t>
            </w:r>
            <w:r>
              <w:rPr>
                <w:rFonts w:hint="eastAsia"/>
              </w:rPr>
              <w:t>设置大气</w:t>
            </w:r>
            <w:r>
              <w:rPr>
                <w:rFonts w:hint="eastAsia"/>
                <w:lang w:val="en-US" w:eastAsia="zh-CN"/>
              </w:rPr>
              <w:t>环境影响</w:t>
            </w:r>
            <w:r>
              <w:rPr>
                <w:rFonts w:hint="eastAsia"/>
              </w:rPr>
              <w:t>专项评价</w:t>
            </w:r>
            <w:r>
              <w:rPr>
                <w:rFonts w:hint="eastAsia"/>
                <w:lang w:eastAsia="zh-CN"/>
              </w:rPr>
              <w:t>。</w:t>
            </w:r>
            <w:r>
              <w:rPr>
                <w:rFonts w:hint="eastAsia"/>
                <w:color w:val="auto"/>
                <w:highlight w:val="none"/>
                <w:lang w:val="en-US" w:eastAsia="zh-CN"/>
              </w:rPr>
              <w:t>根据</w:t>
            </w:r>
            <w:r>
              <w:rPr>
                <w:color w:val="auto"/>
                <w:highlight w:val="none"/>
                <w:lang w:val="zh-CN"/>
              </w:rPr>
              <w:t>《大气环境影响评价技术导则</w:t>
            </w:r>
            <w:r>
              <w:rPr>
                <w:rFonts w:hint="eastAsia"/>
                <w:color w:val="auto"/>
                <w:highlight w:val="none"/>
                <w:lang w:val="zh-CN"/>
              </w:rPr>
              <w:t xml:space="preserve"> </w:t>
            </w:r>
            <w:r>
              <w:rPr>
                <w:color w:val="auto"/>
                <w:highlight w:val="none"/>
                <w:lang w:val="zh-CN"/>
              </w:rPr>
              <w:t>大气环境》(HJ 2.2-2018)中推荐的AERSCREEN估算模式进行计算，</w:t>
            </w:r>
            <w:r>
              <w:rPr>
                <w:rFonts w:hint="eastAsia"/>
                <w:color w:val="auto"/>
                <w:highlight w:val="none"/>
              </w:rPr>
              <w:t>项目</w:t>
            </w:r>
            <w:r>
              <w:rPr>
                <w:rFonts w:hint="eastAsia"/>
                <w:color w:val="auto"/>
                <w:highlight w:val="none"/>
                <w:lang w:val="en-US" w:eastAsia="zh-CN"/>
              </w:rPr>
              <w:t>生产车间</w:t>
            </w:r>
            <w:r>
              <w:rPr>
                <w:rFonts w:hint="eastAsia"/>
                <w:color w:val="auto"/>
                <w:highlight w:val="none"/>
              </w:rPr>
              <w:t>无组织排放颗粒物</w:t>
            </w:r>
            <w:r>
              <w:rPr>
                <w:rFonts w:hint="eastAsia" w:ascii="宋体" w:hAnsi="宋体" w:cs="宋体"/>
                <w:color w:val="auto"/>
                <w:highlight w:val="none"/>
              </w:rPr>
              <w:t>最大浓度占标</w:t>
            </w:r>
            <w:r>
              <w:rPr>
                <w:color w:val="auto"/>
                <w:highlight w:val="none"/>
              </w:rPr>
              <w:t>率为</w:t>
            </w:r>
            <w:r>
              <w:rPr>
                <w:rFonts w:hint="eastAsia"/>
                <w:color w:val="auto"/>
                <w:highlight w:val="none"/>
                <w:lang w:val="en-US" w:eastAsia="zh-CN"/>
              </w:rPr>
              <w:t>7.07</w:t>
            </w:r>
            <w:r>
              <w:rPr>
                <w:color w:val="auto"/>
                <w:highlight w:val="none"/>
              </w:rPr>
              <w:t>%</w:t>
            </w:r>
            <w:r>
              <w:rPr>
                <w:rFonts w:hint="eastAsia"/>
                <w:color w:val="auto"/>
                <w:highlight w:val="none"/>
              </w:rPr>
              <w:t>，</w:t>
            </w:r>
            <w:r>
              <w:rPr>
                <w:rFonts w:hint="eastAsia"/>
                <w:color w:val="auto"/>
                <w:highlight w:val="none"/>
                <w:lang w:val="en-US" w:eastAsia="zh-CN"/>
              </w:rPr>
              <w:t>大气环境</w:t>
            </w:r>
            <w:r>
              <w:rPr>
                <w:rFonts w:hint="eastAsia"/>
                <w:color w:val="auto"/>
                <w:highlight w:val="none"/>
              </w:rPr>
              <w:t>评价等级为</w:t>
            </w:r>
            <w:r>
              <w:rPr>
                <w:rFonts w:hint="eastAsia"/>
                <w:color w:val="auto"/>
                <w:highlight w:val="none"/>
                <w:lang w:val="en-US" w:eastAsia="zh-CN"/>
              </w:rPr>
              <w:t>二</w:t>
            </w:r>
            <w:r>
              <w:rPr>
                <w:rFonts w:hint="eastAsia"/>
                <w:color w:val="auto"/>
                <w:highlight w:val="none"/>
              </w:rPr>
              <w:t>级</w:t>
            </w:r>
            <w:r>
              <w:rPr>
                <w:rFonts w:hint="eastAsia"/>
                <w:color w:val="auto"/>
                <w:highlight w:val="none"/>
                <w:lang w:eastAsia="zh-CN"/>
              </w:rPr>
              <w:t>，</w:t>
            </w:r>
            <w:r>
              <w:rPr>
                <w:rFonts w:hint="eastAsia"/>
                <w:color w:val="auto"/>
                <w:highlight w:val="none"/>
                <w:lang w:val="en-US" w:eastAsia="zh-CN"/>
              </w:rPr>
              <w:t>评价范围以项目厂址为中心，边长取5km的矩形区域。5km范围内，大气环境保护目标见表3-7和图3-3。</w:t>
            </w:r>
          </w:p>
          <w:p>
            <w:pPr>
              <w:pStyle w:val="21"/>
              <w:bidi w:val="0"/>
              <w:rPr>
                <w:rFonts w:hint="eastAsia"/>
                <w:lang w:val="en-US" w:eastAsia="zh-CN"/>
              </w:rPr>
            </w:pPr>
            <w:r>
              <w:rPr>
                <w:rFonts w:hint="eastAsia"/>
                <w:lang w:val="en-US" w:eastAsia="zh-CN"/>
              </w:rPr>
              <w:t>表3-7  主要大气环境保护目标</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6"/>
              <w:gridCol w:w="492"/>
              <w:gridCol w:w="1296"/>
              <w:gridCol w:w="1141"/>
              <w:gridCol w:w="1933"/>
              <w:gridCol w:w="187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trPr>
              <w:tc>
                <w:tcPr>
                  <w:tcW w:w="509" w:type="pct"/>
                  <w:tcBorders>
                    <w:tl2br w:val="nil"/>
                    <w:tr2bl w:val="nil"/>
                  </w:tcBorders>
                  <w:noWrap w:val="0"/>
                  <w:vAlign w:val="center"/>
                </w:tcPr>
                <w:p>
                  <w:pPr>
                    <w:pStyle w:val="19"/>
                    <w:bidi w:val="0"/>
                    <w:rPr>
                      <w:b/>
                      <w:bCs/>
                    </w:rPr>
                  </w:pPr>
                  <w:r>
                    <w:rPr>
                      <w:b/>
                      <w:bCs/>
                    </w:rPr>
                    <w:t>环境要素</w:t>
                  </w:r>
                </w:p>
              </w:tc>
              <w:tc>
                <w:tcPr>
                  <w:tcW w:w="1039" w:type="pct"/>
                  <w:gridSpan w:val="2"/>
                  <w:tcBorders>
                    <w:tl2br w:val="nil"/>
                    <w:tr2bl w:val="nil"/>
                  </w:tcBorders>
                  <w:noWrap w:val="0"/>
                  <w:vAlign w:val="center"/>
                </w:tcPr>
                <w:p>
                  <w:pPr>
                    <w:pStyle w:val="19"/>
                    <w:bidi w:val="0"/>
                    <w:rPr>
                      <w:b/>
                      <w:bCs/>
                    </w:rPr>
                  </w:pPr>
                  <w:r>
                    <w:rPr>
                      <w:b/>
                      <w:bCs/>
                    </w:rPr>
                    <w:t>保护目标</w:t>
                  </w:r>
                </w:p>
              </w:tc>
              <w:tc>
                <w:tcPr>
                  <w:tcW w:w="663" w:type="pct"/>
                  <w:tcBorders>
                    <w:tl2br w:val="nil"/>
                    <w:tr2bl w:val="nil"/>
                  </w:tcBorders>
                  <w:noWrap w:val="0"/>
                  <w:vAlign w:val="center"/>
                </w:tcPr>
                <w:p>
                  <w:pPr>
                    <w:pStyle w:val="19"/>
                    <w:bidi w:val="0"/>
                    <w:rPr>
                      <w:b/>
                      <w:bCs/>
                    </w:rPr>
                  </w:pPr>
                  <w:r>
                    <w:rPr>
                      <w:rFonts w:hint="eastAsia"/>
                      <w:b/>
                      <w:bCs/>
                      <w:lang w:val="en-US" w:eastAsia="zh-CN"/>
                    </w:rPr>
                    <w:t>相对</w:t>
                  </w:r>
                  <w:r>
                    <w:rPr>
                      <w:b/>
                      <w:bCs/>
                    </w:rPr>
                    <w:t>方位</w:t>
                  </w:r>
                </w:p>
              </w:tc>
              <w:tc>
                <w:tcPr>
                  <w:tcW w:w="1123" w:type="pct"/>
                  <w:tcBorders>
                    <w:tl2br w:val="nil"/>
                    <w:tr2bl w:val="nil"/>
                  </w:tcBorders>
                  <w:noWrap w:val="0"/>
                  <w:vAlign w:val="center"/>
                </w:tcPr>
                <w:p>
                  <w:pPr>
                    <w:pStyle w:val="19"/>
                    <w:bidi w:val="0"/>
                    <w:rPr>
                      <w:rFonts w:hint="eastAsia" w:eastAsia="宋体"/>
                      <w:b/>
                      <w:bCs/>
                      <w:lang w:eastAsia="zh-CN"/>
                    </w:rPr>
                  </w:pPr>
                  <w:r>
                    <w:rPr>
                      <w:b/>
                      <w:bCs/>
                    </w:rPr>
                    <w:t>与厂界</w:t>
                  </w:r>
                  <w:r>
                    <w:rPr>
                      <w:rFonts w:hint="eastAsia"/>
                      <w:b/>
                      <w:bCs/>
                      <w:lang w:val="en-US" w:eastAsia="zh-CN"/>
                    </w:rPr>
                    <w:t>最近</w:t>
                  </w:r>
                  <w:r>
                    <w:rPr>
                      <w:b/>
                      <w:bCs/>
                    </w:rPr>
                    <w:t>距离</w:t>
                  </w:r>
                  <w:r>
                    <w:rPr>
                      <w:rFonts w:hint="eastAsia"/>
                      <w:b/>
                      <w:bCs/>
                      <w:lang w:eastAsia="zh-CN"/>
                    </w:rPr>
                    <w:t>(</w:t>
                  </w:r>
                  <w:r>
                    <w:rPr>
                      <w:b/>
                      <w:bCs/>
                    </w:rPr>
                    <w:t>m</w:t>
                  </w:r>
                  <w:r>
                    <w:rPr>
                      <w:rFonts w:hint="eastAsia"/>
                      <w:b/>
                      <w:bCs/>
                      <w:lang w:eastAsia="zh-CN"/>
                    </w:rPr>
                    <w:t>)</w:t>
                  </w:r>
                </w:p>
              </w:tc>
              <w:tc>
                <w:tcPr>
                  <w:tcW w:w="1087" w:type="pct"/>
                  <w:tcBorders>
                    <w:tl2br w:val="nil"/>
                    <w:tr2bl w:val="nil"/>
                  </w:tcBorders>
                  <w:noWrap w:val="0"/>
                  <w:vAlign w:val="center"/>
                </w:tcPr>
                <w:p>
                  <w:pPr>
                    <w:pStyle w:val="19"/>
                    <w:bidi w:val="0"/>
                    <w:rPr>
                      <w:b/>
                      <w:bCs/>
                    </w:rPr>
                  </w:pPr>
                  <w:r>
                    <w:rPr>
                      <w:b/>
                      <w:bCs/>
                    </w:rPr>
                    <w:t>规模</w:t>
                  </w:r>
                </w:p>
              </w:tc>
              <w:tc>
                <w:tcPr>
                  <w:tcW w:w="576" w:type="pct"/>
                  <w:tcBorders>
                    <w:tl2br w:val="nil"/>
                    <w:tr2bl w:val="nil"/>
                  </w:tcBorders>
                  <w:noWrap w:val="0"/>
                  <w:vAlign w:val="center"/>
                </w:tcPr>
                <w:p>
                  <w:pPr>
                    <w:pStyle w:val="19"/>
                    <w:bidi w:val="0"/>
                    <w:rPr>
                      <w:b/>
                      <w:bCs/>
                    </w:rPr>
                  </w:pPr>
                  <w:r>
                    <w:rPr>
                      <w:b/>
                      <w:bCs/>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restart"/>
                  <w:tcBorders>
                    <w:tl2br w:val="nil"/>
                    <w:tr2bl w:val="nil"/>
                  </w:tcBorders>
                  <w:noWrap w:val="0"/>
                  <w:vAlign w:val="center"/>
                </w:tcPr>
                <w:p>
                  <w:pPr>
                    <w:pStyle w:val="19"/>
                    <w:bidi w:val="0"/>
                  </w:pPr>
                  <w:r>
                    <w:t>大气环境</w:t>
                  </w:r>
                </w:p>
              </w:tc>
              <w:tc>
                <w:tcPr>
                  <w:tcW w:w="286" w:type="pct"/>
                  <w:tcBorders>
                    <w:tl2br w:val="nil"/>
                    <w:tr2bl w:val="nil"/>
                  </w:tcBorders>
                  <w:noWrap w:val="0"/>
                  <w:vAlign w:val="center"/>
                </w:tcPr>
                <w:p>
                  <w:pPr>
                    <w:pStyle w:val="19"/>
                    <w:bidi w:val="0"/>
                  </w:pPr>
                  <w:r>
                    <w:rPr>
                      <w:rFonts w:hint="eastAsia"/>
                      <w:lang w:val="en-US" w:eastAsia="zh-CN"/>
                    </w:rPr>
                    <w:t>1</w:t>
                  </w:r>
                </w:p>
              </w:tc>
              <w:tc>
                <w:tcPr>
                  <w:tcW w:w="752" w:type="pct"/>
                  <w:tcBorders>
                    <w:tl2br w:val="nil"/>
                    <w:tr2bl w:val="nil"/>
                  </w:tcBorders>
                  <w:noWrap w:val="0"/>
                  <w:vAlign w:val="center"/>
                </w:tcPr>
                <w:p>
                  <w:pPr>
                    <w:pStyle w:val="19"/>
                    <w:bidi w:val="0"/>
                  </w:pPr>
                  <w:r>
                    <w:rPr>
                      <w:rFonts w:hint="eastAsia"/>
                      <w:lang w:val="en-US" w:eastAsia="zh-CN"/>
                    </w:rPr>
                    <w:t>万福园</w:t>
                  </w:r>
                </w:p>
              </w:tc>
              <w:tc>
                <w:tcPr>
                  <w:tcW w:w="663" w:type="pct"/>
                  <w:tcBorders>
                    <w:tl2br w:val="nil"/>
                    <w:tr2bl w:val="nil"/>
                  </w:tcBorders>
                  <w:noWrap w:val="0"/>
                  <w:vAlign w:val="center"/>
                </w:tcPr>
                <w:p>
                  <w:pPr>
                    <w:pStyle w:val="19"/>
                    <w:bidi w:val="0"/>
                    <w:rPr>
                      <w:rFonts w:hint="eastAsia" w:eastAsia="宋体"/>
                      <w:lang w:val="en-US" w:eastAsia="zh-CN"/>
                    </w:rPr>
                  </w:pPr>
                  <w:r>
                    <w:rPr>
                      <w:rFonts w:hint="eastAsia"/>
                      <w:lang w:val="en-US" w:eastAsia="zh-CN"/>
                    </w:rPr>
                    <w:t>NW</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380</w:t>
                  </w:r>
                </w:p>
              </w:tc>
              <w:tc>
                <w:tcPr>
                  <w:tcW w:w="1869" w:type="dxa"/>
                  <w:tcBorders>
                    <w:tl2br w:val="nil"/>
                    <w:tr2bl w:val="nil"/>
                  </w:tcBorders>
                  <w:noWrap w:val="0"/>
                  <w:vAlign w:val="center"/>
                </w:tcPr>
                <w:p>
                  <w:pPr>
                    <w:pStyle w:val="19"/>
                    <w:bidi w:val="0"/>
                  </w:pPr>
                  <w:r>
                    <w:t>约620户，1660人</w:t>
                  </w:r>
                </w:p>
              </w:tc>
              <w:tc>
                <w:tcPr>
                  <w:tcW w:w="576" w:type="pct"/>
                  <w:vMerge w:val="restart"/>
                  <w:tcBorders>
                    <w:tl2br w:val="nil"/>
                    <w:tr2bl w:val="nil"/>
                  </w:tcBorders>
                  <w:noWrap w:val="0"/>
                  <w:vAlign w:val="center"/>
                </w:tcPr>
                <w:p>
                  <w:pPr>
                    <w:pStyle w:val="19"/>
                    <w:bidi w:val="0"/>
                  </w:pPr>
                  <w:r>
                    <w:rPr>
                      <w:rFonts w:hint="eastAsia"/>
                      <w:color w:val="auto"/>
                      <w:highlight w:val="none"/>
                    </w:rPr>
                    <w:t>《环境空气质量标准》(GB 3095-2012)中二级标准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2</w:t>
                  </w:r>
                </w:p>
              </w:tc>
              <w:tc>
                <w:tcPr>
                  <w:tcW w:w="752" w:type="pct"/>
                  <w:tcBorders>
                    <w:tl2br w:val="nil"/>
                    <w:tr2bl w:val="nil"/>
                  </w:tcBorders>
                  <w:noWrap w:val="0"/>
                  <w:vAlign w:val="center"/>
                </w:tcPr>
                <w:p>
                  <w:pPr>
                    <w:pStyle w:val="19"/>
                    <w:bidi w:val="0"/>
                  </w:pPr>
                  <w:r>
                    <w:rPr>
                      <w:rFonts w:hint="eastAsia"/>
                      <w:lang w:val="en-US" w:eastAsia="zh-CN"/>
                    </w:rPr>
                    <w:t>苏岗村</w:t>
                  </w:r>
                </w:p>
              </w:tc>
              <w:tc>
                <w:tcPr>
                  <w:tcW w:w="663" w:type="pct"/>
                  <w:tcBorders>
                    <w:tl2br w:val="nil"/>
                    <w:tr2bl w:val="nil"/>
                  </w:tcBorders>
                  <w:noWrap w:val="0"/>
                  <w:vAlign w:val="center"/>
                </w:tcPr>
                <w:p>
                  <w:pPr>
                    <w:pStyle w:val="19"/>
                    <w:bidi w:val="0"/>
                    <w:rPr>
                      <w:rFonts w:hint="eastAsia" w:eastAsia="宋体"/>
                      <w:lang w:val="en-US" w:eastAsia="zh-CN"/>
                    </w:rPr>
                  </w:pPr>
                  <w:r>
                    <w:rPr>
                      <w:rFonts w:hint="eastAsia"/>
                      <w:lang w:val="en-US" w:eastAsia="zh-CN"/>
                    </w:rPr>
                    <w:t>E</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720</w:t>
                  </w:r>
                </w:p>
              </w:tc>
              <w:tc>
                <w:tcPr>
                  <w:tcW w:w="1869" w:type="dxa"/>
                  <w:tcBorders>
                    <w:tl2br w:val="nil"/>
                    <w:tr2bl w:val="nil"/>
                  </w:tcBorders>
                  <w:noWrap w:val="0"/>
                  <w:vAlign w:val="center"/>
                </w:tcPr>
                <w:p>
                  <w:pPr>
                    <w:pStyle w:val="19"/>
                    <w:bidi w:val="0"/>
                  </w:pPr>
                  <w:r>
                    <w:t>约160户，550人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3</w:t>
                  </w:r>
                </w:p>
              </w:tc>
              <w:tc>
                <w:tcPr>
                  <w:tcW w:w="752" w:type="pct"/>
                  <w:tcBorders>
                    <w:tl2br w:val="nil"/>
                    <w:tr2bl w:val="nil"/>
                  </w:tcBorders>
                  <w:noWrap w:val="0"/>
                  <w:vAlign w:val="center"/>
                </w:tcPr>
                <w:p>
                  <w:pPr>
                    <w:pStyle w:val="19"/>
                    <w:bidi w:val="0"/>
                  </w:pPr>
                  <w:r>
                    <w:rPr>
                      <w:rFonts w:hint="eastAsia"/>
                      <w:lang w:val="en-US" w:eastAsia="zh-CN"/>
                    </w:rPr>
                    <w:t>陈家岗</w:t>
                  </w:r>
                </w:p>
              </w:tc>
              <w:tc>
                <w:tcPr>
                  <w:tcW w:w="663" w:type="pct"/>
                  <w:tcBorders>
                    <w:tl2br w:val="nil"/>
                    <w:tr2bl w:val="nil"/>
                  </w:tcBorders>
                  <w:noWrap w:val="0"/>
                  <w:vAlign w:val="center"/>
                </w:tcPr>
                <w:p>
                  <w:pPr>
                    <w:pStyle w:val="19"/>
                    <w:bidi w:val="0"/>
                    <w:rPr>
                      <w:rFonts w:hint="eastAsia" w:eastAsia="宋体"/>
                      <w:lang w:val="en-US" w:eastAsia="zh-CN"/>
                    </w:rPr>
                  </w:pPr>
                  <w:r>
                    <w:rPr>
                      <w:rFonts w:hint="eastAsia"/>
                      <w:lang w:val="en-US" w:eastAsia="zh-CN"/>
                    </w:rPr>
                    <w:t>E</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1300</w:t>
                  </w:r>
                </w:p>
              </w:tc>
              <w:tc>
                <w:tcPr>
                  <w:tcW w:w="1869" w:type="dxa"/>
                  <w:tcBorders>
                    <w:tl2br w:val="nil"/>
                    <w:tr2bl w:val="nil"/>
                  </w:tcBorders>
                  <w:noWrap w:val="0"/>
                  <w:vAlign w:val="center"/>
                </w:tcPr>
                <w:p>
                  <w:pPr>
                    <w:pStyle w:val="19"/>
                    <w:bidi w:val="0"/>
                  </w:pPr>
                  <w:r>
                    <w:t>约200户，650人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4</w:t>
                  </w:r>
                </w:p>
              </w:tc>
              <w:tc>
                <w:tcPr>
                  <w:tcW w:w="752" w:type="pct"/>
                  <w:tcBorders>
                    <w:tl2br w:val="nil"/>
                    <w:tr2bl w:val="nil"/>
                  </w:tcBorders>
                  <w:noWrap w:val="0"/>
                  <w:vAlign w:val="center"/>
                </w:tcPr>
                <w:p>
                  <w:pPr>
                    <w:pStyle w:val="19"/>
                    <w:bidi w:val="0"/>
                  </w:pPr>
                  <w:r>
                    <w:rPr>
                      <w:rFonts w:hint="eastAsia"/>
                      <w:lang w:val="en-US" w:eastAsia="zh-CN"/>
                    </w:rPr>
                    <w:t>大岗村</w:t>
                  </w:r>
                </w:p>
              </w:tc>
              <w:tc>
                <w:tcPr>
                  <w:tcW w:w="663" w:type="pct"/>
                  <w:tcBorders>
                    <w:tl2br w:val="nil"/>
                    <w:tr2bl w:val="nil"/>
                  </w:tcBorders>
                  <w:noWrap w:val="0"/>
                  <w:vAlign w:val="center"/>
                </w:tcPr>
                <w:p>
                  <w:pPr>
                    <w:pStyle w:val="19"/>
                    <w:bidi w:val="0"/>
                    <w:rPr>
                      <w:rFonts w:hint="eastAsia" w:eastAsia="宋体"/>
                      <w:lang w:val="en-US" w:eastAsia="zh-CN"/>
                    </w:rPr>
                  </w:pPr>
                  <w:r>
                    <w:rPr>
                      <w:rFonts w:hint="eastAsia"/>
                      <w:lang w:val="en-US" w:eastAsia="zh-CN"/>
                    </w:rPr>
                    <w:t>E</w:t>
                  </w:r>
                </w:p>
              </w:tc>
              <w:tc>
                <w:tcPr>
                  <w:tcW w:w="1931" w:type="dxa"/>
                  <w:tcBorders>
                    <w:tl2br w:val="nil"/>
                    <w:tr2bl w:val="nil"/>
                  </w:tcBorders>
                  <w:noWrap w:val="0"/>
                  <w:vAlign w:val="center"/>
                </w:tcPr>
                <w:p>
                  <w:pPr>
                    <w:pStyle w:val="19"/>
                    <w:bidi w:val="0"/>
                  </w:pPr>
                  <w:r>
                    <w:rPr>
                      <w:rFonts w:hint="eastAsia"/>
                      <w:lang w:val="en-US" w:eastAsia="zh-CN"/>
                    </w:rPr>
                    <w:t>1850</w:t>
                  </w:r>
                </w:p>
              </w:tc>
              <w:tc>
                <w:tcPr>
                  <w:tcW w:w="1869" w:type="dxa"/>
                  <w:tcBorders>
                    <w:tl2br w:val="nil"/>
                    <w:tr2bl w:val="nil"/>
                  </w:tcBorders>
                  <w:noWrap w:val="0"/>
                  <w:vAlign w:val="center"/>
                </w:tcPr>
                <w:p>
                  <w:pPr>
                    <w:pStyle w:val="19"/>
                    <w:bidi w:val="0"/>
                  </w:pPr>
                  <w:r>
                    <w:t>约260户，860人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5</w:t>
                  </w:r>
                </w:p>
              </w:tc>
              <w:tc>
                <w:tcPr>
                  <w:tcW w:w="752" w:type="pct"/>
                  <w:tcBorders>
                    <w:tl2br w:val="nil"/>
                    <w:tr2bl w:val="nil"/>
                  </w:tcBorders>
                  <w:noWrap w:val="0"/>
                  <w:vAlign w:val="center"/>
                </w:tcPr>
                <w:p>
                  <w:pPr>
                    <w:pStyle w:val="19"/>
                    <w:bidi w:val="0"/>
                  </w:pPr>
                  <w:r>
                    <w:rPr>
                      <w:rFonts w:hint="eastAsia"/>
                      <w:lang w:val="en-US" w:eastAsia="zh-CN"/>
                    </w:rPr>
                    <w:t>裔湾新村</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SE</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2250</w:t>
                  </w:r>
                </w:p>
              </w:tc>
              <w:tc>
                <w:tcPr>
                  <w:tcW w:w="1869" w:type="dxa"/>
                  <w:tcBorders>
                    <w:tl2br w:val="nil"/>
                    <w:tr2bl w:val="nil"/>
                  </w:tcBorders>
                  <w:noWrap w:val="0"/>
                  <w:vAlign w:val="center"/>
                </w:tcPr>
                <w:p>
                  <w:pPr>
                    <w:pStyle w:val="19"/>
                    <w:bidi w:val="0"/>
                  </w:pPr>
                  <w:r>
                    <w:t>约430户，</w:t>
                  </w:r>
                  <w:r>
                    <w:rPr>
                      <w:rFonts w:hint="eastAsia"/>
                    </w:rPr>
                    <w:t>1</w:t>
                  </w:r>
                  <w:r>
                    <w:t>340人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6</w:t>
                  </w:r>
                </w:p>
              </w:tc>
              <w:tc>
                <w:tcPr>
                  <w:tcW w:w="752" w:type="pct"/>
                  <w:tcBorders>
                    <w:tl2br w:val="nil"/>
                    <w:tr2bl w:val="nil"/>
                  </w:tcBorders>
                  <w:noWrap w:val="0"/>
                  <w:vAlign w:val="center"/>
                </w:tcPr>
                <w:p>
                  <w:pPr>
                    <w:pStyle w:val="19"/>
                    <w:bidi w:val="0"/>
                  </w:pPr>
                  <w:r>
                    <w:rPr>
                      <w:rFonts w:hint="eastAsia"/>
                      <w:lang w:val="en-US" w:eastAsia="zh-CN"/>
                    </w:rPr>
                    <w:t>淮丰村</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SSE</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1600</w:t>
                  </w:r>
                </w:p>
              </w:tc>
              <w:tc>
                <w:tcPr>
                  <w:tcW w:w="1087" w:type="pct"/>
                  <w:tcBorders>
                    <w:tl2br w:val="nil"/>
                    <w:tr2bl w:val="nil"/>
                  </w:tcBorders>
                  <w:noWrap w:val="0"/>
                  <w:vAlign w:val="center"/>
                </w:tcPr>
                <w:p>
                  <w:pPr>
                    <w:pStyle w:val="19"/>
                    <w:bidi w:val="0"/>
                  </w:pPr>
                  <w:r>
                    <w:rPr>
                      <w:rFonts w:ascii="Times New Roman" w:hAnsi="Times New Roman" w:cs="Times New Roman"/>
                    </w:rPr>
                    <w:t>约220户，900人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7</w:t>
                  </w:r>
                </w:p>
              </w:tc>
              <w:tc>
                <w:tcPr>
                  <w:tcW w:w="752" w:type="pct"/>
                  <w:tcBorders>
                    <w:tl2br w:val="nil"/>
                    <w:tr2bl w:val="nil"/>
                  </w:tcBorders>
                  <w:noWrap w:val="0"/>
                  <w:vAlign w:val="center"/>
                </w:tcPr>
                <w:p>
                  <w:pPr>
                    <w:pStyle w:val="19"/>
                    <w:bidi w:val="0"/>
                  </w:pPr>
                  <w:r>
                    <w:rPr>
                      <w:rFonts w:hint="eastAsia"/>
                      <w:lang w:val="en-US" w:eastAsia="zh-CN"/>
                    </w:rPr>
                    <w:t>邵圩小区</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SSW</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1550</w:t>
                  </w:r>
                </w:p>
              </w:tc>
              <w:tc>
                <w:tcPr>
                  <w:tcW w:w="1087" w:type="pct"/>
                  <w:tcBorders>
                    <w:tl2br w:val="nil"/>
                    <w:tr2bl w:val="nil"/>
                  </w:tcBorders>
                  <w:noWrap w:val="0"/>
                  <w:vAlign w:val="center"/>
                </w:tcPr>
                <w:p>
                  <w:pPr>
                    <w:pStyle w:val="19"/>
                    <w:bidi w:val="0"/>
                  </w:pPr>
                  <w:r>
                    <w:rPr>
                      <w:rFonts w:ascii="Times New Roman" w:hAnsi="Times New Roman" w:cs="Times New Roman"/>
                    </w:rPr>
                    <w:t>约550户，1510人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8</w:t>
                  </w:r>
                </w:p>
              </w:tc>
              <w:tc>
                <w:tcPr>
                  <w:tcW w:w="752" w:type="pct"/>
                  <w:tcBorders>
                    <w:tl2br w:val="nil"/>
                    <w:tr2bl w:val="nil"/>
                  </w:tcBorders>
                  <w:noWrap w:val="0"/>
                  <w:vAlign w:val="center"/>
                </w:tcPr>
                <w:p>
                  <w:pPr>
                    <w:pStyle w:val="19"/>
                    <w:bidi w:val="0"/>
                  </w:pPr>
                  <w:r>
                    <w:rPr>
                      <w:rFonts w:hint="eastAsia"/>
                      <w:lang w:val="en-US" w:eastAsia="zh-CN"/>
                    </w:rPr>
                    <w:t>邵圩村</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SW</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1950</w:t>
                  </w:r>
                </w:p>
              </w:tc>
              <w:tc>
                <w:tcPr>
                  <w:tcW w:w="1087" w:type="pct"/>
                  <w:tcBorders>
                    <w:tl2br w:val="nil"/>
                    <w:tr2bl w:val="nil"/>
                  </w:tcBorders>
                  <w:noWrap w:val="0"/>
                  <w:vAlign w:val="center"/>
                </w:tcPr>
                <w:p>
                  <w:pPr>
                    <w:pStyle w:val="19"/>
                    <w:bidi w:val="0"/>
                  </w:pPr>
                  <w:r>
                    <w:rPr>
                      <w:rFonts w:ascii="Times New Roman" w:hAnsi="Times New Roman" w:cs="Times New Roman"/>
                    </w:rPr>
                    <w:t>约360户，1210人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9</w:t>
                  </w:r>
                </w:p>
              </w:tc>
              <w:tc>
                <w:tcPr>
                  <w:tcW w:w="752" w:type="pct"/>
                  <w:tcBorders>
                    <w:tl2br w:val="nil"/>
                    <w:tr2bl w:val="nil"/>
                  </w:tcBorders>
                  <w:noWrap w:val="0"/>
                  <w:vAlign w:val="center"/>
                </w:tcPr>
                <w:p>
                  <w:pPr>
                    <w:pStyle w:val="19"/>
                    <w:bidi w:val="0"/>
                  </w:pPr>
                  <w:r>
                    <w:rPr>
                      <w:rFonts w:hint="eastAsia"/>
                      <w:lang w:val="en-US" w:eastAsia="zh-CN"/>
                    </w:rPr>
                    <w:t>刘郢村</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NW</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2350</w:t>
                  </w:r>
                </w:p>
              </w:tc>
              <w:tc>
                <w:tcPr>
                  <w:tcW w:w="1087" w:type="pct"/>
                  <w:tcBorders>
                    <w:tl2br w:val="nil"/>
                    <w:tr2bl w:val="nil"/>
                  </w:tcBorders>
                  <w:noWrap w:val="0"/>
                  <w:vAlign w:val="center"/>
                </w:tcPr>
                <w:p>
                  <w:pPr>
                    <w:pStyle w:val="19"/>
                    <w:bidi w:val="0"/>
                  </w:pPr>
                  <w:r>
                    <w:rPr>
                      <w:rFonts w:ascii="Times New Roman" w:hAnsi="Times New Roman" w:cs="Times New Roman"/>
                    </w:rPr>
                    <w:t>约150户，710人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10</w:t>
                  </w:r>
                </w:p>
              </w:tc>
              <w:tc>
                <w:tcPr>
                  <w:tcW w:w="752" w:type="pct"/>
                  <w:tcBorders>
                    <w:tl2br w:val="nil"/>
                    <w:tr2bl w:val="nil"/>
                  </w:tcBorders>
                  <w:noWrap w:val="0"/>
                  <w:vAlign w:val="center"/>
                </w:tcPr>
                <w:p>
                  <w:pPr>
                    <w:pStyle w:val="19"/>
                    <w:bidi w:val="0"/>
                  </w:pPr>
                  <w:r>
                    <w:rPr>
                      <w:rFonts w:hint="eastAsia"/>
                      <w:lang w:val="en-US" w:eastAsia="zh-CN"/>
                    </w:rPr>
                    <w:t>刘台子</w:t>
                  </w:r>
                </w:p>
              </w:tc>
              <w:tc>
                <w:tcPr>
                  <w:tcW w:w="663" w:type="pct"/>
                  <w:tcBorders>
                    <w:tl2br w:val="nil"/>
                    <w:tr2bl w:val="nil"/>
                  </w:tcBorders>
                  <w:noWrap w:val="0"/>
                  <w:vAlign w:val="center"/>
                </w:tcPr>
                <w:p>
                  <w:pPr>
                    <w:pStyle w:val="19"/>
                    <w:bidi w:val="0"/>
                    <w:rPr>
                      <w:rFonts w:hint="eastAsia" w:eastAsia="宋体"/>
                      <w:lang w:val="en-US" w:eastAsia="zh-CN"/>
                    </w:rPr>
                  </w:pPr>
                  <w:r>
                    <w:rPr>
                      <w:rFonts w:hint="eastAsia"/>
                      <w:lang w:val="en-US" w:eastAsia="zh-CN"/>
                    </w:rPr>
                    <w:t>N</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1700</w:t>
                  </w:r>
                </w:p>
              </w:tc>
              <w:tc>
                <w:tcPr>
                  <w:tcW w:w="1087" w:type="pct"/>
                  <w:tcBorders>
                    <w:tl2br w:val="nil"/>
                    <w:tr2bl w:val="nil"/>
                  </w:tcBorders>
                  <w:noWrap w:val="0"/>
                  <w:vAlign w:val="center"/>
                </w:tcPr>
                <w:p>
                  <w:pPr>
                    <w:pStyle w:val="19"/>
                    <w:bidi w:val="0"/>
                  </w:pPr>
                  <w:r>
                    <w:rPr>
                      <w:rFonts w:ascii="Times New Roman" w:hAnsi="Times New Roman" w:cs="Times New Roman"/>
                    </w:rPr>
                    <w:t>约5户，12人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11</w:t>
                  </w:r>
                </w:p>
              </w:tc>
              <w:tc>
                <w:tcPr>
                  <w:tcW w:w="752" w:type="pct"/>
                  <w:tcBorders>
                    <w:tl2br w:val="nil"/>
                    <w:tr2bl w:val="nil"/>
                  </w:tcBorders>
                  <w:noWrap w:val="0"/>
                  <w:vAlign w:val="center"/>
                </w:tcPr>
                <w:p>
                  <w:pPr>
                    <w:pStyle w:val="19"/>
                    <w:bidi w:val="0"/>
                  </w:pPr>
                  <w:r>
                    <w:rPr>
                      <w:rFonts w:hint="eastAsia"/>
                      <w:lang w:val="en-US" w:eastAsia="zh-CN"/>
                    </w:rPr>
                    <w:t>前刘</w:t>
                  </w:r>
                </w:p>
              </w:tc>
              <w:tc>
                <w:tcPr>
                  <w:tcW w:w="663" w:type="pct"/>
                  <w:tcBorders>
                    <w:tl2br w:val="nil"/>
                    <w:tr2bl w:val="nil"/>
                  </w:tcBorders>
                  <w:noWrap w:val="0"/>
                  <w:vAlign w:val="top"/>
                </w:tcPr>
                <w:p>
                  <w:pPr>
                    <w:pStyle w:val="19"/>
                    <w:bidi w:val="0"/>
                    <w:rPr>
                      <w:rFonts w:hint="eastAsia" w:eastAsia="宋体"/>
                      <w:lang w:val="en-US" w:eastAsia="zh-CN"/>
                    </w:rPr>
                  </w:pPr>
                  <w:r>
                    <w:rPr>
                      <w:rFonts w:hint="eastAsia"/>
                      <w:lang w:val="en-US" w:eastAsia="zh-CN"/>
                    </w:rPr>
                    <w:t>N</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2200</w:t>
                  </w:r>
                </w:p>
              </w:tc>
              <w:tc>
                <w:tcPr>
                  <w:tcW w:w="1087" w:type="pct"/>
                  <w:tcBorders>
                    <w:tl2br w:val="nil"/>
                    <w:tr2bl w:val="nil"/>
                  </w:tcBorders>
                  <w:noWrap w:val="0"/>
                  <w:vAlign w:val="center"/>
                </w:tcPr>
                <w:p>
                  <w:pPr>
                    <w:pStyle w:val="19"/>
                    <w:bidi w:val="0"/>
                  </w:pPr>
                  <w:r>
                    <w:rPr>
                      <w:rFonts w:ascii="Times New Roman" w:hAnsi="Times New Roman" w:cs="Times New Roman"/>
                    </w:rPr>
                    <w:t>约25户，83人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12</w:t>
                  </w:r>
                </w:p>
              </w:tc>
              <w:tc>
                <w:tcPr>
                  <w:tcW w:w="752" w:type="pct"/>
                  <w:tcBorders>
                    <w:tl2br w:val="nil"/>
                    <w:tr2bl w:val="nil"/>
                  </w:tcBorders>
                  <w:noWrap w:val="0"/>
                  <w:vAlign w:val="center"/>
                </w:tcPr>
                <w:p>
                  <w:pPr>
                    <w:pStyle w:val="19"/>
                    <w:bidi w:val="0"/>
                  </w:pPr>
                  <w:r>
                    <w:rPr>
                      <w:rFonts w:hint="eastAsia"/>
                      <w:lang w:val="en-US" w:eastAsia="zh-CN"/>
                    </w:rPr>
                    <w:t>崔台子</w:t>
                  </w:r>
                </w:p>
              </w:tc>
              <w:tc>
                <w:tcPr>
                  <w:tcW w:w="663" w:type="pct"/>
                  <w:tcBorders>
                    <w:tl2br w:val="nil"/>
                    <w:tr2bl w:val="nil"/>
                  </w:tcBorders>
                  <w:noWrap w:val="0"/>
                  <w:vAlign w:val="top"/>
                </w:tcPr>
                <w:p>
                  <w:pPr>
                    <w:pStyle w:val="19"/>
                    <w:bidi w:val="0"/>
                    <w:rPr>
                      <w:rFonts w:hint="default" w:eastAsia="宋体"/>
                      <w:lang w:val="en-US" w:eastAsia="zh-CN"/>
                    </w:rPr>
                  </w:pPr>
                  <w:r>
                    <w:rPr>
                      <w:rFonts w:hint="eastAsia"/>
                      <w:lang w:val="en-US" w:eastAsia="zh-CN"/>
                    </w:rPr>
                    <w:t>NNW</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1950</w:t>
                  </w:r>
                </w:p>
              </w:tc>
              <w:tc>
                <w:tcPr>
                  <w:tcW w:w="1087" w:type="pct"/>
                  <w:tcBorders>
                    <w:tl2br w:val="nil"/>
                    <w:tr2bl w:val="nil"/>
                  </w:tcBorders>
                  <w:noWrap w:val="0"/>
                  <w:vAlign w:val="center"/>
                </w:tcPr>
                <w:p>
                  <w:pPr>
                    <w:pStyle w:val="19"/>
                    <w:bidi w:val="0"/>
                  </w:pPr>
                  <w:r>
                    <w:rPr>
                      <w:rFonts w:ascii="Times New Roman" w:hAnsi="Times New Roman" w:cs="Times New Roman"/>
                    </w:rPr>
                    <w:t>约21户，68人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13</w:t>
                  </w:r>
                </w:p>
              </w:tc>
              <w:tc>
                <w:tcPr>
                  <w:tcW w:w="752" w:type="pct"/>
                  <w:tcBorders>
                    <w:tl2br w:val="nil"/>
                    <w:tr2bl w:val="nil"/>
                  </w:tcBorders>
                  <w:noWrap w:val="0"/>
                  <w:vAlign w:val="center"/>
                </w:tcPr>
                <w:p>
                  <w:pPr>
                    <w:pStyle w:val="19"/>
                    <w:bidi w:val="0"/>
                  </w:pPr>
                  <w:r>
                    <w:rPr>
                      <w:rFonts w:hint="eastAsia"/>
                      <w:lang w:val="en-US" w:eastAsia="zh-CN"/>
                    </w:rPr>
                    <w:t>童台子</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NNW</w:t>
                  </w:r>
                </w:p>
              </w:tc>
              <w:tc>
                <w:tcPr>
                  <w:tcW w:w="1931" w:type="dxa"/>
                  <w:tcBorders>
                    <w:tl2br w:val="nil"/>
                    <w:tr2bl w:val="nil"/>
                  </w:tcBorders>
                  <w:noWrap w:val="0"/>
                  <w:vAlign w:val="center"/>
                </w:tcPr>
                <w:p>
                  <w:pPr>
                    <w:pStyle w:val="19"/>
                    <w:bidi w:val="0"/>
                    <w:rPr>
                      <w:rFonts w:hint="default"/>
                      <w:lang w:val="en-US"/>
                    </w:rPr>
                  </w:pPr>
                  <w:r>
                    <w:rPr>
                      <w:rFonts w:hint="eastAsia"/>
                      <w:lang w:val="en-US" w:eastAsia="zh-CN"/>
                    </w:rPr>
                    <w:t>2150</w:t>
                  </w:r>
                </w:p>
              </w:tc>
              <w:tc>
                <w:tcPr>
                  <w:tcW w:w="1087" w:type="pct"/>
                  <w:tcBorders>
                    <w:tl2br w:val="nil"/>
                    <w:tr2bl w:val="nil"/>
                  </w:tcBorders>
                  <w:noWrap w:val="0"/>
                  <w:vAlign w:val="center"/>
                </w:tcPr>
                <w:p>
                  <w:pPr>
                    <w:pStyle w:val="19"/>
                    <w:bidi w:val="0"/>
                  </w:pPr>
                  <w:r>
                    <w:rPr>
                      <w:rFonts w:ascii="Times New Roman" w:hAnsi="Times New Roman" w:cs="Times New Roman"/>
                    </w:rPr>
                    <w:t>约45户，175人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14</w:t>
                  </w:r>
                </w:p>
              </w:tc>
              <w:tc>
                <w:tcPr>
                  <w:tcW w:w="752" w:type="pct"/>
                  <w:tcBorders>
                    <w:tl2br w:val="nil"/>
                    <w:tr2bl w:val="nil"/>
                  </w:tcBorders>
                  <w:noWrap w:val="0"/>
                  <w:vAlign w:val="center"/>
                </w:tcPr>
                <w:p>
                  <w:pPr>
                    <w:pStyle w:val="19"/>
                    <w:bidi w:val="0"/>
                  </w:pPr>
                  <w:r>
                    <w:rPr>
                      <w:rFonts w:hint="eastAsia"/>
                      <w:lang w:val="en-US" w:eastAsia="zh-CN"/>
                    </w:rPr>
                    <w:t>葛台子</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NW</w:t>
                  </w:r>
                </w:p>
              </w:tc>
              <w:tc>
                <w:tcPr>
                  <w:tcW w:w="1931" w:type="dxa"/>
                  <w:tcBorders>
                    <w:tl2br w:val="nil"/>
                    <w:tr2bl w:val="nil"/>
                  </w:tcBorders>
                  <w:noWrap w:val="0"/>
                  <w:vAlign w:val="center"/>
                </w:tcPr>
                <w:p>
                  <w:pPr>
                    <w:pStyle w:val="19"/>
                    <w:bidi w:val="0"/>
                  </w:pPr>
                  <w:r>
                    <w:rPr>
                      <w:rFonts w:hint="eastAsia"/>
                      <w:lang w:val="en-US" w:eastAsia="zh-CN"/>
                    </w:rPr>
                    <w:t>1990</w:t>
                  </w:r>
                </w:p>
              </w:tc>
              <w:tc>
                <w:tcPr>
                  <w:tcW w:w="1869" w:type="dxa"/>
                  <w:tcBorders>
                    <w:tl2br w:val="nil"/>
                    <w:tr2bl w:val="nil"/>
                  </w:tcBorders>
                  <w:noWrap w:val="0"/>
                  <w:vAlign w:val="center"/>
                </w:tcPr>
                <w:p>
                  <w:pPr>
                    <w:pStyle w:val="19"/>
                    <w:bidi w:val="0"/>
                  </w:pPr>
                  <w:r>
                    <w:t>约8户，22人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15</w:t>
                  </w:r>
                </w:p>
              </w:tc>
              <w:tc>
                <w:tcPr>
                  <w:tcW w:w="752" w:type="pct"/>
                  <w:tcBorders>
                    <w:tl2br w:val="nil"/>
                    <w:tr2bl w:val="nil"/>
                  </w:tcBorders>
                  <w:noWrap w:val="0"/>
                  <w:vAlign w:val="center"/>
                </w:tcPr>
                <w:p>
                  <w:pPr>
                    <w:pStyle w:val="19"/>
                    <w:bidi w:val="0"/>
                  </w:pPr>
                  <w:r>
                    <w:rPr>
                      <w:rFonts w:hint="eastAsia"/>
                      <w:lang w:val="en-US" w:eastAsia="zh-CN"/>
                    </w:rPr>
                    <w:t>苗台村</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NW</w:t>
                  </w:r>
                </w:p>
              </w:tc>
              <w:tc>
                <w:tcPr>
                  <w:tcW w:w="1931" w:type="dxa"/>
                  <w:tcBorders>
                    <w:tl2br w:val="nil"/>
                    <w:tr2bl w:val="nil"/>
                  </w:tcBorders>
                  <w:noWrap w:val="0"/>
                  <w:vAlign w:val="center"/>
                </w:tcPr>
                <w:p>
                  <w:pPr>
                    <w:pStyle w:val="19"/>
                    <w:bidi w:val="0"/>
                  </w:pPr>
                  <w:r>
                    <w:rPr>
                      <w:rFonts w:hint="eastAsia"/>
                      <w:lang w:val="en-US" w:eastAsia="zh-CN"/>
                    </w:rPr>
                    <w:t>2280</w:t>
                  </w:r>
                </w:p>
              </w:tc>
              <w:tc>
                <w:tcPr>
                  <w:tcW w:w="1869" w:type="dxa"/>
                  <w:tcBorders>
                    <w:tl2br w:val="nil"/>
                    <w:tr2bl w:val="nil"/>
                  </w:tcBorders>
                  <w:noWrap w:val="0"/>
                  <w:vAlign w:val="center"/>
                </w:tcPr>
                <w:p>
                  <w:pPr>
                    <w:pStyle w:val="19"/>
                    <w:bidi w:val="0"/>
                  </w:pPr>
                  <w:r>
                    <w:t>约45户，175人</w:t>
                  </w:r>
                </w:p>
              </w:tc>
              <w:tc>
                <w:tcPr>
                  <w:tcW w:w="576" w:type="pct"/>
                  <w:vMerge w:val="continue"/>
                  <w:tcBorders>
                    <w:tl2br w:val="nil"/>
                    <w:tr2bl w:val="nil"/>
                  </w:tcBorders>
                  <w:noWrap w:val="0"/>
                  <w:vAlign w:val="center"/>
                </w:tcPr>
                <w:p>
                  <w:pPr>
                    <w:pStyle w:val="19"/>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509" w:type="pct"/>
                  <w:vMerge w:val="continue"/>
                  <w:tcBorders>
                    <w:tl2br w:val="nil"/>
                    <w:tr2bl w:val="nil"/>
                  </w:tcBorders>
                  <w:noWrap w:val="0"/>
                  <w:vAlign w:val="center"/>
                </w:tcPr>
                <w:p>
                  <w:pPr>
                    <w:pStyle w:val="19"/>
                    <w:bidi w:val="0"/>
                  </w:pPr>
                </w:p>
              </w:tc>
              <w:tc>
                <w:tcPr>
                  <w:tcW w:w="286" w:type="pct"/>
                  <w:tcBorders>
                    <w:tl2br w:val="nil"/>
                    <w:tr2bl w:val="nil"/>
                  </w:tcBorders>
                  <w:noWrap w:val="0"/>
                  <w:vAlign w:val="center"/>
                </w:tcPr>
                <w:p>
                  <w:pPr>
                    <w:pStyle w:val="19"/>
                    <w:bidi w:val="0"/>
                  </w:pPr>
                  <w:r>
                    <w:rPr>
                      <w:rFonts w:hint="eastAsia"/>
                      <w:lang w:val="en-US" w:eastAsia="zh-CN"/>
                    </w:rPr>
                    <w:t>16</w:t>
                  </w:r>
                </w:p>
              </w:tc>
              <w:tc>
                <w:tcPr>
                  <w:tcW w:w="752" w:type="pct"/>
                  <w:tcBorders>
                    <w:tl2br w:val="nil"/>
                    <w:tr2bl w:val="nil"/>
                  </w:tcBorders>
                  <w:noWrap w:val="0"/>
                  <w:vAlign w:val="center"/>
                </w:tcPr>
                <w:p>
                  <w:pPr>
                    <w:pStyle w:val="19"/>
                    <w:bidi w:val="0"/>
                  </w:pPr>
                  <w:r>
                    <w:rPr>
                      <w:rFonts w:hint="eastAsia"/>
                      <w:lang w:val="en-US" w:eastAsia="zh-CN"/>
                    </w:rPr>
                    <w:t>苗台子</w:t>
                  </w:r>
                </w:p>
              </w:tc>
              <w:tc>
                <w:tcPr>
                  <w:tcW w:w="663" w:type="pct"/>
                  <w:tcBorders>
                    <w:tl2br w:val="nil"/>
                    <w:tr2bl w:val="nil"/>
                  </w:tcBorders>
                  <w:noWrap w:val="0"/>
                  <w:vAlign w:val="center"/>
                </w:tcPr>
                <w:p>
                  <w:pPr>
                    <w:pStyle w:val="19"/>
                    <w:bidi w:val="0"/>
                    <w:rPr>
                      <w:rFonts w:hint="default" w:eastAsia="宋体"/>
                      <w:lang w:val="en-US" w:eastAsia="zh-CN"/>
                    </w:rPr>
                  </w:pPr>
                  <w:r>
                    <w:rPr>
                      <w:rFonts w:hint="eastAsia"/>
                      <w:lang w:val="en-US" w:eastAsia="zh-CN"/>
                    </w:rPr>
                    <w:t>NW</w:t>
                  </w:r>
                </w:p>
              </w:tc>
              <w:tc>
                <w:tcPr>
                  <w:tcW w:w="1931" w:type="dxa"/>
                  <w:tcBorders>
                    <w:tl2br w:val="nil"/>
                    <w:tr2bl w:val="nil"/>
                  </w:tcBorders>
                  <w:noWrap w:val="0"/>
                  <w:vAlign w:val="center"/>
                </w:tcPr>
                <w:p>
                  <w:pPr>
                    <w:pStyle w:val="19"/>
                    <w:bidi w:val="0"/>
                  </w:pPr>
                  <w:r>
                    <w:rPr>
                      <w:rFonts w:hint="eastAsia"/>
                      <w:lang w:val="en-US" w:eastAsia="zh-CN"/>
                    </w:rPr>
                    <w:t>1800</w:t>
                  </w:r>
                </w:p>
              </w:tc>
              <w:tc>
                <w:tcPr>
                  <w:tcW w:w="1869" w:type="dxa"/>
                  <w:tcBorders>
                    <w:tl2br w:val="nil"/>
                    <w:tr2bl w:val="nil"/>
                  </w:tcBorders>
                  <w:noWrap w:val="0"/>
                  <w:vAlign w:val="center"/>
                </w:tcPr>
                <w:p>
                  <w:pPr>
                    <w:pStyle w:val="19"/>
                    <w:bidi w:val="0"/>
                  </w:pPr>
                  <w:r>
                    <w:t>约55户，160人</w:t>
                  </w:r>
                </w:p>
              </w:tc>
              <w:tc>
                <w:tcPr>
                  <w:tcW w:w="576" w:type="pct"/>
                  <w:vMerge w:val="continue"/>
                  <w:tcBorders>
                    <w:tl2br w:val="nil"/>
                    <w:tr2bl w:val="nil"/>
                  </w:tcBorders>
                  <w:noWrap w:val="0"/>
                  <w:vAlign w:val="center"/>
                </w:tcPr>
                <w:p>
                  <w:pPr>
                    <w:pStyle w:val="19"/>
                    <w:bidi w:val="0"/>
                  </w:pPr>
                </w:p>
              </w:tc>
            </w:tr>
          </w:tbl>
          <w:p>
            <w:pPr>
              <w:bidi w:val="0"/>
              <w:ind w:left="0" w:leftChars="0" w:firstLine="0" w:firstLineChars="0"/>
              <w:rPr>
                <w:rFonts w:hint="eastAsia"/>
                <w:b/>
                <w:bCs/>
                <w:lang w:val="en-US" w:eastAsia="zh-CN"/>
              </w:rPr>
            </w:pPr>
            <w:r>
              <w:rPr>
                <w:rFonts w:hint="eastAsia"/>
                <w:b/>
                <w:bCs/>
                <w:lang w:val="en-US" w:eastAsia="zh-CN"/>
              </w:rPr>
              <w:t>2、声环境</w:t>
            </w:r>
          </w:p>
          <w:p>
            <w:pPr>
              <w:bidi w:val="0"/>
              <w:rPr>
                <w:rFonts w:hint="default" w:eastAsia="宋体"/>
                <w:lang w:val="en-US" w:eastAsia="zh-CN"/>
              </w:rPr>
            </w:pPr>
            <w:r>
              <w:rPr>
                <w:rFonts w:hint="eastAsia"/>
                <w:kern w:val="0"/>
              </w:rPr>
              <w:t>安徽泰昌特殊合金制造有限公司</w:t>
            </w:r>
            <w:r>
              <w:rPr>
                <w:rFonts w:hint="eastAsia"/>
                <w:kern w:val="0"/>
                <w:lang w:val="en-US" w:eastAsia="zh-CN"/>
              </w:rPr>
              <w:t>厂界外50m范围内无声环境保护目标。</w:t>
            </w:r>
          </w:p>
          <w:p>
            <w:pPr>
              <w:bidi w:val="0"/>
              <w:ind w:left="0" w:leftChars="0" w:firstLine="0" w:firstLineChars="0"/>
              <w:rPr>
                <w:rFonts w:hint="default"/>
                <w:b/>
                <w:bCs/>
                <w:lang w:val="en-US" w:eastAsia="zh-CN"/>
              </w:rPr>
            </w:pPr>
            <w:r>
              <w:rPr>
                <w:rFonts w:hint="eastAsia"/>
                <w:b/>
                <w:bCs/>
                <w:lang w:val="en-US" w:eastAsia="zh-CN"/>
              </w:rPr>
              <w:t>3、地下水环境</w:t>
            </w:r>
          </w:p>
          <w:p>
            <w:pPr>
              <w:bidi w:val="0"/>
              <w:rPr>
                <w:rFonts w:hint="eastAsia"/>
                <w:kern w:val="0"/>
                <w:lang w:val="en-US" w:eastAsia="zh-CN"/>
              </w:rPr>
            </w:pPr>
            <w:r>
              <w:rPr>
                <w:rFonts w:hint="eastAsia"/>
                <w:kern w:val="0"/>
              </w:rPr>
              <w:t>安徽泰昌特殊合金制造有限公司</w:t>
            </w:r>
            <w:r>
              <w:rPr>
                <w:rFonts w:hint="eastAsia"/>
                <w:kern w:val="0"/>
                <w:lang w:val="en-US" w:eastAsia="zh-CN"/>
              </w:rPr>
              <w:t>厂界外500m范围内无地下水集中式饮用水水源和热水、矿泉水、温泉等特殊地下水资源。</w:t>
            </w:r>
          </w:p>
          <w:p>
            <w:pPr>
              <w:bidi w:val="0"/>
              <w:ind w:left="0" w:leftChars="0" w:firstLine="0" w:firstLineChars="0"/>
              <w:rPr>
                <w:rFonts w:hint="default"/>
                <w:b/>
                <w:bCs/>
                <w:lang w:val="en-US" w:eastAsia="zh-CN"/>
              </w:rPr>
            </w:pPr>
            <w:r>
              <w:rPr>
                <w:rFonts w:hint="eastAsia"/>
                <w:b/>
                <w:bCs/>
                <w:lang w:val="en-US" w:eastAsia="zh-CN"/>
              </w:rPr>
              <w:t>4、生态环境</w:t>
            </w:r>
          </w:p>
          <w:p>
            <w:pPr>
              <w:bidi w:val="0"/>
              <w:rPr>
                <w:rFonts w:hint="eastAsia"/>
                <w:lang w:val="en-US" w:eastAsia="zh-CN"/>
              </w:rPr>
            </w:pPr>
            <w:r>
              <w:rPr>
                <w:rFonts w:hint="eastAsia"/>
                <w:lang w:val="en-US" w:eastAsia="zh-CN"/>
              </w:rPr>
              <w:t>拟建项目位于</w:t>
            </w:r>
            <w:r>
              <w:t>安徽怀远经济开发区</w:t>
            </w:r>
            <w:r>
              <w:rPr>
                <w:rFonts w:hint="eastAsia"/>
                <w:lang w:eastAsia="zh-CN"/>
              </w:rPr>
              <w:t>，</w:t>
            </w:r>
            <w:r>
              <w:rPr>
                <w:rFonts w:hint="eastAsia"/>
                <w:lang w:val="en-US" w:eastAsia="zh-CN"/>
              </w:rPr>
              <w:t>且不新增用地，用地范围内无生态环境保护目标。</w:t>
            </w:r>
          </w:p>
          <w:p>
            <w:pPr>
              <w:pStyle w:val="2"/>
              <w:rPr>
                <w:rFonts w:hint="eastAsia"/>
                <w:lang w:val="en-US" w:eastAsia="zh-CN"/>
              </w:rPr>
            </w:pPr>
          </w:p>
          <w:p>
            <w:pPr>
              <w:pStyle w:val="21"/>
              <w:bidi w:val="0"/>
              <w:rPr>
                <w:rFonts w:hint="eastAsia"/>
                <w:lang w:val="en-US" w:eastAsia="zh-CN"/>
              </w:rPr>
            </w:pPr>
            <w:r>
              <w:rPr>
                <w:rFonts w:hint="eastAsia"/>
                <w:lang w:val="en-US" w:eastAsia="zh-CN"/>
              </w:rPr>
              <w:drawing>
                <wp:inline distT="0" distB="0" distL="114300" distR="114300">
                  <wp:extent cx="5400040" cy="5405120"/>
                  <wp:effectExtent l="0" t="0" r="10160" b="5080"/>
                  <wp:docPr id="40" name="图片 40" descr="环境保护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环境保护目标"/>
                          <pic:cNvPicPr>
                            <a:picLocks noChangeAspect="1"/>
                          </pic:cNvPicPr>
                        </pic:nvPicPr>
                        <pic:blipFill>
                          <a:blip r:embed="rId21"/>
                          <a:stretch>
                            <a:fillRect/>
                          </a:stretch>
                        </pic:blipFill>
                        <pic:spPr>
                          <a:xfrm>
                            <a:off x="0" y="0"/>
                            <a:ext cx="5400040" cy="5405120"/>
                          </a:xfrm>
                          <a:prstGeom prst="rect">
                            <a:avLst/>
                          </a:prstGeom>
                        </pic:spPr>
                      </pic:pic>
                    </a:graphicData>
                  </a:graphic>
                </wp:inline>
              </w:drawing>
            </w:r>
          </w:p>
          <w:p>
            <w:pPr>
              <w:pStyle w:val="23"/>
              <w:bidi w:val="0"/>
              <w:rPr>
                <w:rFonts w:hint="eastAsia"/>
                <w:lang w:val="en-US" w:eastAsia="zh-CN"/>
              </w:rPr>
            </w:pPr>
            <w:r>
              <w:rPr>
                <w:rFonts w:hint="eastAsia"/>
                <w:lang w:val="en-US" w:eastAsia="zh-CN"/>
              </w:rPr>
              <w:t>图3-3  主要大气环境保护目标分布示意图</w: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13" w:hRule="atLeast"/>
          <w:jc w:val="center"/>
        </w:trPr>
        <w:tc>
          <w:tcPr>
            <w:tcW w:w="246" w:type="pct"/>
            <w:tcMar>
              <w:left w:w="28" w:type="dxa"/>
              <w:right w:w="28" w:type="dxa"/>
            </w:tcMar>
          </w:tcPr>
          <w:p>
            <w:pPr>
              <w:widowControl/>
              <w:spacing w:line="480" w:lineRule="exact"/>
              <w:ind w:firstLine="0" w:firstLineChars="0"/>
              <w:jc w:val="center"/>
              <w:rPr>
                <w:b/>
                <w:bCs/>
                <w:kern w:val="0"/>
              </w:rPr>
            </w:pPr>
            <w:r>
              <w:rPr>
                <w:b/>
                <w:bCs/>
                <w:kern w:val="0"/>
              </w:rPr>
              <w:t>污染</w:t>
            </w:r>
          </w:p>
          <w:p>
            <w:pPr>
              <w:widowControl/>
              <w:spacing w:line="480" w:lineRule="exact"/>
              <w:ind w:firstLine="0" w:firstLineChars="0"/>
              <w:jc w:val="center"/>
              <w:rPr>
                <w:b/>
                <w:bCs/>
                <w:kern w:val="0"/>
              </w:rPr>
            </w:pPr>
            <w:r>
              <w:rPr>
                <w:b/>
                <w:bCs/>
                <w:kern w:val="0"/>
              </w:rPr>
              <w:t>物排</w:t>
            </w:r>
          </w:p>
          <w:p>
            <w:pPr>
              <w:widowControl/>
              <w:spacing w:line="480" w:lineRule="exact"/>
              <w:ind w:firstLine="0" w:firstLineChars="0"/>
              <w:jc w:val="center"/>
              <w:rPr>
                <w:b/>
                <w:bCs/>
                <w:kern w:val="0"/>
              </w:rPr>
            </w:pPr>
            <w:r>
              <w:rPr>
                <w:b/>
                <w:bCs/>
                <w:kern w:val="0"/>
              </w:rPr>
              <w:t>放控</w:t>
            </w:r>
          </w:p>
          <w:p>
            <w:pPr>
              <w:widowControl/>
              <w:spacing w:line="480" w:lineRule="exact"/>
              <w:ind w:firstLine="0" w:firstLineChars="0"/>
              <w:jc w:val="center"/>
              <w:rPr>
                <w:b/>
                <w:bCs/>
                <w:kern w:val="0"/>
              </w:rPr>
            </w:pPr>
            <w:r>
              <w:rPr>
                <w:b/>
                <w:bCs/>
                <w:kern w:val="0"/>
              </w:rPr>
              <w:t>制标</w:t>
            </w:r>
          </w:p>
          <w:p>
            <w:pPr>
              <w:widowControl/>
              <w:spacing w:line="480" w:lineRule="exact"/>
              <w:ind w:firstLine="0" w:firstLineChars="0"/>
              <w:jc w:val="center"/>
              <w:rPr>
                <w:b/>
                <w:bCs/>
                <w:kern w:val="0"/>
              </w:rPr>
            </w:pPr>
            <w:r>
              <w:rPr>
                <w:b/>
                <w:bCs/>
                <w:kern w:val="0"/>
              </w:rPr>
              <w:t>准</w:t>
            </w:r>
          </w:p>
        </w:tc>
        <w:tc>
          <w:tcPr>
            <w:tcW w:w="4753" w:type="pct"/>
          </w:tcPr>
          <w:p>
            <w:pPr>
              <w:widowControl/>
              <w:spacing w:line="480" w:lineRule="exact"/>
              <w:ind w:left="0" w:leftChars="0" w:firstLine="0" w:firstLineChars="0"/>
              <w:rPr>
                <w:b/>
                <w:bCs/>
                <w:color w:val="auto"/>
                <w:kern w:val="0"/>
              </w:rPr>
            </w:pPr>
            <w:r>
              <w:rPr>
                <w:rFonts w:hint="eastAsia"/>
                <w:b/>
                <w:bCs/>
                <w:color w:val="auto"/>
                <w:kern w:val="0"/>
              </w:rPr>
              <w:t>1、废气</w:t>
            </w:r>
          </w:p>
          <w:p>
            <w:pPr>
              <w:widowControl/>
              <w:spacing w:line="480" w:lineRule="exact"/>
              <w:rPr>
                <w:rFonts w:hint="default" w:eastAsia="宋体"/>
                <w:color w:val="auto"/>
                <w:kern w:val="0"/>
                <w:lang w:val="en-US" w:eastAsia="zh-CN"/>
              </w:rPr>
            </w:pPr>
            <w:r>
              <w:rPr>
                <w:rFonts w:hint="eastAsia"/>
                <w:color w:val="auto"/>
                <w:kern w:val="0"/>
              </w:rPr>
              <w:t>项目有组织排放颗粒物执行《铸造工业大气污染物排放标准》</w:t>
            </w:r>
            <w:r>
              <w:rPr>
                <w:rFonts w:hint="eastAsia"/>
                <w:color w:val="auto"/>
                <w:kern w:val="0"/>
                <w:lang w:eastAsia="zh-CN"/>
              </w:rPr>
              <w:t>(</w:t>
            </w:r>
            <w:r>
              <w:rPr>
                <w:rFonts w:hint="eastAsia"/>
                <w:color w:val="auto"/>
                <w:kern w:val="0"/>
              </w:rPr>
              <w:t>GB</w:t>
            </w:r>
            <w:r>
              <w:rPr>
                <w:color w:val="auto"/>
                <w:kern w:val="0"/>
              </w:rPr>
              <w:t xml:space="preserve"> 39726-2020</w:t>
            </w:r>
            <w:r>
              <w:rPr>
                <w:rFonts w:hint="eastAsia"/>
                <w:color w:val="auto"/>
                <w:kern w:val="0"/>
                <w:lang w:eastAsia="zh-CN"/>
              </w:rPr>
              <w:t>)</w:t>
            </w:r>
            <w:r>
              <w:rPr>
                <w:rFonts w:hint="eastAsia"/>
                <w:color w:val="auto"/>
                <w:kern w:val="0"/>
              </w:rPr>
              <w:t>，无组织排放颗粒物满足GB</w:t>
            </w:r>
            <w:r>
              <w:rPr>
                <w:color w:val="auto"/>
                <w:kern w:val="0"/>
              </w:rPr>
              <w:t xml:space="preserve"> 39726-2020</w:t>
            </w:r>
            <w:r>
              <w:rPr>
                <w:rFonts w:hint="eastAsia"/>
                <w:color w:val="auto"/>
                <w:kern w:val="0"/>
              </w:rPr>
              <w:t>相关控制要求。电弧炉工序排放</w:t>
            </w:r>
            <w:r>
              <w:rPr>
                <w:rFonts w:hint="eastAsia"/>
                <w:color w:val="auto"/>
                <w:kern w:val="0"/>
                <w:lang w:val="en-US" w:eastAsia="zh-CN"/>
              </w:rPr>
              <w:t>氟化物、</w:t>
            </w:r>
            <w:r>
              <w:rPr>
                <w:rFonts w:hint="eastAsia"/>
                <w:color w:val="auto"/>
                <w:kern w:val="0"/>
              </w:rPr>
              <w:t>二噁英参照执行《炼钢工业大气污染物排放标准》</w:t>
            </w:r>
            <w:r>
              <w:rPr>
                <w:rFonts w:hint="eastAsia"/>
                <w:color w:val="auto"/>
                <w:kern w:val="0"/>
                <w:lang w:eastAsia="zh-CN"/>
              </w:rPr>
              <w:t>(</w:t>
            </w:r>
            <w:r>
              <w:rPr>
                <w:rFonts w:hint="eastAsia"/>
                <w:color w:val="auto"/>
                <w:kern w:val="0"/>
              </w:rPr>
              <w:t>GB</w:t>
            </w:r>
            <w:r>
              <w:rPr>
                <w:color w:val="auto"/>
                <w:kern w:val="0"/>
              </w:rPr>
              <w:t xml:space="preserve"> </w:t>
            </w:r>
            <w:r>
              <w:rPr>
                <w:rFonts w:hint="eastAsia"/>
                <w:color w:val="auto"/>
                <w:kern w:val="0"/>
              </w:rPr>
              <w:t>28664-2012</w:t>
            </w:r>
            <w:r>
              <w:rPr>
                <w:rFonts w:hint="eastAsia"/>
                <w:color w:val="auto"/>
                <w:kern w:val="0"/>
                <w:lang w:eastAsia="zh-CN"/>
              </w:rPr>
              <w:t>)</w:t>
            </w:r>
            <w:r>
              <w:rPr>
                <w:rFonts w:hint="eastAsia"/>
                <w:color w:val="auto"/>
                <w:kern w:val="0"/>
              </w:rPr>
              <w:t>。</w:t>
            </w:r>
            <w:r>
              <w:rPr>
                <w:rFonts w:hint="eastAsia"/>
                <w:color w:val="auto"/>
                <w:kern w:val="0"/>
                <w:lang w:val="en-US" w:eastAsia="zh-CN"/>
              </w:rPr>
              <w:t>详见表3-8</w:t>
            </w:r>
          </w:p>
          <w:p>
            <w:pPr>
              <w:pStyle w:val="21"/>
              <w:rPr>
                <w:rFonts w:hint="eastAsia"/>
                <w:color w:val="auto"/>
              </w:rPr>
            </w:pPr>
            <w:r>
              <w:rPr>
                <w:rFonts w:hint="eastAsia"/>
                <w:color w:val="auto"/>
              </w:rPr>
              <w:t>表3</w:t>
            </w:r>
            <w:r>
              <w:rPr>
                <w:rFonts w:hint="eastAsia"/>
                <w:color w:val="auto"/>
                <w:lang w:val="en-US" w:eastAsia="zh-CN"/>
              </w:rPr>
              <w:t>-8</w:t>
            </w:r>
            <w:r>
              <w:rPr>
                <w:color w:val="auto"/>
              </w:rPr>
              <w:t xml:space="preserve">  </w:t>
            </w:r>
            <w:r>
              <w:rPr>
                <w:rFonts w:hint="eastAsia"/>
                <w:color w:val="auto"/>
              </w:rPr>
              <w:t>废气污染物排放标准</w:t>
            </w:r>
          </w:p>
          <w:tbl>
            <w:tblPr>
              <w:tblStyle w:val="16"/>
              <w:tblW w:w="50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70"/>
              <w:gridCol w:w="1545"/>
              <w:gridCol w:w="1545"/>
              <w:gridCol w:w="1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pct"/>
                  <w:vAlign w:val="center"/>
                </w:tcPr>
                <w:p>
                  <w:pPr>
                    <w:pStyle w:val="19"/>
                    <w:rPr>
                      <w:b/>
                      <w:bCs/>
                      <w:color w:val="auto"/>
                    </w:rPr>
                  </w:pPr>
                  <w:r>
                    <w:rPr>
                      <w:b/>
                      <w:bCs/>
                      <w:color w:val="auto"/>
                    </w:rPr>
                    <w:t>生产工序或设施</w:t>
                  </w:r>
                </w:p>
              </w:tc>
              <w:tc>
                <w:tcPr>
                  <w:tcW w:w="897" w:type="pct"/>
                  <w:vAlign w:val="center"/>
                </w:tcPr>
                <w:p>
                  <w:pPr>
                    <w:pStyle w:val="19"/>
                    <w:rPr>
                      <w:b/>
                      <w:bCs/>
                      <w:color w:val="auto"/>
                    </w:rPr>
                  </w:pPr>
                  <w:r>
                    <w:rPr>
                      <w:b/>
                      <w:bCs/>
                      <w:color w:val="auto"/>
                    </w:rPr>
                    <w:t>污染物</w:t>
                  </w:r>
                </w:p>
              </w:tc>
              <w:tc>
                <w:tcPr>
                  <w:tcW w:w="897" w:type="pct"/>
                  <w:vAlign w:val="center"/>
                </w:tcPr>
                <w:p>
                  <w:pPr>
                    <w:pStyle w:val="19"/>
                    <w:rPr>
                      <w:rFonts w:hint="eastAsia" w:eastAsia="宋体"/>
                      <w:b/>
                      <w:bCs/>
                      <w:color w:val="auto"/>
                      <w:lang w:val="en-US" w:eastAsia="zh-CN"/>
                    </w:rPr>
                  </w:pPr>
                  <w:r>
                    <w:rPr>
                      <w:rFonts w:hint="eastAsia"/>
                      <w:b/>
                      <w:bCs/>
                      <w:color w:val="auto"/>
                      <w:lang w:val="en-US" w:eastAsia="zh-CN"/>
                    </w:rPr>
                    <w:t>单位</w:t>
                  </w:r>
                </w:p>
              </w:tc>
              <w:tc>
                <w:tcPr>
                  <w:tcW w:w="897" w:type="pct"/>
                  <w:vAlign w:val="center"/>
                </w:tcPr>
                <w:p>
                  <w:pPr>
                    <w:pStyle w:val="19"/>
                    <w:rPr>
                      <w:b/>
                      <w:bCs/>
                      <w:color w:val="auto"/>
                    </w:rPr>
                  </w:pPr>
                  <w:r>
                    <w:rPr>
                      <w:b/>
                      <w:bCs/>
                      <w:color w:val="auto"/>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pct"/>
                  <w:vMerge w:val="restart"/>
                  <w:vAlign w:val="center"/>
                </w:tcPr>
                <w:p>
                  <w:pPr>
                    <w:pStyle w:val="19"/>
                    <w:rPr>
                      <w:color w:val="auto"/>
                    </w:rPr>
                  </w:pPr>
                  <w:r>
                    <w:rPr>
                      <w:rFonts w:hint="eastAsia"/>
                      <w:color w:val="auto"/>
                    </w:rPr>
                    <w:t>电弧炉</w:t>
                  </w:r>
                </w:p>
              </w:tc>
              <w:tc>
                <w:tcPr>
                  <w:tcW w:w="897" w:type="pct"/>
                  <w:vAlign w:val="center"/>
                </w:tcPr>
                <w:p>
                  <w:pPr>
                    <w:pStyle w:val="19"/>
                    <w:rPr>
                      <w:color w:val="auto"/>
                    </w:rPr>
                  </w:pPr>
                  <w:r>
                    <w:rPr>
                      <w:color w:val="auto"/>
                    </w:rPr>
                    <w:t>颗粒物</w:t>
                  </w:r>
                </w:p>
              </w:tc>
              <w:tc>
                <w:tcPr>
                  <w:tcW w:w="897" w:type="pct"/>
                  <w:vAlign w:val="center"/>
                </w:tcPr>
                <w:p>
                  <w:pPr>
                    <w:pStyle w:val="19"/>
                    <w:rPr>
                      <w:color w:val="auto"/>
                    </w:rPr>
                  </w:pPr>
                  <w:r>
                    <w:rPr>
                      <w:color w:val="auto"/>
                    </w:rPr>
                    <w:t>mg</w:t>
                  </w:r>
                  <w:r>
                    <w:rPr>
                      <w:rFonts w:hint="eastAsia"/>
                      <w:color w:val="auto"/>
                    </w:rPr>
                    <w:t>/m</w:t>
                  </w:r>
                  <w:r>
                    <w:rPr>
                      <w:rFonts w:hint="eastAsia"/>
                      <w:color w:val="auto"/>
                      <w:vertAlign w:val="superscript"/>
                    </w:rPr>
                    <w:t>3</w:t>
                  </w:r>
                </w:p>
              </w:tc>
              <w:tc>
                <w:tcPr>
                  <w:tcW w:w="897" w:type="pct"/>
                  <w:vAlign w:val="center"/>
                </w:tcPr>
                <w:p>
                  <w:pPr>
                    <w:pStyle w:val="19"/>
                    <w:rPr>
                      <w:color w:val="auto"/>
                    </w:rPr>
                  </w:pPr>
                  <w:r>
                    <w:rPr>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pct"/>
                  <w:vMerge w:val="continue"/>
                  <w:vAlign w:val="center"/>
                </w:tcPr>
                <w:p>
                  <w:pPr>
                    <w:pStyle w:val="19"/>
                    <w:rPr>
                      <w:rFonts w:hint="eastAsia"/>
                      <w:color w:val="auto"/>
                    </w:rPr>
                  </w:pPr>
                </w:p>
              </w:tc>
              <w:tc>
                <w:tcPr>
                  <w:tcW w:w="897" w:type="pct"/>
                  <w:vAlign w:val="center"/>
                </w:tcPr>
                <w:p>
                  <w:pPr>
                    <w:pStyle w:val="19"/>
                    <w:rPr>
                      <w:rFonts w:hint="eastAsia" w:eastAsia="宋体"/>
                      <w:color w:val="auto"/>
                      <w:lang w:val="en-US" w:eastAsia="zh-CN"/>
                    </w:rPr>
                  </w:pPr>
                  <w:r>
                    <w:rPr>
                      <w:rFonts w:hint="eastAsia"/>
                      <w:color w:val="auto"/>
                      <w:lang w:val="en-US" w:eastAsia="zh-CN"/>
                    </w:rPr>
                    <w:t>氟化物</w:t>
                  </w:r>
                </w:p>
              </w:tc>
              <w:tc>
                <w:tcPr>
                  <w:tcW w:w="897" w:type="pct"/>
                  <w:vAlign w:val="center"/>
                </w:tcPr>
                <w:p>
                  <w:pPr>
                    <w:pStyle w:val="19"/>
                    <w:rPr>
                      <w:color w:val="auto"/>
                    </w:rPr>
                  </w:pPr>
                  <w:r>
                    <w:rPr>
                      <w:color w:val="auto"/>
                    </w:rPr>
                    <w:t>mg</w:t>
                  </w:r>
                  <w:r>
                    <w:rPr>
                      <w:rFonts w:hint="eastAsia"/>
                      <w:color w:val="auto"/>
                    </w:rPr>
                    <w:t>/m</w:t>
                  </w:r>
                  <w:r>
                    <w:rPr>
                      <w:rFonts w:hint="eastAsia"/>
                      <w:color w:val="auto"/>
                      <w:vertAlign w:val="superscript"/>
                    </w:rPr>
                    <w:t>3</w:t>
                  </w:r>
                </w:p>
              </w:tc>
              <w:tc>
                <w:tcPr>
                  <w:tcW w:w="897" w:type="pct"/>
                  <w:vAlign w:val="center"/>
                </w:tcPr>
                <w:p>
                  <w:pPr>
                    <w:pStyle w:val="19"/>
                    <w:rPr>
                      <w:rFonts w:hint="default" w:eastAsia="宋体"/>
                      <w:color w:val="auto"/>
                      <w:lang w:val="en-US" w:eastAsia="zh-CN"/>
                    </w:rPr>
                  </w:pPr>
                  <w:r>
                    <w:rPr>
                      <w:rFonts w:hint="eastAsia"/>
                      <w:color w:val="auto"/>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pct"/>
                  <w:vMerge w:val="continue"/>
                  <w:vAlign w:val="center"/>
                </w:tcPr>
                <w:p>
                  <w:pPr>
                    <w:pStyle w:val="19"/>
                    <w:rPr>
                      <w:color w:val="auto"/>
                    </w:rPr>
                  </w:pPr>
                </w:p>
              </w:tc>
              <w:tc>
                <w:tcPr>
                  <w:tcW w:w="897" w:type="pct"/>
                  <w:vAlign w:val="center"/>
                </w:tcPr>
                <w:p>
                  <w:pPr>
                    <w:pStyle w:val="19"/>
                    <w:rPr>
                      <w:color w:val="auto"/>
                    </w:rPr>
                  </w:pPr>
                  <w:r>
                    <w:rPr>
                      <w:rFonts w:hint="eastAsia"/>
                      <w:color w:val="auto"/>
                    </w:rPr>
                    <w:t>二噁英类</w:t>
                  </w:r>
                </w:p>
              </w:tc>
              <w:tc>
                <w:tcPr>
                  <w:tcW w:w="897" w:type="pct"/>
                  <w:vAlign w:val="center"/>
                </w:tcPr>
                <w:p>
                  <w:pPr>
                    <w:pStyle w:val="19"/>
                    <w:rPr>
                      <w:rFonts w:hint="eastAsia"/>
                      <w:color w:val="auto"/>
                    </w:rPr>
                  </w:pPr>
                  <w:r>
                    <w:rPr>
                      <w:rFonts w:hint="eastAsia"/>
                      <w:color w:val="auto"/>
                    </w:rPr>
                    <w:t>n</w:t>
                  </w:r>
                  <w:r>
                    <w:rPr>
                      <w:color w:val="auto"/>
                    </w:rPr>
                    <w:t>g-TEQ</w:t>
                  </w:r>
                  <w:r>
                    <w:rPr>
                      <w:rFonts w:hint="eastAsia"/>
                      <w:color w:val="auto"/>
                    </w:rPr>
                    <w:t>/m</w:t>
                  </w:r>
                  <w:r>
                    <w:rPr>
                      <w:rFonts w:hint="eastAsia"/>
                      <w:color w:val="auto"/>
                      <w:vertAlign w:val="superscript"/>
                    </w:rPr>
                    <w:t>3</w:t>
                  </w:r>
                </w:p>
              </w:tc>
              <w:tc>
                <w:tcPr>
                  <w:tcW w:w="897" w:type="pct"/>
                  <w:vAlign w:val="center"/>
                </w:tcPr>
                <w:p>
                  <w:pPr>
                    <w:pStyle w:val="19"/>
                    <w:rPr>
                      <w:color w:val="auto"/>
                    </w:rPr>
                  </w:pPr>
                  <w:r>
                    <w:rPr>
                      <w:rFonts w:hint="eastAsia"/>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pct"/>
                  <w:vAlign w:val="center"/>
                </w:tcPr>
                <w:p>
                  <w:pPr>
                    <w:pStyle w:val="19"/>
                    <w:rPr>
                      <w:color w:val="auto"/>
                    </w:rPr>
                  </w:pPr>
                  <w:r>
                    <w:rPr>
                      <w:rFonts w:hint="eastAsia"/>
                      <w:color w:val="auto"/>
                    </w:rPr>
                    <w:t>LF炉、AOD炉、VOD炉、</w:t>
                  </w:r>
                  <w:r>
                    <w:rPr>
                      <w:rFonts w:hint="eastAsia"/>
                      <w:color w:val="auto"/>
                      <w:lang w:eastAsia="zh-CN"/>
                    </w:rPr>
                    <w:t>合金熔融炉</w:t>
                  </w:r>
                  <w:r>
                    <w:rPr>
                      <w:rFonts w:hint="eastAsia"/>
                      <w:color w:val="auto"/>
                    </w:rPr>
                    <w:t>等</w:t>
                  </w:r>
                </w:p>
              </w:tc>
              <w:tc>
                <w:tcPr>
                  <w:tcW w:w="897" w:type="pct"/>
                  <w:vAlign w:val="center"/>
                </w:tcPr>
                <w:p>
                  <w:pPr>
                    <w:pStyle w:val="19"/>
                    <w:rPr>
                      <w:color w:val="auto"/>
                    </w:rPr>
                  </w:pPr>
                  <w:r>
                    <w:rPr>
                      <w:color w:val="auto"/>
                    </w:rPr>
                    <w:t>颗粒物</w:t>
                  </w:r>
                </w:p>
              </w:tc>
              <w:tc>
                <w:tcPr>
                  <w:tcW w:w="897" w:type="pct"/>
                  <w:vAlign w:val="center"/>
                </w:tcPr>
                <w:p>
                  <w:pPr>
                    <w:pStyle w:val="19"/>
                    <w:rPr>
                      <w:color w:val="auto"/>
                    </w:rPr>
                  </w:pPr>
                  <w:r>
                    <w:rPr>
                      <w:color w:val="auto"/>
                    </w:rPr>
                    <w:t>mg</w:t>
                  </w:r>
                  <w:r>
                    <w:rPr>
                      <w:rFonts w:hint="eastAsia"/>
                      <w:color w:val="auto"/>
                    </w:rPr>
                    <w:t>/m</w:t>
                  </w:r>
                  <w:r>
                    <w:rPr>
                      <w:rFonts w:hint="eastAsia"/>
                      <w:color w:val="auto"/>
                      <w:vertAlign w:val="superscript"/>
                    </w:rPr>
                    <w:t>3</w:t>
                  </w:r>
                </w:p>
              </w:tc>
              <w:tc>
                <w:tcPr>
                  <w:tcW w:w="897" w:type="pct"/>
                  <w:vAlign w:val="center"/>
                </w:tcPr>
                <w:p>
                  <w:pPr>
                    <w:pStyle w:val="19"/>
                    <w:rPr>
                      <w:color w:val="auto"/>
                    </w:rPr>
                  </w:pPr>
                  <w:r>
                    <w:rPr>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306" w:type="pct"/>
                  <w:vMerge w:val="restart"/>
                  <w:vAlign w:val="center"/>
                </w:tcPr>
                <w:p>
                  <w:pPr>
                    <w:pStyle w:val="19"/>
                    <w:rPr>
                      <w:color w:val="auto"/>
                    </w:rPr>
                  </w:pPr>
                  <w:r>
                    <w:rPr>
                      <w:rFonts w:hint="eastAsia"/>
                      <w:color w:val="auto"/>
                    </w:rPr>
                    <w:t>加热炉</w:t>
                  </w:r>
                </w:p>
              </w:tc>
              <w:tc>
                <w:tcPr>
                  <w:tcW w:w="897" w:type="pct"/>
                  <w:vAlign w:val="center"/>
                </w:tcPr>
                <w:p>
                  <w:pPr>
                    <w:pStyle w:val="19"/>
                    <w:rPr>
                      <w:color w:val="auto"/>
                    </w:rPr>
                  </w:pPr>
                  <w:r>
                    <w:rPr>
                      <w:color w:val="auto"/>
                    </w:rPr>
                    <w:t>颗粒物</w:t>
                  </w:r>
                </w:p>
              </w:tc>
              <w:tc>
                <w:tcPr>
                  <w:tcW w:w="897" w:type="pct"/>
                  <w:vAlign w:val="center"/>
                </w:tcPr>
                <w:p>
                  <w:pPr>
                    <w:pStyle w:val="19"/>
                    <w:rPr>
                      <w:color w:val="auto"/>
                    </w:rPr>
                  </w:pPr>
                  <w:r>
                    <w:rPr>
                      <w:color w:val="auto"/>
                    </w:rPr>
                    <w:t>mg</w:t>
                  </w:r>
                  <w:r>
                    <w:rPr>
                      <w:rFonts w:hint="eastAsia"/>
                      <w:color w:val="auto"/>
                    </w:rPr>
                    <w:t>/m</w:t>
                  </w:r>
                  <w:r>
                    <w:rPr>
                      <w:rFonts w:hint="eastAsia"/>
                      <w:color w:val="auto"/>
                      <w:vertAlign w:val="superscript"/>
                    </w:rPr>
                    <w:t>3</w:t>
                  </w:r>
                </w:p>
              </w:tc>
              <w:tc>
                <w:tcPr>
                  <w:tcW w:w="897" w:type="pct"/>
                  <w:vAlign w:val="center"/>
                </w:tcPr>
                <w:p>
                  <w:pPr>
                    <w:pStyle w:val="19"/>
                    <w:rPr>
                      <w:color w:val="auto"/>
                    </w:rPr>
                  </w:pPr>
                  <w:r>
                    <w:rPr>
                      <w:color w:val="auto"/>
                    </w:rPr>
                    <w:t>3</w:t>
                  </w: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pct"/>
                  <w:vMerge w:val="continue"/>
                  <w:vAlign w:val="center"/>
                </w:tcPr>
                <w:p>
                  <w:pPr>
                    <w:pStyle w:val="19"/>
                    <w:rPr>
                      <w:color w:val="auto"/>
                    </w:rPr>
                  </w:pPr>
                </w:p>
              </w:tc>
              <w:tc>
                <w:tcPr>
                  <w:tcW w:w="897" w:type="pct"/>
                  <w:vAlign w:val="center"/>
                </w:tcPr>
                <w:p>
                  <w:pPr>
                    <w:pStyle w:val="19"/>
                    <w:rPr>
                      <w:color w:val="auto"/>
                    </w:rPr>
                  </w:pPr>
                  <w:r>
                    <w:rPr>
                      <w:rFonts w:hint="eastAsia"/>
                      <w:color w:val="auto"/>
                    </w:rPr>
                    <w:t>二氧化硫</w:t>
                  </w:r>
                </w:p>
              </w:tc>
              <w:tc>
                <w:tcPr>
                  <w:tcW w:w="897" w:type="pct"/>
                  <w:vAlign w:val="center"/>
                </w:tcPr>
                <w:p>
                  <w:pPr>
                    <w:pStyle w:val="19"/>
                    <w:rPr>
                      <w:rFonts w:hint="eastAsia"/>
                      <w:color w:val="auto"/>
                    </w:rPr>
                  </w:pPr>
                  <w:r>
                    <w:rPr>
                      <w:color w:val="auto"/>
                    </w:rPr>
                    <w:t>mg</w:t>
                  </w:r>
                  <w:r>
                    <w:rPr>
                      <w:rFonts w:hint="eastAsia"/>
                      <w:color w:val="auto"/>
                    </w:rPr>
                    <w:t>/m</w:t>
                  </w:r>
                  <w:r>
                    <w:rPr>
                      <w:rFonts w:hint="eastAsia"/>
                      <w:color w:val="auto"/>
                      <w:vertAlign w:val="superscript"/>
                    </w:rPr>
                    <w:t>3</w:t>
                  </w:r>
                </w:p>
              </w:tc>
              <w:tc>
                <w:tcPr>
                  <w:tcW w:w="897" w:type="pct"/>
                  <w:vAlign w:val="center"/>
                </w:tcPr>
                <w:p>
                  <w:pPr>
                    <w:pStyle w:val="19"/>
                    <w:rPr>
                      <w:color w:val="auto"/>
                    </w:rPr>
                  </w:pPr>
                  <w:r>
                    <w:rPr>
                      <w:rFonts w:hint="eastAsia"/>
                      <w:color w:val="auto"/>
                    </w:rPr>
                    <w:t>1</w:t>
                  </w:r>
                  <w:r>
                    <w:rPr>
                      <w:color w:val="auto"/>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pct"/>
                  <w:vMerge w:val="continue"/>
                  <w:vAlign w:val="center"/>
                </w:tcPr>
                <w:p>
                  <w:pPr>
                    <w:pStyle w:val="19"/>
                    <w:rPr>
                      <w:color w:val="auto"/>
                    </w:rPr>
                  </w:pPr>
                </w:p>
              </w:tc>
              <w:tc>
                <w:tcPr>
                  <w:tcW w:w="897" w:type="pct"/>
                  <w:vAlign w:val="center"/>
                </w:tcPr>
                <w:p>
                  <w:pPr>
                    <w:pStyle w:val="19"/>
                    <w:rPr>
                      <w:color w:val="auto"/>
                    </w:rPr>
                  </w:pPr>
                  <w:r>
                    <w:rPr>
                      <w:rFonts w:hint="eastAsia"/>
                      <w:color w:val="auto"/>
                    </w:rPr>
                    <w:t>氮氧化物</w:t>
                  </w:r>
                </w:p>
              </w:tc>
              <w:tc>
                <w:tcPr>
                  <w:tcW w:w="897" w:type="pct"/>
                  <w:vAlign w:val="center"/>
                </w:tcPr>
                <w:p>
                  <w:pPr>
                    <w:pStyle w:val="19"/>
                    <w:rPr>
                      <w:rFonts w:hint="eastAsia"/>
                      <w:color w:val="auto"/>
                    </w:rPr>
                  </w:pPr>
                  <w:r>
                    <w:rPr>
                      <w:color w:val="auto"/>
                    </w:rPr>
                    <w:t>mg</w:t>
                  </w:r>
                  <w:r>
                    <w:rPr>
                      <w:rFonts w:hint="eastAsia"/>
                      <w:color w:val="auto"/>
                    </w:rPr>
                    <w:t>/m</w:t>
                  </w:r>
                  <w:r>
                    <w:rPr>
                      <w:rFonts w:hint="eastAsia"/>
                      <w:color w:val="auto"/>
                      <w:vertAlign w:val="superscript"/>
                    </w:rPr>
                    <w:t>3</w:t>
                  </w:r>
                </w:p>
              </w:tc>
              <w:tc>
                <w:tcPr>
                  <w:tcW w:w="897" w:type="pct"/>
                  <w:vAlign w:val="center"/>
                </w:tcPr>
                <w:p>
                  <w:pPr>
                    <w:pStyle w:val="19"/>
                    <w:rPr>
                      <w:color w:val="auto"/>
                    </w:rPr>
                  </w:pPr>
                  <w:r>
                    <w:rPr>
                      <w:color w:val="auto"/>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06" w:type="pct"/>
                  <w:vAlign w:val="center"/>
                </w:tcPr>
                <w:p>
                  <w:pPr>
                    <w:pStyle w:val="19"/>
                    <w:rPr>
                      <w:color w:val="auto"/>
                    </w:rPr>
                  </w:pPr>
                  <w:r>
                    <w:rPr>
                      <w:rFonts w:hint="eastAsia"/>
                      <w:color w:val="auto"/>
                      <w:lang w:val="en-US" w:eastAsia="zh-CN"/>
                    </w:rPr>
                    <w:t>厂房外无组织监控点</w:t>
                  </w:r>
                </w:p>
              </w:tc>
              <w:tc>
                <w:tcPr>
                  <w:tcW w:w="897" w:type="pct"/>
                  <w:vAlign w:val="center"/>
                </w:tcPr>
                <w:p>
                  <w:pPr>
                    <w:pStyle w:val="19"/>
                    <w:ind w:firstLine="0" w:firstLineChars="0"/>
                    <w:rPr>
                      <w:rFonts w:hint="eastAsia" w:ascii="Times New Roman" w:hAnsi="Times New Roman" w:eastAsia="宋体" w:cs="Times New Roman"/>
                      <w:color w:val="auto"/>
                      <w:kern w:val="0"/>
                      <w:sz w:val="21"/>
                      <w:szCs w:val="21"/>
                      <w:lang w:val="en-US" w:eastAsia="zh-CN" w:bidi="ar-SA"/>
                    </w:rPr>
                  </w:pPr>
                  <w:r>
                    <w:rPr>
                      <w:color w:val="auto"/>
                    </w:rPr>
                    <w:t>颗粒物</w:t>
                  </w:r>
                </w:p>
              </w:tc>
              <w:tc>
                <w:tcPr>
                  <w:tcW w:w="897" w:type="pct"/>
                  <w:vAlign w:val="center"/>
                </w:tcPr>
                <w:p>
                  <w:pPr>
                    <w:pStyle w:val="19"/>
                    <w:ind w:firstLine="0" w:firstLineChars="0"/>
                    <w:rPr>
                      <w:rFonts w:ascii="Times New Roman" w:hAnsi="Times New Roman" w:eastAsia="宋体" w:cs="Times New Roman"/>
                      <w:color w:val="auto"/>
                      <w:kern w:val="0"/>
                      <w:sz w:val="21"/>
                      <w:szCs w:val="21"/>
                      <w:lang w:val="en-US" w:eastAsia="zh-CN" w:bidi="ar-SA"/>
                    </w:rPr>
                  </w:pPr>
                  <w:r>
                    <w:rPr>
                      <w:color w:val="auto"/>
                    </w:rPr>
                    <w:t>mg</w:t>
                  </w:r>
                  <w:r>
                    <w:rPr>
                      <w:rFonts w:hint="eastAsia"/>
                      <w:color w:val="auto"/>
                    </w:rPr>
                    <w:t>/m</w:t>
                  </w:r>
                  <w:r>
                    <w:rPr>
                      <w:rFonts w:hint="eastAsia"/>
                      <w:color w:val="auto"/>
                      <w:vertAlign w:val="superscript"/>
                    </w:rPr>
                    <w:t>3</w:t>
                  </w:r>
                </w:p>
              </w:tc>
              <w:tc>
                <w:tcPr>
                  <w:tcW w:w="897" w:type="pct"/>
                  <w:vAlign w:val="center"/>
                </w:tcPr>
                <w:p>
                  <w:pPr>
                    <w:pStyle w:val="19"/>
                    <w:ind w:firstLine="0" w:firstLineChars="0"/>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5</w:t>
                  </w:r>
                </w:p>
              </w:tc>
            </w:tr>
          </w:tbl>
          <w:p>
            <w:pPr>
              <w:widowControl/>
              <w:spacing w:line="480" w:lineRule="exact"/>
              <w:ind w:left="0" w:leftChars="0" w:firstLine="0" w:firstLineChars="0"/>
              <w:rPr>
                <w:b/>
                <w:bCs/>
                <w:color w:val="auto"/>
                <w:kern w:val="0"/>
              </w:rPr>
            </w:pPr>
            <w:r>
              <w:rPr>
                <w:rFonts w:hint="eastAsia"/>
                <w:b/>
                <w:bCs/>
                <w:color w:val="auto"/>
                <w:kern w:val="0"/>
              </w:rPr>
              <w:t>2、废水</w:t>
            </w:r>
          </w:p>
          <w:p>
            <w:pPr>
              <w:widowControl/>
              <w:spacing w:line="480" w:lineRule="exact"/>
              <w:rPr>
                <w:color w:val="auto"/>
                <w:kern w:val="0"/>
              </w:rPr>
            </w:pPr>
            <w:r>
              <w:rPr>
                <w:rFonts w:hint="eastAsia"/>
                <w:color w:val="auto"/>
                <w:kern w:val="0"/>
              </w:rPr>
              <w:t>废水污染物排放执行</w:t>
            </w:r>
            <w:bookmarkStart w:id="3" w:name="_Hlk145945061"/>
            <w:r>
              <w:rPr>
                <w:rFonts w:hint="eastAsia"/>
                <w:color w:val="auto"/>
                <w:kern w:val="0"/>
              </w:rPr>
              <w:t>怀远经开区污水处理厂</w:t>
            </w:r>
            <w:r>
              <w:rPr>
                <w:rFonts w:hint="eastAsia"/>
                <w:kern w:val="0"/>
                <w:lang w:val="en-US" w:eastAsia="zh-CN"/>
              </w:rPr>
              <w:t>(一期)</w:t>
            </w:r>
            <w:r>
              <w:rPr>
                <w:rFonts w:hint="eastAsia"/>
                <w:color w:val="auto"/>
                <w:kern w:val="0"/>
              </w:rPr>
              <w:t>接管标准</w:t>
            </w:r>
            <w:bookmarkEnd w:id="3"/>
            <w:r>
              <w:rPr>
                <w:rFonts w:hint="eastAsia"/>
                <w:color w:val="auto"/>
                <w:kern w:val="0"/>
              </w:rPr>
              <w:t>。怀远经开区污水处理厂</w:t>
            </w:r>
            <w:r>
              <w:rPr>
                <w:rFonts w:hint="eastAsia"/>
                <w:kern w:val="0"/>
                <w:lang w:val="en-US" w:eastAsia="zh-CN"/>
              </w:rPr>
              <w:t>(一期)</w:t>
            </w:r>
            <w:r>
              <w:rPr>
                <w:rFonts w:hint="eastAsia"/>
                <w:color w:val="auto"/>
                <w:kern w:val="0"/>
              </w:rPr>
              <w:t>尾水排放执行《城镇污水处理厂污染物排放标准》(GB</w:t>
            </w:r>
            <w:r>
              <w:rPr>
                <w:color w:val="auto"/>
                <w:kern w:val="0"/>
              </w:rPr>
              <w:t xml:space="preserve"> </w:t>
            </w:r>
            <w:r>
              <w:rPr>
                <w:rFonts w:hint="eastAsia"/>
                <w:color w:val="auto"/>
                <w:kern w:val="0"/>
              </w:rPr>
              <w:t>18918-2002)表1中的一级A标准。具体见表3</w:t>
            </w:r>
            <w:r>
              <w:rPr>
                <w:color w:val="auto"/>
                <w:kern w:val="0"/>
              </w:rPr>
              <w:t>-</w:t>
            </w:r>
            <w:r>
              <w:rPr>
                <w:rFonts w:hint="eastAsia"/>
                <w:color w:val="auto"/>
                <w:kern w:val="0"/>
                <w:lang w:val="en-US" w:eastAsia="zh-CN"/>
              </w:rPr>
              <w:t>9</w:t>
            </w:r>
            <w:r>
              <w:rPr>
                <w:rFonts w:hint="eastAsia"/>
                <w:color w:val="auto"/>
                <w:kern w:val="0"/>
              </w:rPr>
              <w:t>。</w:t>
            </w:r>
          </w:p>
          <w:p>
            <w:pPr>
              <w:pStyle w:val="21"/>
              <w:rPr>
                <w:color w:val="auto"/>
              </w:rPr>
            </w:pPr>
            <w:r>
              <w:rPr>
                <w:rFonts w:hint="eastAsia"/>
                <w:color w:val="auto"/>
              </w:rPr>
              <w:t>表3</w:t>
            </w:r>
            <w:r>
              <w:rPr>
                <w:rFonts w:hint="eastAsia"/>
                <w:color w:val="auto"/>
                <w:lang w:val="en-US" w:eastAsia="zh-CN"/>
              </w:rPr>
              <w:t>-9</w:t>
            </w:r>
            <w:r>
              <w:rPr>
                <w:color w:val="auto"/>
              </w:rPr>
              <w:t xml:space="preserve"> </w:t>
            </w:r>
            <w:r>
              <w:rPr>
                <w:rFonts w:hint="eastAsia"/>
                <w:color w:val="auto"/>
              </w:rPr>
              <w:t xml:space="preserve"> 废水排放执行标准 </w:t>
            </w:r>
            <w:r>
              <w:rPr>
                <w:color w:val="auto"/>
              </w:rPr>
              <w:t xml:space="preserve"> </w:t>
            </w:r>
            <w:r>
              <w:rPr>
                <w:rFonts w:hint="eastAsia"/>
                <w:color w:val="auto"/>
              </w:rPr>
              <w:t>单位：mg/L，pH除外</w:t>
            </w:r>
          </w:p>
          <w:tbl>
            <w:tblPr>
              <w:tblStyle w:val="1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9"/>
              <w:gridCol w:w="781"/>
              <w:gridCol w:w="936"/>
              <w:gridCol w:w="826"/>
              <w:gridCol w:w="917"/>
              <w:gridCol w:w="723"/>
              <w:gridCol w:w="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13" w:type="pct"/>
                </w:tcPr>
                <w:p>
                  <w:pPr>
                    <w:pStyle w:val="19"/>
                    <w:rPr>
                      <w:b/>
                      <w:bCs/>
                      <w:color w:val="auto"/>
                    </w:rPr>
                  </w:pPr>
                  <w:r>
                    <w:rPr>
                      <w:rFonts w:hint="eastAsia"/>
                      <w:b/>
                      <w:bCs/>
                      <w:color w:val="auto"/>
                    </w:rPr>
                    <w:t>标准名称</w:t>
                  </w:r>
                </w:p>
              </w:tc>
              <w:tc>
                <w:tcPr>
                  <w:tcW w:w="454" w:type="pct"/>
                </w:tcPr>
                <w:p>
                  <w:pPr>
                    <w:pStyle w:val="19"/>
                    <w:rPr>
                      <w:b/>
                      <w:bCs/>
                      <w:color w:val="auto"/>
                    </w:rPr>
                  </w:pPr>
                  <w:r>
                    <w:rPr>
                      <w:b/>
                      <w:bCs/>
                      <w:color w:val="auto"/>
                    </w:rPr>
                    <w:t>pH</w:t>
                  </w:r>
                </w:p>
              </w:tc>
              <w:tc>
                <w:tcPr>
                  <w:tcW w:w="544" w:type="pct"/>
                </w:tcPr>
                <w:p>
                  <w:pPr>
                    <w:pStyle w:val="19"/>
                    <w:rPr>
                      <w:b/>
                      <w:bCs/>
                      <w:color w:val="auto"/>
                    </w:rPr>
                  </w:pPr>
                  <w:r>
                    <w:rPr>
                      <w:b/>
                      <w:bCs/>
                      <w:color w:val="auto"/>
                    </w:rPr>
                    <w:t>COD</w:t>
                  </w:r>
                </w:p>
              </w:tc>
              <w:tc>
                <w:tcPr>
                  <w:tcW w:w="480" w:type="pct"/>
                </w:tcPr>
                <w:p>
                  <w:pPr>
                    <w:pStyle w:val="19"/>
                    <w:rPr>
                      <w:b/>
                      <w:bCs/>
                      <w:color w:val="auto"/>
                    </w:rPr>
                  </w:pPr>
                  <w:r>
                    <w:rPr>
                      <w:b/>
                      <w:bCs/>
                      <w:color w:val="auto"/>
                    </w:rPr>
                    <w:t>BOD</w:t>
                  </w:r>
                  <w:r>
                    <w:rPr>
                      <w:b/>
                      <w:bCs/>
                      <w:color w:val="auto"/>
                      <w:vertAlign w:val="subscript"/>
                    </w:rPr>
                    <w:t>5</w:t>
                  </w:r>
                </w:p>
              </w:tc>
              <w:tc>
                <w:tcPr>
                  <w:tcW w:w="533" w:type="pct"/>
                </w:tcPr>
                <w:p>
                  <w:pPr>
                    <w:pStyle w:val="19"/>
                    <w:rPr>
                      <w:b/>
                      <w:bCs/>
                      <w:color w:val="auto"/>
                    </w:rPr>
                  </w:pPr>
                  <w:r>
                    <w:rPr>
                      <w:b/>
                      <w:bCs/>
                      <w:color w:val="auto"/>
                    </w:rPr>
                    <w:t>NH</w:t>
                  </w:r>
                  <w:r>
                    <w:rPr>
                      <w:b/>
                      <w:bCs/>
                      <w:color w:val="auto"/>
                      <w:vertAlign w:val="subscript"/>
                    </w:rPr>
                    <w:t>3</w:t>
                  </w:r>
                  <w:r>
                    <w:rPr>
                      <w:b/>
                      <w:bCs/>
                      <w:color w:val="auto"/>
                    </w:rPr>
                    <w:t>-N</w:t>
                  </w:r>
                </w:p>
              </w:tc>
              <w:tc>
                <w:tcPr>
                  <w:tcW w:w="420" w:type="pct"/>
                </w:tcPr>
                <w:p>
                  <w:pPr>
                    <w:pStyle w:val="19"/>
                    <w:rPr>
                      <w:b/>
                      <w:bCs/>
                      <w:color w:val="auto"/>
                    </w:rPr>
                  </w:pPr>
                  <w:r>
                    <w:rPr>
                      <w:b/>
                      <w:bCs/>
                      <w:color w:val="auto"/>
                    </w:rPr>
                    <w:t>SS</w:t>
                  </w:r>
                </w:p>
              </w:tc>
              <w:tc>
                <w:tcPr>
                  <w:tcW w:w="352" w:type="pct"/>
                </w:tcPr>
                <w:p>
                  <w:pPr>
                    <w:pStyle w:val="19"/>
                    <w:rPr>
                      <w:b/>
                      <w:bCs/>
                      <w:color w:val="auto"/>
                    </w:rPr>
                  </w:pPr>
                  <w:r>
                    <w:rPr>
                      <w:rFonts w:hint="eastAsia"/>
                      <w:b/>
                      <w:bCs/>
                      <w:color w:val="auto"/>
                    </w:rPr>
                    <w:t>T</w:t>
                  </w:r>
                  <w:r>
                    <w:rPr>
                      <w:b/>
                      <w:bCs/>
                      <w:color w:val="auto"/>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13" w:type="pct"/>
                </w:tcPr>
                <w:p>
                  <w:pPr>
                    <w:pStyle w:val="19"/>
                    <w:rPr>
                      <w:color w:val="auto"/>
                    </w:rPr>
                  </w:pPr>
                  <w:r>
                    <w:rPr>
                      <w:color w:val="auto"/>
                    </w:rPr>
                    <w:t>怀远经开区污水处理厂</w:t>
                  </w:r>
                  <w:r>
                    <w:rPr>
                      <w:rFonts w:hint="eastAsia"/>
                      <w:kern w:val="0"/>
                      <w:lang w:val="en-US" w:eastAsia="zh-CN"/>
                    </w:rPr>
                    <w:t>(一期)</w:t>
                  </w:r>
                  <w:r>
                    <w:rPr>
                      <w:color w:val="auto"/>
                    </w:rPr>
                    <w:t>接管标准</w:t>
                  </w:r>
                </w:p>
              </w:tc>
              <w:tc>
                <w:tcPr>
                  <w:tcW w:w="454" w:type="pct"/>
                </w:tcPr>
                <w:p>
                  <w:pPr>
                    <w:pStyle w:val="19"/>
                    <w:rPr>
                      <w:color w:val="auto"/>
                    </w:rPr>
                  </w:pPr>
                  <w:r>
                    <w:rPr>
                      <w:color w:val="auto"/>
                    </w:rPr>
                    <w:t>6~9</w:t>
                  </w:r>
                </w:p>
              </w:tc>
              <w:tc>
                <w:tcPr>
                  <w:tcW w:w="544" w:type="pct"/>
                </w:tcPr>
                <w:p>
                  <w:pPr>
                    <w:pStyle w:val="19"/>
                    <w:rPr>
                      <w:color w:val="auto"/>
                    </w:rPr>
                  </w:pPr>
                  <w:r>
                    <w:rPr>
                      <w:color w:val="auto"/>
                    </w:rPr>
                    <w:t>≤</w:t>
                  </w:r>
                  <w:r>
                    <w:rPr>
                      <w:rFonts w:hint="eastAsia"/>
                      <w:color w:val="auto"/>
                    </w:rPr>
                    <w:t>5</w:t>
                  </w:r>
                  <w:r>
                    <w:rPr>
                      <w:color w:val="auto"/>
                    </w:rPr>
                    <w:t>00</w:t>
                  </w:r>
                </w:p>
              </w:tc>
              <w:tc>
                <w:tcPr>
                  <w:tcW w:w="480" w:type="pct"/>
                </w:tcPr>
                <w:p>
                  <w:pPr>
                    <w:pStyle w:val="19"/>
                    <w:rPr>
                      <w:color w:val="auto"/>
                    </w:rPr>
                  </w:pPr>
                  <w:r>
                    <w:rPr>
                      <w:color w:val="auto"/>
                    </w:rPr>
                    <w:t>≤</w:t>
                  </w:r>
                  <w:r>
                    <w:rPr>
                      <w:rFonts w:hint="eastAsia"/>
                      <w:color w:val="auto"/>
                    </w:rPr>
                    <w:t>300</w:t>
                  </w:r>
                </w:p>
              </w:tc>
              <w:tc>
                <w:tcPr>
                  <w:tcW w:w="533" w:type="pct"/>
                </w:tcPr>
                <w:p>
                  <w:pPr>
                    <w:pStyle w:val="19"/>
                    <w:rPr>
                      <w:color w:val="auto"/>
                    </w:rPr>
                  </w:pPr>
                  <w:r>
                    <w:rPr>
                      <w:color w:val="auto"/>
                    </w:rPr>
                    <w:t>≤30</w:t>
                  </w:r>
                </w:p>
              </w:tc>
              <w:tc>
                <w:tcPr>
                  <w:tcW w:w="420" w:type="pct"/>
                </w:tcPr>
                <w:p>
                  <w:pPr>
                    <w:pStyle w:val="19"/>
                    <w:rPr>
                      <w:color w:val="auto"/>
                    </w:rPr>
                  </w:pPr>
                  <w:r>
                    <w:rPr>
                      <w:color w:val="auto"/>
                    </w:rPr>
                    <w:t>≤</w:t>
                  </w:r>
                  <w:r>
                    <w:rPr>
                      <w:rFonts w:hint="eastAsia"/>
                      <w:color w:val="auto"/>
                    </w:rPr>
                    <w:t>400</w:t>
                  </w:r>
                </w:p>
              </w:tc>
              <w:tc>
                <w:tcPr>
                  <w:tcW w:w="352" w:type="pct"/>
                </w:tcPr>
                <w:p>
                  <w:pPr>
                    <w:pStyle w:val="19"/>
                    <w:rPr>
                      <w:color w:val="auto"/>
                    </w:rPr>
                  </w:pPr>
                  <w:r>
                    <w:rPr>
                      <w:color w:val="auto"/>
                    </w:rPr>
                    <w:t>≤</w:t>
                  </w:r>
                  <w:r>
                    <w:rPr>
                      <w:rFonts w:hint="eastAsia"/>
                      <w:color w:val="auto"/>
                    </w:rPr>
                    <w:t>7</w:t>
                  </w: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213" w:type="pct"/>
                </w:tcPr>
                <w:p>
                  <w:pPr>
                    <w:pStyle w:val="19"/>
                    <w:rPr>
                      <w:color w:val="auto"/>
                    </w:rPr>
                  </w:pPr>
                  <w:r>
                    <w:rPr>
                      <w:rFonts w:hint="eastAsia"/>
                      <w:color w:val="auto"/>
                    </w:rPr>
                    <w:t>GB</w:t>
                  </w:r>
                  <w:r>
                    <w:rPr>
                      <w:color w:val="auto"/>
                    </w:rPr>
                    <w:t xml:space="preserve"> </w:t>
                  </w:r>
                  <w:r>
                    <w:rPr>
                      <w:rFonts w:hint="eastAsia"/>
                      <w:color w:val="auto"/>
                    </w:rPr>
                    <w:t>18918-2002</w:t>
                  </w:r>
                  <w:r>
                    <w:rPr>
                      <w:color w:val="auto"/>
                    </w:rPr>
                    <w:t>中一级A标准</w:t>
                  </w:r>
                </w:p>
              </w:tc>
              <w:tc>
                <w:tcPr>
                  <w:tcW w:w="454" w:type="pct"/>
                </w:tcPr>
                <w:p>
                  <w:pPr>
                    <w:pStyle w:val="19"/>
                    <w:rPr>
                      <w:color w:val="auto"/>
                    </w:rPr>
                  </w:pPr>
                  <w:r>
                    <w:rPr>
                      <w:color w:val="auto"/>
                    </w:rPr>
                    <w:t>6</w:t>
                  </w:r>
                  <w:r>
                    <w:rPr>
                      <w:rFonts w:hint="eastAsia"/>
                      <w:color w:val="auto"/>
                      <w:lang w:eastAsia="zh-CN"/>
                    </w:rPr>
                    <w:t>~</w:t>
                  </w:r>
                  <w:r>
                    <w:rPr>
                      <w:color w:val="auto"/>
                    </w:rPr>
                    <w:t>9</w:t>
                  </w:r>
                </w:p>
              </w:tc>
              <w:tc>
                <w:tcPr>
                  <w:tcW w:w="544" w:type="pct"/>
                </w:tcPr>
                <w:p>
                  <w:pPr>
                    <w:pStyle w:val="19"/>
                    <w:rPr>
                      <w:color w:val="auto"/>
                    </w:rPr>
                  </w:pPr>
                  <w:r>
                    <w:rPr>
                      <w:color w:val="auto"/>
                    </w:rPr>
                    <w:t>≤50</w:t>
                  </w:r>
                </w:p>
              </w:tc>
              <w:tc>
                <w:tcPr>
                  <w:tcW w:w="480" w:type="pct"/>
                </w:tcPr>
                <w:p>
                  <w:pPr>
                    <w:pStyle w:val="19"/>
                    <w:rPr>
                      <w:color w:val="auto"/>
                    </w:rPr>
                  </w:pPr>
                  <w:r>
                    <w:rPr>
                      <w:color w:val="auto"/>
                    </w:rPr>
                    <w:t>≤10</w:t>
                  </w:r>
                </w:p>
              </w:tc>
              <w:tc>
                <w:tcPr>
                  <w:tcW w:w="533" w:type="pct"/>
                </w:tcPr>
                <w:p>
                  <w:pPr>
                    <w:pStyle w:val="19"/>
                    <w:rPr>
                      <w:color w:val="auto"/>
                    </w:rPr>
                  </w:pPr>
                  <w:r>
                    <w:rPr>
                      <w:color w:val="auto"/>
                    </w:rPr>
                    <w:t>≤5</w:t>
                  </w:r>
                </w:p>
              </w:tc>
              <w:tc>
                <w:tcPr>
                  <w:tcW w:w="420" w:type="pct"/>
                </w:tcPr>
                <w:p>
                  <w:pPr>
                    <w:pStyle w:val="19"/>
                    <w:rPr>
                      <w:color w:val="auto"/>
                    </w:rPr>
                  </w:pPr>
                  <w:r>
                    <w:rPr>
                      <w:color w:val="auto"/>
                    </w:rPr>
                    <w:t>≤10</w:t>
                  </w:r>
                </w:p>
              </w:tc>
              <w:tc>
                <w:tcPr>
                  <w:tcW w:w="352" w:type="pct"/>
                </w:tcPr>
                <w:p>
                  <w:pPr>
                    <w:pStyle w:val="19"/>
                    <w:rPr>
                      <w:color w:val="auto"/>
                    </w:rPr>
                  </w:pPr>
                  <w:r>
                    <w:rPr>
                      <w:color w:val="auto"/>
                    </w:rPr>
                    <w:t>≤15</w:t>
                  </w:r>
                </w:p>
              </w:tc>
            </w:tr>
          </w:tbl>
          <w:p>
            <w:pPr>
              <w:widowControl/>
              <w:spacing w:line="480" w:lineRule="exact"/>
              <w:ind w:left="0" w:leftChars="0" w:firstLine="0" w:firstLineChars="0"/>
              <w:rPr>
                <w:b/>
                <w:bCs/>
                <w:color w:val="auto"/>
                <w:kern w:val="0"/>
              </w:rPr>
            </w:pPr>
            <w:r>
              <w:rPr>
                <w:rFonts w:hint="eastAsia"/>
                <w:b/>
                <w:bCs/>
                <w:color w:val="auto"/>
                <w:kern w:val="0"/>
              </w:rPr>
              <w:t>3、噪声</w:t>
            </w:r>
          </w:p>
          <w:p>
            <w:pPr>
              <w:spacing w:line="480" w:lineRule="exact"/>
              <w:rPr>
                <w:color w:val="auto"/>
              </w:rPr>
            </w:pPr>
            <w:r>
              <w:rPr>
                <w:rFonts w:hint="eastAsia"/>
                <w:color w:val="auto"/>
              </w:rPr>
              <w:t>施工期噪声执行《建筑施工场界环境噪声排放标准》(</w:t>
            </w:r>
            <w:r>
              <w:rPr>
                <w:color w:val="auto"/>
              </w:rPr>
              <w:t>GB 12523-2011</w:t>
            </w:r>
            <w:r>
              <w:rPr>
                <w:rFonts w:hint="eastAsia"/>
                <w:color w:val="auto"/>
              </w:rPr>
              <w:t>)</w:t>
            </w:r>
            <w:r>
              <w:rPr>
                <w:color w:val="auto"/>
              </w:rPr>
              <w:t>相关规定；</w:t>
            </w:r>
            <w:r>
              <w:rPr>
                <w:rFonts w:hint="eastAsia"/>
                <w:color w:val="auto"/>
              </w:rPr>
              <w:t>营运期厂界</w:t>
            </w:r>
            <w:r>
              <w:rPr>
                <w:color w:val="auto"/>
              </w:rPr>
              <w:t>噪声执行《工业企业厂界环境噪声排放标准》</w:t>
            </w:r>
            <w:r>
              <w:rPr>
                <w:rFonts w:hint="eastAsia"/>
                <w:color w:val="auto"/>
              </w:rPr>
              <w:t>(</w:t>
            </w:r>
            <w:r>
              <w:rPr>
                <w:color w:val="auto"/>
              </w:rPr>
              <w:t>GB 12348-2008</w:t>
            </w:r>
            <w:r>
              <w:rPr>
                <w:rFonts w:hint="eastAsia"/>
                <w:color w:val="auto"/>
              </w:rPr>
              <w:t>)</w:t>
            </w:r>
            <w:r>
              <w:rPr>
                <w:color w:val="auto"/>
              </w:rPr>
              <w:t>中3类标准。</w:t>
            </w:r>
            <w:r>
              <w:rPr>
                <w:rFonts w:hint="eastAsia"/>
                <w:color w:val="auto"/>
              </w:rPr>
              <w:t>具体见表</w:t>
            </w:r>
            <w:r>
              <w:rPr>
                <w:color w:val="auto"/>
              </w:rPr>
              <w:t>3-</w:t>
            </w:r>
            <w:r>
              <w:rPr>
                <w:rFonts w:hint="eastAsia"/>
                <w:color w:val="auto"/>
                <w:lang w:val="en-US" w:eastAsia="zh-CN"/>
              </w:rPr>
              <w:t>10</w:t>
            </w:r>
            <w:r>
              <w:rPr>
                <w:rFonts w:hint="eastAsia"/>
                <w:color w:val="auto"/>
              </w:rPr>
              <w:t>所示。</w:t>
            </w:r>
          </w:p>
          <w:p>
            <w:pPr>
              <w:spacing w:before="120" w:line="360" w:lineRule="exact"/>
              <w:ind w:firstLine="0" w:firstLineChars="0"/>
              <w:jc w:val="center"/>
              <w:rPr>
                <w:b/>
                <w:color w:val="auto"/>
                <w:sz w:val="21"/>
              </w:rPr>
            </w:pPr>
            <w:r>
              <w:rPr>
                <w:b/>
                <w:color w:val="auto"/>
                <w:sz w:val="21"/>
                <w:szCs w:val="52"/>
              </w:rPr>
              <w:t>表3-</w:t>
            </w:r>
            <w:r>
              <w:rPr>
                <w:rFonts w:hint="eastAsia"/>
                <w:b/>
                <w:color w:val="auto"/>
                <w:sz w:val="21"/>
                <w:szCs w:val="52"/>
                <w:lang w:val="en-US" w:eastAsia="zh-CN"/>
              </w:rPr>
              <w:t>10</w:t>
            </w:r>
            <w:r>
              <w:rPr>
                <w:b/>
                <w:color w:val="auto"/>
                <w:sz w:val="21"/>
                <w:szCs w:val="52"/>
              </w:rPr>
              <w:t xml:space="preserve"> </w:t>
            </w:r>
            <w:r>
              <w:rPr>
                <w:rFonts w:hint="eastAsia"/>
                <w:b/>
                <w:color w:val="auto"/>
                <w:sz w:val="21"/>
                <w:szCs w:val="52"/>
              </w:rPr>
              <w:t xml:space="preserve"> 噪声排放标准限值 </w:t>
            </w:r>
            <w:r>
              <w:rPr>
                <w:b/>
                <w:color w:val="auto"/>
                <w:sz w:val="21"/>
                <w:szCs w:val="52"/>
              </w:rPr>
              <w:t xml:space="preserve"> </w:t>
            </w:r>
            <w:r>
              <w:rPr>
                <w:rFonts w:hint="eastAsia"/>
                <w:b/>
                <w:color w:val="auto"/>
                <w:sz w:val="21"/>
                <w:szCs w:val="52"/>
              </w:rPr>
              <w:t>单位：dB(</w:t>
            </w:r>
            <w:r>
              <w:rPr>
                <w:b/>
                <w:color w:val="auto"/>
                <w:sz w:val="21"/>
                <w:szCs w:val="52"/>
              </w:rPr>
              <w:t>A</w:t>
            </w:r>
            <w:r>
              <w:rPr>
                <w:rFonts w:hint="eastAsia"/>
                <w:b/>
                <w:color w:val="auto"/>
                <w:sz w:val="21"/>
                <w:szCs w:val="52"/>
              </w:rPr>
              <w:t>)</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6"/>
              <w:gridCol w:w="3286"/>
              <w:gridCol w:w="1900"/>
              <w:gridCol w:w="1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restart"/>
                  <w:vAlign w:val="center"/>
                </w:tcPr>
                <w:p>
                  <w:pPr>
                    <w:spacing w:line="360" w:lineRule="exact"/>
                    <w:ind w:firstLine="0" w:firstLineChars="0"/>
                    <w:jc w:val="left"/>
                    <w:rPr>
                      <w:b/>
                      <w:bCs/>
                      <w:color w:val="auto"/>
                      <w:kern w:val="0"/>
                      <w:sz w:val="21"/>
                      <w:szCs w:val="21"/>
                    </w:rPr>
                  </w:pPr>
                  <w:r>
                    <w:rPr>
                      <w:rFonts w:hint="eastAsia"/>
                      <w:b/>
                      <w:bCs/>
                      <w:color w:val="auto"/>
                      <w:kern w:val="0"/>
                      <w:sz w:val="21"/>
                      <w:szCs w:val="21"/>
                    </w:rPr>
                    <w:t>时段</w:t>
                  </w:r>
                </w:p>
              </w:tc>
              <w:tc>
                <w:tcPr>
                  <w:tcW w:w="1910" w:type="pct"/>
                  <w:vMerge w:val="restart"/>
                  <w:vAlign w:val="center"/>
                </w:tcPr>
                <w:p>
                  <w:pPr>
                    <w:spacing w:line="360" w:lineRule="exact"/>
                    <w:ind w:firstLine="0" w:firstLineChars="0"/>
                    <w:jc w:val="left"/>
                    <w:rPr>
                      <w:b/>
                      <w:bCs/>
                      <w:color w:val="auto"/>
                      <w:kern w:val="0"/>
                      <w:sz w:val="21"/>
                      <w:szCs w:val="21"/>
                    </w:rPr>
                  </w:pPr>
                  <w:r>
                    <w:rPr>
                      <w:rFonts w:hint="eastAsia"/>
                      <w:b/>
                      <w:bCs/>
                      <w:color w:val="auto"/>
                      <w:kern w:val="0"/>
                      <w:sz w:val="21"/>
                      <w:szCs w:val="21"/>
                    </w:rPr>
                    <w:t>执行标准</w:t>
                  </w:r>
                </w:p>
              </w:tc>
              <w:tc>
                <w:tcPr>
                  <w:tcW w:w="2209" w:type="pct"/>
                  <w:gridSpan w:val="2"/>
                  <w:vAlign w:val="center"/>
                </w:tcPr>
                <w:p>
                  <w:pPr>
                    <w:spacing w:line="360" w:lineRule="exact"/>
                    <w:ind w:firstLine="0" w:firstLineChars="0"/>
                    <w:jc w:val="left"/>
                    <w:rPr>
                      <w:b/>
                      <w:bCs/>
                      <w:color w:val="auto"/>
                      <w:kern w:val="0"/>
                      <w:sz w:val="21"/>
                      <w:szCs w:val="21"/>
                    </w:rPr>
                  </w:pPr>
                  <w:r>
                    <w:rPr>
                      <w:rFonts w:hint="eastAsia"/>
                      <w:b/>
                      <w:bCs/>
                      <w:color w:val="auto"/>
                      <w:kern w:val="0"/>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Merge w:val="continue"/>
                  <w:vAlign w:val="center"/>
                </w:tcPr>
                <w:p>
                  <w:pPr>
                    <w:spacing w:line="360" w:lineRule="exact"/>
                    <w:ind w:firstLine="0" w:firstLineChars="0"/>
                    <w:jc w:val="left"/>
                    <w:rPr>
                      <w:b/>
                      <w:bCs/>
                      <w:color w:val="auto"/>
                      <w:kern w:val="0"/>
                      <w:sz w:val="21"/>
                      <w:szCs w:val="21"/>
                    </w:rPr>
                  </w:pPr>
                </w:p>
              </w:tc>
              <w:tc>
                <w:tcPr>
                  <w:tcW w:w="1910" w:type="pct"/>
                  <w:vMerge w:val="continue"/>
                  <w:vAlign w:val="center"/>
                </w:tcPr>
                <w:p>
                  <w:pPr>
                    <w:spacing w:line="360" w:lineRule="exact"/>
                    <w:ind w:firstLine="0" w:firstLineChars="0"/>
                    <w:jc w:val="left"/>
                    <w:rPr>
                      <w:b/>
                      <w:bCs/>
                      <w:color w:val="auto"/>
                      <w:kern w:val="0"/>
                      <w:sz w:val="21"/>
                      <w:szCs w:val="21"/>
                    </w:rPr>
                  </w:pPr>
                </w:p>
              </w:tc>
              <w:tc>
                <w:tcPr>
                  <w:tcW w:w="1104" w:type="pct"/>
                  <w:vAlign w:val="center"/>
                </w:tcPr>
                <w:p>
                  <w:pPr>
                    <w:spacing w:line="360" w:lineRule="exact"/>
                    <w:ind w:firstLine="0" w:firstLineChars="0"/>
                    <w:jc w:val="left"/>
                    <w:rPr>
                      <w:b/>
                      <w:bCs/>
                      <w:color w:val="auto"/>
                      <w:kern w:val="0"/>
                      <w:sz w:val="21"/>
                      <w:szCs w:val="21"/>
                    </w:rPr>
                  </w:pPr>
                  <w:r>
                    <w:rPr>
                      <w:rFonts w:hint="eastAsia"/>
                      <w:b/>
                      <w:bCs/>
                      <w:color w:val="auto"/>
                      <w:kern w:val="0"/>
                      <w:sz w:val="21"/>
                      <w:szCs w:val="21"/>
                    </w:rPr>
                    <w:t>昼间</w:t>
                  </w:r>
                </w:p>
              </w:tc>
              <w:tc>
                <w:tcPr>
                  <w:tcW w:w="1104" w:type="pct"/>
                  <w:vAlign w:val="center"/>
                </w:tcPr>
                <w:p>
                  <w:pPr>
                    <w:spacing w:line="360" w:lineRule="exact"/>
                    <w:ind w:firstLine="0" w:firstLineChars="0"/>
                    <w:jc w:val="left"/>
                    <w:rPr>
                      <w:b/>
                      <w:bCs/>
                      <w:color w:val="auto"/>
                      <w:kern w:val="0"/>
                      <w:sz w:val="21"/>
                      <w:szCs w:val="21"/>
                    </w:rPr>
                  </w:pPr>
                  <w:r>
                    <w:rPr>
                      <w:rFonts w:hint="eastAsia"/>
                      <w:b/>
                      <w:bCs/>
                      <w:color w:val="auto"/>
                      <w:kern w:val="0"/>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Align w:val="center"/>
                </w:tcPr>
                <w:p>
                  <w:pPr>
                    <w:spacing w:line="360" w:lineRule="exact"/>
                    <w:ind w:firstLine="0" w:firstLineChars="0"/>
                    <w:jc w:val="left"/>
                    <w:rPr>
                      <w:color w:val="auto"/>
                      <w:kern w:val="0"/>
                      <w:sz w:val="21"/>
                      <w:szCs w:val="21"/>
                    </w:rPr>
                  </w:pPr>
                  <w:r>
                    <w:rPr>
                      <w:rFonts w:hint="eastAsia"/>
                      <w:color w:val="auto"/>
                      <w:kern w:val="0"/>
                      <w:sz w:val="21"/>
                      <w:szCs w:val="21"/>
                    </w:rPr>
                    <w:t>施工期</w:t>
                  </w:r>
                </w:p>
              </w:tc>
              <w:tc>
                <w:tcPr>
                  <w:tcW w:w="1910" w:type="pct"/>
                  <w:vAlign w:val="center"/>
                </w:tcPr>
                <w:p>
                  <w:pPr>
                    <w:spacing w:line="360" w:lineRule="exact"/>
                    <w:ind w:firstLine="0" w:firstLineChars="0"/>
                    <w:jc w:val="left"/>
                    <w:rPr>
                      <w:color w:val="auto"/>
                      <w:kern w:val="0"/>
                      <w:sz w:val="21"/>
                      <w:szCs w:val="21"/>
                    </w:rPr>
                  </w:pPr>
                  <w:r>
                    <w:rPr>
                      <w:color w:val="auto"/>
                      <w:kern w:val="0"/>
                      <w:sz w:val="21"/>
                      <w:szCs w:val="21"/>
                    </w:rPr>
                    <w:t>GB 12523-2011</w:t>
                  </w:r>
                </w:p>
              </w:tc>
              <w:tc>
                <w:tcPr>
                  <w:tcW w:w="1104" w:type="pct"/>
                  <w:vAlign w:val="center"/>
                </w:tcPr>
                <w:p>
                  <w:pPr>
                    <w:spacing w:line="360" w:lineRule="exact"/>
                    <w:ind w:firstLine="0" w:firstLineChars="0"/>
                    <w:jc w:val="left"/>
                    <w:rPr>
                      <w:color w:val="auto"/>
                      <w:kern w:val="0"/>
                      <w:sz w:val="21"/>
                      <w:szCs w:val="21"/>
                    </w:rPr>
                  </w:pPr>
                  <w:r>
                    <w:rPr>
                      <w:rFonts w:hint="eastAsia"/>
                      <w:color w:val="auto"/>
                      <w:kern w:val="0"/>
                      <w:sz w:val="21"/>
                      <w:szCs w:val="21"/>
                    </w:rPr>
                    <w:t>70</w:t>
                  </w:r>
                </w:p>
              </w:tc>
              <w:tc>
                <w:tcPr>
                  <w:tcW w:w="1104" w:type="pct"/>
                  <w:vAlign w:val="center"/>
                </w:tcPr>
                <w:p>
                  <w:pPr>
                    <w:spacing w:line="360" w:lineRule="exact"/>
                    <w:ind w:firstLine="0" w:firstLineChars="0"/>
                    <w:jc w:val="left"/>
                    <w:rPr>
                      <w:color w:val="auto"/>
                      <w:kern w:val="0"/>
                      <w:sz w:val="21"/>
                      <w:szCs w:val="21"/>
                    </w:rPr>
                  </w:pPr>
                  <w:r>
                    <w:rPr>
                      <w:rFonts w:hint="eastAsia"/>
                      <w:color w:val="auto"/>
                      <w:kern w:val="0"/>
                      <w:sz w:val="21"/>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1" w:type="pct"/>
                  <w:vAlign w:val="center"/>
                </w:tcPr>
                <w:p>
                  <w:pPr>
                    <w:spacing w:line="360" w:lineRule="exact"/>
                    <w:ind w:firstLine="0" w:firstLineChars="0"/>
                    <w:jc w:val="left"/>
                    <w:rPr>
                      <w:color w:val="auto"/>
                      <w:kern w:val="0"/>
                      <w:sz w:val="21"/>
                      <w:szCs w:val="21"/>
                    </w:rPr>
                  </w:pPr>
                  <w:r>
                    <w:rPr>
                      <w:rFonts w:hint="eastAsia"/>
                      <w:color w:val="auto"/>
                      <w:kern w:val="0"/>
                      <w:sz w:val="21"/>
                      <w:szCs w:val="21"/>
                    </w:rPr>
                    <w:t>营运期</w:t>
                  </w:r>
                </w:p>
              </w:tc>
              <w:tc>
                <w:tcPr>
                  <w:tcW w:w="1910" w:type="pct"/>
                  <w:vAlign w:val="center"/>
                </w:tcPr>
                <w:p>
                  <w:pPr>
                    <w:spacing w:line="360" w:lineRule="exact"/>
                    <w:ind w:firstLine="0" w:firstLineChars="0"/>
                    <w:jc w:val="left"/>
                    <w:rPr>
                      <w:color w:val="auto"/>
                      <w:kern w:val="0"/>
                      <w:sz w:val="21"/>
                      <w:szCs w:val="21"/>
                    </w:rPr>
                  </w:pPr>
                  <w:r>
                    <w:rPr>
                      <w:color w:val="auto"/>
                      <w:kern w:val="0"/>
                      <w:sz w:val="21"/>
                      <w:szCs w:val="21"/>
                    </w:rPr>
                    <w:t>GB 12348-2008</w:t>
                  </w:r>
                  <w:r>
                    <w:rPr>
                      <w:rFonts w:hint="eastAsia"/>
                      <w:color w:val="auto"/>
                      <w:kern w:val="0"/>
                      <w:sz w:val="21"/>
                      <w:szCs w:val="21"/>
                    </w:rPr>
                    <w:t>中</w:t>
                  </w:r>
                  <w:r>
                    <w:rPr>
                      <w:color w:val="auto"/>
                      <w:kern w:val="0"/>
                      <w:sz w:val="21"/>
                      <w:szCs w:val="21"/>
                    </w:rPr>
                    <w:t>3</w:t>
                  </w:r>
                  <w:r>
                    <w:rPr>
                      <w:rFonts w:hint="eastAsia"/>
                      <w:color w:val="auto"/>
                      <w:kern w:val="0"/>
                      <w:sz w:val="21"/>
                      <w:szCs w:val="21"/>
                    </w:rPr>
                    <w:t>类标准</w:t>
                  </w:r>
                </w:p>
              </w:tc>
              <w:tc>
                <w:tcPr>
                  <w:tcW w:w="1104" w:type="pct"/>
                  <w:vAlign w:val="center"/>
                </w:tcPr>
                <w:p>
                  <w:pPr>
                    <w:spacing w:line="360" w:lineRule="exact"/>
                    <w:ind w:firstLine="0" w:firstLineChars="0"/>
                    <w:jc w:val="left"/>
                    <w:rPr>
                      <w:color w:val="auto"/>
                      <w:kern w:val="0"/>
                      <w:sz w:val="21"/>
                      <w:szCs w:val="21"/>
                    </w:rPr>
                  </w:pPr>
                  <w:r>
                    <w:rPr>
                      <w:rFonts w:hint="eastAsia"/>
                      <w:color w:val="auto"/>
                      <w:kern w:val="0"/>
                      <w:sz w:val="21"/>
                      <w:szCs w:val="21"/>
                    </w:rPr>
                    <w:t>65</w:t>
                  </w:r>
                </w:p>
              </w:tc>
              <w:tc>
                <w:tcPr>
                  <w:tcW w:w="1104" w:type="pct"/>
                  <w:vAlign w:val="center"/>
                </w:tcPr>
                <w:p>
                  <w:pPr>
                    <w:spacing w:line="360" w:lineRule="exact"/>
                    <w:ind w:firstLine="0" w:firstLineChars="0"/>
                    <w:jc w:val="left"/>
                    <w:rPr>
                      <w:color w:val="auto"/>
                      <w:kern w:val="0"/>
                      <w:sz w:val="21"/>
                      <w:szCs w:val="21"/>
                    </w:rPr>
                  </w:pPr>
                  <w:r>
                    <w:rPr>
                      <w:rFonts w:hint="eastAsia"/>
                      <w:color w:val="auto"/>
                      <w:kern w:val="0"/>
                      <w:sz w:val="21"/>
                      <w:szCs w:val="21"/>
                    </w:rPr>
                    <w:t>55</w:t>
                  </w:r>
                </w:p>
              </w:tc>
            </w:tr>
          </w:tbl>
          <w:p>
            <w:pPr>
              <w:widowControl/>
              <w:spacing w:line="480" w:lineRule="exact"/>
              <w:ind w:left="0" w:leftChars="0" w:firstLine="0" w:firstLineChars="0"/>
              <w:rPr>
                <w:rFonts w:hint="eastAsia"/>
                <w:b/>
                <w:bCs/>
                <w:color w:val="auto"/>
                <w:kern w:val="0"/>
              </w:rPr>
            </w:pPr>
          </w:p>
          <w:p>
            <w:pPr>
              <w:widowControl/>
              <w:spacing w:line="480" w:lineRule="exact"/>
              <w:ind w:left="0" w:leftChars="0" w:firstLine="0" w:firstLineChars="0"/>
              <w:rPr>
                <w:rFonts w:hint="eastAsia"/>
                <w:b/>
                <w:bCs/>
                <w:color w:val="auto"/>
                <w:kern w:val="0"/>
              </w:rPr>
            </w:pPr>
            <w:r>
              <w:rPr>
                <w:rFonts w:hint="eastAsia"/>
                <w:b/>
                <w:bCs/>
                <w:color w:val="auto"/>
                <w:kern w:val="0"/>
              </w:rPr>
              <w:t>4、固废</w:t>
            </w:r>
          </w:p>
          <w:p>
            <w:pPr>
              <w:widowControl/>
              <w:spacing w:line="480" w:lineRule="exact"/>
              <w:rPr>
                <w:color w:val="auto"/>
                <w:kern w:val="0"/>
              </w:rPr>
            </w:pPr>
            <w:r>
              <w:rPr>
                <w:rFonts w:hint="eastAsia"/>
                <w:color w:val="auto"/>
                <w:kern w:val="0"/>
              </w:rPr>
              <w:t>一般工业固体废物暂存和处置参照执行《一般工业固体废物贮存和填埋污染控制标准》(GB 18599-2020)要求；危险废物贮存应满足《危险废物贮存污染控制标准》(GB 18597-2023)要求，并定期交有资质单位处置。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246" w:type="pct"/>
          </w:tcPr>
          <w:p>
            <w:pPr>
              <w:widowControl/>
              <w:spacing w:line="480" w:lineRule="exact"/>
              <w:ind w:firstLine="0" w:firstLineChars="0"/>
              <w:jc w:val="center"/>
              <w:rPr>
                <w:b/>
                <w:bCs/>
                <w:kern w:val="0"/>
              </w:rPr>
            </w:pPr>
            <w:r>
              <w:rPr>
                <w:b/>
                <w:bCs/>
                <w:kern w:val="0"/>
              </w:rPr>
              <w:t>总量</w:t>
            </w:r>
          </w:p>
          <w:p>
            <w:pPr>
              <w:widowControl/>
              <w:spacing w:line="480" w:lineRule="exact"/>
              <w:ind w:firstLine="0" w:firstLineChars="0"/>
              <w:jc w:val="center"/>
              <w:rPr>
                <w:b/>
                <w:bCs/>
                <w:kern w:val="0"/>
              </w:rPr>
            </w:pPr>
            <w:r>
              <w:rPr>
                <w:b/>
                <w:bCs/>
                <w:kern w:val="0"/>
              </w:rPr>
              <w:t>控制</w:t>
            </w:r>
          </w:p>
          <w:p>
            <w:pPr>
              <w:widowControl/>
              <w:spacing w:line="480" w:lineRule="exact"/>
              <w:ind w:firstLine="0" w:firstLineChars="0"/>
              <w:jc w:val="center"/>
              <w:rPr>
                <w:b/>
                <w:bCs/>
                <w:kern w:val="0"/>
              </w:rPr>
            </w:pPr>
            <w:r>
              <w:rPr>
                <w:b/>
                <w:bCs/>
                <w:kern w:val="0"/>
              </w:rPr>
              <w:t>指标</w:t>
            </w:r>
          </w:p>
        </w:tc>
        <w:tc>
          <w:tcPr>
            <w:tcW w:w="4753" w:type="pct"/>
          </w:tcPr>
          <w:p>
            <w:pPr>
              <w:widowControl/>
              <w:spacing w:line="480" w:lineRule="exact"/>
              <w:ind w:left="0" w:leftChars="0" w:firstLine="0" w:firstLineChars="0"/>
              <w:rPr>
                <w:b/>
                <w:bCs/>
                <w:color w:val="auto"/>
                <w:kern w:val="0"/>
              </w:rPr>
            </w:pPr>
            <w:r>
              <w:rPr>
                <w:rFonts w:hint="eastAsia"/>
                <w:b/>
                <w:bCs/>
                <w:color w:val="auto"/>
                <w:kern w:val="0"/>
              </w:rPr>
              <w:t>1、废气</w:t>
            </w:r>
          </w:p>
          <w:p>
            <w:pPr>
              <w:bidi w:val="0"/>
              <w:rPr>
                <w:bCs/>
                <w:color w:val="auto"/>
              </w:rPr>
            </w:pPr>
            <w:r>
              <w:rPr>
                <w:color w:val="auto"/>
              </w:rPr>
              <w:t>根据国家</w:t>
            </w:r>
            <w:r>
              <w:rPr>
                <w:rFonts w:hint="eastAsia"/>
                <w:color w:val="auto"/>
              </w:rPr>
              <w:t>“十四五”</w:t>
            </w:r>
            <w:r>
              <w:rPr>
                <w:color w:val="auto"/>
              </w:rPr>
              <w:t>期间总量控制和</w:t>
            </w:r>
            <w:r>
              <w:rPr>
                <w:rFonts w:hint="eastAsia"/>
                <w:color w:val="auto"/>
                <w:lang w:eastAsia="zh-CN"/>
              </w:rPr>
              <w:t>《</w:t>
            </w:r>
            <w:r>
              <w:rPr>
                <w:color w:val="auto"/>
              </w:rPr>
              <w:t>安徽省环保厅关于进一步加强建设项目新增大气主要污染物总量指标管理工作的通知</w:t>
            </w:r>
            <w:r>
              <w:rPr>
                <w:rFonts w:hint="eastAsia"/>
                <w:color w:val="auto"/>
                <w:lang w:eastAsia="zh-CN"/>
              </w:rPr>
              <w:t>》(</w:t>
            </w:r>
            <w:r>
              <w:rPr>
                <w:color w:val="auto"/>
              </w:rPr>
              <w:t>皖环发</w:t>
            </w:r>
            <w:r>
              <w:rPr>
                <w:rFonts w:hint="eastAsia"/>
                <w:color w:val="auto"/>
                <w:lang w:val="en-US" w:eastAsia="zh-CN"/>
              </w:rPr>
              <w:t>[</w:t>
            </w:r>
            <w:r>
              <w:rPr>
                <w:color w:val="auto"/>
              </w:rPr>
              <w:t>2017</w:t>
            </w:r>
            <w:r>
              <w:rPr>
                <w:rFonts w:hint="eastAsia"/>
                <w:color w:val="auto"/>
                <w:lang w:val="en-US" w:eastAsia="zh-CN"/>
              </w:rPr>
              <w:t>]</w:t>
            </w:r>
            <w:r>
              <w:rPr>
                <w:color w:val="auto"/>
              </w:rPr>
              <w:t>19号</w:t>
            </w:r>
            <w:r>
              <w:rPr>
                <w:rFonts w:hint="eastAsia"/>
                <w:color w:val="auto"/>
                <w:lang w:eastAsia="zh-CN"/>
              </w:rPr>
              <w:t>)</w:t>
            </w:r>
            <w:r>
              <w:rPr>
                <w:color w:val="auto"/>
              </w:rPr>
              <w:t>的有关规定，化学需氧量</w:t>
            </w:r>
            <w:r>
              <w:rPr>
                <w:rFonts w:hint="eastAsia"/>
                <w:color w:val="auto"/>
                <w:lang w:eastAsia="zh-CN"/>
              </w:rPr>
              <w:t>(</w:t>
            </w:r>
            <w:r>
              <w:rPr>
                <w:color w:val="auto"/>
              </w:rPr>
              <w:t>COD</w:t>
            </w:r>
            <w:r>
              <w:rPr>
                <w:rFonts w:hint="eastAsia"/>
                <w:color w:val="auto"/>
                <w:lang w:eastAsia="zh-CN"/>
              </w:rPr>
              <w:t>)</w:t>
            </w:r>
            <w:r>
              <w:rPr>
                <w:color w:val="auto"/>
              </w:rPr>
              <w:t>、氨氮</w:t>
            </w:r>
            <w:r>
              <w:rPr>
                <w:rFonts w:hint="eastAsia"/>
                <w:color w:val="auto"/>
                <w:lang w:eastAsia="zh-CN"/>
              </w:rPr>
              <w:t>(</w:t>
            </w:r>
            <w:r>
              <w:rPr>
                <w:color w:val="auto"/>
              </w:rPr>
              <w:t>NH</w:t>
            </w:r>
            <w:r>
              <w:rPr>
                <w:color w:val="auto"/>
                <w:vertAlign w:val="subscript"/>
              </w:rPr>
              <w:t>3</w:t>
            </w:r>
            <w:r>
              <w:rPr>
                <w:color w:val="auto"/>
              </w:rPr>
              <w:t>-N</w:t>
            </w:r>
            <w:r>
              <w:rPr>
                <w:rFonts w:hint="eastAsia"/>
                <w:color w:val="auto"/>
                <w:lang w:eastAsia="zh-CN"/>
              </w:rPr>
              <w:t>)</w:t>
            </w:r>
            <w:r>
              <w:rPr>
                <w:color w:val="auto"/>
              </w:rPr>
              <w:t>、二氧化硫</w:t>
            </w:r>
            <w:r>
              <w:rPr>
                <w:rFonts w:hint="eastAsia"/>
                <w:color w:val="auto"/>
                <w:lang w:eastAsia="zh-CN"/>
              </w:rPr>
              <w:t>(</w:t>
            </w:r>
            <w:r>
              <w:rPr>
                <w:color w:val="auto"/>
              </w:rPr>
              <w:t>SO</w:t>
            </w:r>
            <w:r>
              <w:rPr>
                <w:color w:val="auto"/>
                <w:vertAlign w:val="subscript"/>
              </w:rPr>
              <w:t>2</w:t>
            </w:r>
            <w:r>
              <w:rPr>
                <w:rFonts w:hint="eastAsia"/>
                <w:color w:val="auto"/>
                <w:lang w:eastAsia="zh-CN"/>
              </w:rPr>
              <w:t>)</w:t>
            </w:r>
            <w:r>
              <w:rPr>
                <w:color w:val="auto"/>
              </w:rPr>
              <w:t>、氮氧化物</w:t>
            </w:r>
            <w:r>
              <w:rPr>
                <w:rFonts w:hint="eastAsia"/>
                <w:color w:val="auto"/>
                <w:lang w:eastAsia="zh-CN"/>
              </w:rPr>
              <w:t>(</w:t>
            </w:r>
            <w:r>
              <w:rPr>
                <w:color w:val="auto"/>
              </w:rPr>
              <w:t>NO</w:t>
            </w:r>
            <w:r>
              <w:rPr>
                <w:color w:val="auto"/>
                <w:vertAlign w:val="subscript"/>
              </w:rPr>
              <w:t>X</w:t>
            </w:r>
            <w:r>
              <w:rPr>
                <w:rFonts w:hint="eastAsia"/>
                <w:color w:val="auto"/>
                <w:lang w:eastAsia="zh-CN"/>
              </w:rPr>
              <w:t>)</w:t>
            </w:r>
            <w:r>
              <w:rPr>
                <w:color w:val="auto"/>
              </w:rPr>
              <w:t>、烟</w:t>
            </w:r>
            <w:r>
              <w:rPr>
                <w:rFonts w:hint="eastAsia"/>
                <w:color w:val="auto"/>
                <w:lang w:eastAsia="zh-CN"/>
              </w:rPr>
              <w:t>(</w:t>
            </w:r>
            <w:r>
              <w:rPr>
                <w:color w:val="auto"/>
              </w:rPr>
              <w:t>粉</w:t>
            </w:r>
            <w:r>
              <w:rPr>
                <w:rFonts w:hint="eastAsia"/>
                <w:color w:val="auto"/>
                <w:lang w:eastAsia="zh-CN"/>
              </w:rPr>
              <w:t>)</w:t>
            </w:r>
            <w:r>
              <w:rPr>
                <w:color w:val="auto"/>
              </w:rPr>
              <w:t>尘和挥发性有机物</w:t>
            </w:r>
            <w:r>
              <w:rPr>
                <w:rFonts w:hint="eastAsia"/>
                <w:color w:val="auto"/>
                <w:lang w:eastAsia="zh-CN"/>
              </w:rPr>
              <w:t>(</w:t>
            </w:r>
            <w:r>
              <w:rPr>
                <w:color w:val="auto"/>
              </w:rPr>
              <w:t>VOC</w:t>
            </w:r>
            <w:r>
              <w:rPr>
                <w:color w:val="auto"/>
                <w:vertAlign w:val="subscript"/>
              </w:rPr>
              <w:t>S</w:t>
            </w:r>
            <w:r>
              <w:rPr>
                <w:rFonts w:hint="eastAsia"/>
                <w:color w:val="auto"/>
                <w:lang w:eastAsia="zh-CN"/>
              </w:rPr>
              <w:t>)</w:t>
            </w:r>
            <w:r>
              <w:rPr>
                <w:color w:val="auto"/>
              </w:rPr>
              <w:t>纳入总量控制指标体系，对上述六项主要污染物实施总量控制，统一要求、统一考核。实施污染物排放总量控制，将有助于促进节约资源、产业结构的优化、科学技术进步和污染的防治。</w:t>
            </w:r>
          </w:p>
          <w:p>
            <w:pPr>
              <w:bidi w:val="0"/>
              <w:rPr>
                <w:rFonts w:hint="eastAsia"/>
                <w:color w:val="auto"/>
                <w:lang w:eastAsia="zh-CN"/>
              </w:rPr>
            </w:pPr>
            <w:r>
              <w:rPr>
                <w:rFonts w:hint="eastAsia"/>
                <w:color w:val="auto"/>
              </w:rPr>
              <w:t>根据</w:t>
            </w:r>
            <w:r>
              <w:rPr>
                <w:rFonts w:hint="eastAsia"/>
                <w:color w:val="auto"/>
                <w:lang w:eastAsia="zh-CN"/>
              </w:rPr>
              <w:t>《</w:t>
            </w:r>
            <w:r>
              <w:rPr>
                <w:color w:val="auto"/>
              </w:rPr>
              <w:t>安徽省环保厅关于进一步加强建设项目新增大气主要污染物总量指标管理工作的通知</w:t>
            </w:r>
            <w:r>
              <w:rPr>
                <w:rFonts w:hint="eastAsia"/>
                <w:color w:val="auto"/>
                <w:lang w:eastAsia="zh-CN"/>
              </w:rPr>
              <w:t>》(</w:t>
            </w:r>
            <w:r>
              <w:rPr>
                <w:color w:val="auto"/>
              </w:rPr>
              <w:t>皖环发</w:t>
            </w:r>
            <w:r>
              <w:rPr>
                <w:rFonts w:hint="eastAsia"/>
                <w:color w:val="auto"/>
                <w:lang w:val="en-US" w:eastAsia="zh-CN"/>
              </w:rPr>
              <w:t>[</w:t>
            </w:r>
            <w:r>
              <w:rPr>
                <w:color w:val="auto"/>
              </w:rPr>
              <w:t>2017</w:t>
            </w:r>
            <w:r>
              <w:rPr>
                <w:rFonts w:hint="eastAsia"/>
                <w:color w:val="auto"/>
                <w:lang w:val="en-US" w:eastAsia="zh-CN"/>
              </w:rPr>
              <w:t>]</w:t>
            </w:r>
            <w:r>
              <w:rPr>
                <w:color w:val="auto"/>
              </w:rPr>
              <w:t>19号</w:t>
            </w:r>
            <w:r>
              <w:rPr>
                <w:rFonts w:hint="eastAsia"/>
                <w:color w:val="auto"/>
                <w:lang w:eastAsia="zh-CN"/>
              </w:rPr>
              <w:t>)</w:t>
            </w:r>
            <w:r>
              <w:rPr>
                <w:rFonts w:hint="eastAsia"/>
                <w:color w:val="auto"/>
              </w:rPr>
              <w:t>中的“三、大气主要污染物总量指标实行区域内等量或倍量削减替代。上年度空气质量不达标的城市，相应污染物指标应执行“倍量替代”。其中，上年度PM</w:t>
            </w:r>
            <w:r>
              <w:rPr>
                <w:rFonts w:hint="eastAsia"/>
                <w:color w:val="auto"/>
                <w:vertAlign w:val="subscript"/>
              </w:rPr>
              <w:t>2.5</w:t>
            </w:r>
            <w:r>
              <w:rPr>
                <w:rFonts w:hint="eastAsia"/>
                <w:color w:val="auto"/>
              </w:rPr>
              <w:t>不达标的城市，新增SO</w:t>
            </w:r>
            <w:r>
              <w:rPr>
                <w:rFonts w:hint="eastAsia"/>
                <w:color w:val="auto"/>
                <w:vertAlign w:val="subscript"/>
              </w:rPr>
              <w:t>2</w:t>
            </w:r>
            <w:r>
              <w:rPr>
                <w:rFonts w:hint="eastAsia"/>
                <w:color w:val="auto"/>
              </w:rPr>
              <w:t>、NOx和VOCs指标均要执行“倍量替代”。上年度PM</w:t>
            </w:r>
            <w:r>
              <w:rPr>
                <w:rFonts w:hint="eastAsia"/>
                <w:color w:val="auto"/>
                <w:vertAlign w:val="subscript"/>
              </w:rPr>
              <w:t>10</w:t>
            </w:r>
            <w:r>
              <w:rPr>
                <w:rFonts w:hint="eastAsia"/>
                <w:color w:val="auto"/>
              </w:rPr>
              <w:t>不达标的城市，新增烟</w:t>
            </w:r>
            <w:r>
              <w:rPr>
                <w:rFonts w:hint="eastAsia"/>
                <w:color w:val="auto"/>
                <w:lang w:eastAsia="zh-CN"/>
              </w:rPr>
              <w:t>(</w:t>
            </w:r>
            <w:r>
              <w:rPr>
                <w:rFonts w:hint="eastAsia"/>
                <w:color w:val="auto"/>
              </w:rPr>
              <w:t>粉</w:t>
            </w:r>
            <w:r>
              <w:rPr>
                <w:rFonts w:hint="eastAsia"/>
                <w:color w:val="auto"/>
                <w:lang w:eastAsia="zh-CN"/>
              </w:rPr>
              <w:t>)</w:t>
            </w:r>
            <w:r>
              <w:rPr>
                <w:rFonts w:hint="eastAsia"/>
                <w:color w:val="auto"/>
              </w:rPr>
              <w:t>尘指标要执行“倍量替代”。达到超低排放标准的新建火电项目无需执行“倍量替代”。”根据蚌埠市环境质量公报，</w:t>
            </w:r>
            <w:r>
              <w:rPr>
                <w:rFonts w:hint="eastAsia"/>
                <w:bCs/>
                <w:color w:val="auto"/>
              </w:rPr>
              <w:t>202</w:t>
            </w:r>
            <w:r>
              <w:rPr>
                <w:rFonts w:hint="eastAsia"/>
                <w:bCs/>
                <w:color w:val="auto"/>
                <w:lang w:val="en-US" w:eastAsia="zh-CN"/>
              </w:rPr>
              <w:t>2</w:t>
            </w:r>
            <w:r>
              <w:rPr>
                <w:rFonts w:hint="eastAsia"/>
                <w:bCs/>
                <w:color w:val="auto"/>
              </w:rPr>
              <w:t>年蚌埠市属于环境空气质量不达标区</w:t>
            </w:r>
            <w:r>
              <w:rPr>
                <w:rFonts w:hint="eastAsia"/>
                <w:bCs/>
                <w:color w:val="auto"/>
                <w:lang w:eastAsia="zh-CN"/>
              </w:rPr>
              <w:t>，</w:t>
            </w:r>
            <w:r>
              <w:rPr>
                <w:rFonts w:hint="eastAsia"/>
                <w:bCs/>
                <w:color w:val="auto"/>
                <w:lang w:val="en-US" w:eastAsia="zh-CN"/>
              </w:rPr>
              <w:t>超标污染物为</w:t>
            </w:r>
            <w:r>
              <w:rPr>
                <w:rFonts w:hint="eastAsia"/>
                <w:color w:val="auto"/>
                <w:vertAlign w:val="baseline"/>
                <w:lang w:val="en-US" w:eastAsia="zh-CN"/>
              </w:rPr>
              <w:t>PM</w:t>
            </w:r>
            <w:r>
              <w:rPr>
                <w:rFonts w:hint="eastAsia"/>
                <w:color w:val="auto"/>
                <w:vertAlign w:val="subscript"/>
                <w:lang w:val="en-US" w:eastAsia="zh-CN"/>
              </w:rPr>
              <w:t>2.5</w:t>
            </w:r>
            <w:r>
              <w:rPr>
                <w:rFonts w:hint="eastAsia"/>
                <w:color w:val="auto"/>
                <w:vertAlign w:val="baseline"/>
                <w:lang w:val="en-US" w:eastAsia="zh-CN"/>
              </w:rPr>
              <w:t>和O</w:t>
            </w:r>
            <w:r>
              <w:rPr>
                <w:rFonts w:hint="eastAsia"/>
                <w:color w:val="auto"/>
                <w:vertAlign w:val="subscript"/>
                <w:lang w:val="en-US" w:eastAsia="zh-CN"/>
              </w:rPr>
              <w:t>3</w:t>
            </w:r>
            <w:r>
              <w:rPr>
                <w:rFonts w:hint="eastAsia"/>
                <w:bCs/>
                <w:color w:val="auto"/>
              </w:rPr>
              <w:t>。</w:t>
            </w:r>
            <w:r>
              <w:rPr>
                <w:rFonts w:hint="eastAsia"/>
                <w:color w:val="auto"/>
              </w:rPr>
              <w:t>因此</w:t>
            </w:r>
            <w:r>
              <w:rPr>
                <w:rFonts w:hint="eastAsia"/>
                <w:color w:val="auto"/>
                <w:lang w:eastAsia="zh-CN"/>
              </w:rPr>
              <w:t>，</w:t>
            </w:r>
            <w:r>
              <w:rPr>
                <w:rFonts w:hint="eastAsia"/>
                <w:color w:val="auto"/>
              </w:rPr>
              <w:t>项目</w:t>
            </w:r>
            <w:r>
              <w:rPr>
                <w:color w:val="auto"/>
              </w:rPr>
              <w:t>二氧化硫、氮氧化物、烟</w:t>
            </w:r>
            <w:r>
              <w:rPr>
                <w:rFonts w:hint="eastAsia"/>
                <w:color w:val="auto"/>
                <w:lang w:eastAsia="zh-CN"/>
              </w:rPr>
              <w:t>(</w:t>
            </w:r>
            <w:r>
              <w:rPr>
                <w:color w:val="auto"/>
              </w:rPr>
              <w:t>粉</w:t>
            </w:r>
            <w:r>
              <w:rPr>
                <w:rFonts w:hint="eastAsia"/>
                <w:color w:val="auto"/>
                <w:lang w:eastAsia="zh-CN"/>
              </w:rPr>
              <w:t>)</w:t>
            </w:r>
            <w:r>
              <w:rPr>
                <w:color w:val="auto"/>
              </w:rPr>
              <w:t>尘</w:t>
            </w:r>
            <w:r>
              <w:rPr>
                <w:rFonts w:hint="eastAsia"/>
                <w:color w:val="auto"/>
              </w:rPr>
              <w:t>均应进行倍量替代</w:t>
            </w:r>
            <w:r>
              <w:rPr>
                <w:rFonts w:hint="eastAsia"/>
                <w:color w:val="auto"/>
                <w:lang w:eastAsia="zh-CN"/>
              </w:rPr>
              <w:t>。</w:t>
            </w:r>
          </w:p>
          <w:p>
            <w:pPr>
              <w:bidi w:val="0"/>
              <w:rPr>
                <w:rFonts w:hint="default" w:eastAsia="宋体"/>
                <w:color w:val="auto"/>
                <w:lang w:val="en-US" w:eastAsia="zh-CN"/>
              </w:rPr>
            </w:pPr>
            <w:r>
              <w:rPr>
                <w:rFonts w:hint="eastAsia"/>
                <w:color w:val="auto"/>
                <w:lang w:val="en-US" w:eastAsia="zh-CN"/>
              </w:rPr>
              <w:t>项目</w:t>
            </w:r>
            <w:r>
              <w:rPr>
                <w:rFonts w:hint="eastAsia"/>
                <w:color w:val="auto"/>
              </w:rPr>
              <w:t>颗粒物有组织排放量为</w:t>
            </w:r>
            <w:r>
              <w:rPr>
                <w:rFonts w:hint="eastAsia"/>
                <w:color w:val="auto"/>
                <w:lang w:val="en-US" w:eastAsia="zh-CN"/>
              </w:rPr>
              <w:t>8.32</w:t>
            </w:r>
            <w:r>
              <w:rPr>
                <w:color w:val="auto"/>
              </w:rPr>
              <w:t>t/a</w:t>
            </w:r>
            <w:r>
              <w:rPr>
                <w:rFonts w:hint="eastAsia"/>
                <w:color w:val="auto"/>
              </w:rPr>
              <w:t>，S</w:t>
            </w:r>
            <w:r>
              <w:rPr>
                <w:color w:val="auto"/>
              </w:rPr>
              <w:t>O</w:t>
            </w:r>
            <w:r>
              <w:rPr>
                <w:color w:val="auto"/>
                <w:vertAlign w:val="subscript"/>
              </w:rPr>
              <w:t>2</w:t>
            </w:r>
            <w:r>
              <w:rPr>
                <w:rFonts w:hint="eastAsia"/>
                <w:color w:val="auto"/>
              </w:rPr>
              <w:t>有组织排放量为</w:t>
            </w:r>
            <w:r>
              <w:rPr>
                <w:rFonts w:hint="eastAsia"/>
                <w:color w:val="auto"/>
                <w:lang w:val="en-US" w:eastAsia="zh-CN"/>
              </w:rPr>
              <w:t>0.22</w:t>
            </w:r>
            <w:r>
              <w:rPr>
                <w:color w:val="auto"/>
              </w:rPr>
              <w:t>t/a</w:t>
            </w:r>
            <w:r>
              <w:rPr>
                <w:rFonts w:hint="eastAsia"/>
                <w:color w:val="auto"/>
              </w:rPr>
              <w:t>，N</w:t>
            </w:r>
            <w:r>
              <w:rPr>
                <w:color w:val="auto"/>
              </w:rPr>
              <w:t>O</w:t>
            </w:r>
            <w:r>
              <w:rPr>
                <w:color w:val="auto"/>
                <w:vertAlign w:val="subscript"/>
              </w:rPr>
              <w:t>X</w:t>
            </w:r>
            <w:r>
              <w:rPr>
                <w:rFonts w:hint="eastAsia"/>
                <w:color w:val="auto"/>
              </w:rPr>
              <w:t>有组织排放量为</w:t>
            </w:r>
            <w:r>
              <w:rPr>
                <w:rFonts w:hint="eastAsia"/>
                <w:color w:val="auto"/>
                <w:lang w:val="en-US" w:eastAsia="zh-CN"/>
              </w:rPr>
              <w:t>0.51</w:t>
            </w:r>
            <w:r>
              <w:rPr>
                <w:color w:val="auto"/>
              </w:rPr>
              <w:t>t/a</w:t>
            </w:r>
            <w:r>
              <w:rPr>
                <w:rFonts w:hint="eastAsia"/>
                <w:color w:val="auto"/>
                <w:szCs w:val="18"/>
                <w:lang w:eastAsia="zh-CN"/>
              </w:rPr>
              <w:t>，</w:t>
            </w:r>
            <w:r>
              <w:rPr>
                <w:rFonts w:hint="eastAsia"/>
                <w:color w:val="auto"/>
                <w:lang w:val="en-US" w:eastAsia="zh-CN"/>
              </w:rPr>
              <w:t>建议颗粒物</w:t>
            </w:r>
            <w:r>
              <w:rPr>
                <w:rFonts w:hint="eastAsia"/>
                <w:color w:val="auto"/>
                <w:lang w:eastAsia="zh-CN"/>
              </w:rPr>
              <w:t>、</w:t>
            </w:r>
            <w:r>
              <w:rPr>
                <w:color w:val="auto"/>
              </w:rPr>
              <w:t>二氧化硫、氮氧化物</w:t>
            </w:r>
            <w:r>
              <w:rPr>
                <w:rFonts w:hint="eastAsia"/>
                <w:color w:val="auto"/>
                <w:lang w:val="en-US" w:eastAsia="zh-CN"/>
              </w:rPr>
              <w:t>申请总量控制指标分别16.64t/a、0.44t/a和1.02t/a。</w:t>
            </w:r>
          </w:p>
          <w:p>
            <w:pPr>
              <w:widowControl/>
              <w:spacing w:line="480" w:lineRule="exact"/>
              <w:ind w:left="0" w:leftChars="0" w:firstLine="0" w:firstLineChars="0"/>
              <w:rPr>
                <w:b/>
                <w:bCs/>
                <w:color w:val="auto"/>
                <w:kern w:val="0"/>
              </w:rPr>
            </w:pPr>
            <w:r>
              <w:rPr>
                <w:b/>
                <w:bCs/>
                <w:color w:val="auto"/>
                <w:kern w:val="0"/>
              </w:rPr>
              <w:t>2</w:t>
            </w:r>
            <w:r>
              <w:rPr>
                <w:rFonts w:hint="eastAsia"/>
                <w:b/>
                <w:bCs/>
                <w:color w:val="auto"/>
                <w:kern w:val="0"/>
              </w:rPr>
              <w:t>、废水</w:t>
            </w:r>
          </w:p>
          <w:p>
            <w:pPr>
              <w:widowControl/>
              <w:spacing w:line="480" w:lineRule="exact"/>
              <w:rPr>
                <w:color w:val="auto"/>
                <w:kern w:val="0"/>
              </w:rPr>
            </w:pPr>
            <w:r>
              <w:rPr>
                <w:rFonts w:hint="eastAsia"/>
                <w:color w:val="auto"/>
                <w:kern w:val="0"/>
              </w:rPr>
              <w:t>项目废水预处理达接管标准后通过污水管网排至怀远经开区污水处理厂</w:t>
            </w:r>
            <w:r>
              <w:rPr>
                <w:rFonts w:hint="eastAsia"/>
                <w:color w:val="auto"/>
                <w:kern w:val="0"/>
                <w:lang w:val="en-US" w:eastAsia="zh-CN"/>
              </w:rPr>
              <w:t>(</w:t>
            </w:r>
            <w:r>
              <w:rPr>
                <w:rFonts w:hint="eastAsia"/>
                <w:color w:val="auto"/>
                <w:kern w:val="0"/>
              </w:rPr>
              <w:t>一期</w:t>
            </w:r>
            <w:r>
              <w:rPr>
                <w:rFonts w:hint="eastAsia"/>
                <w:color w:val="auto"/>
                <w:kern w:val="0"/>
                <w:lang w:val="en-US" w:eastAsia="zh-CN"/>
              </w:rPr>
              <w:t>)</w:t>
            </w:r>
            <w:r>
              <w:rPr>
                <w:rFonts w:hint="eastAsia"/>
                <w:color w:val="auto"/>
                <w:kern w:val="0"/>
              </w:rPr>
              <w:t>处理，怀远经开区污水处理厂</w:t>
            </w:r>
            <w:r>
              <w:rPr>
                <w:rFonts w:hint="eastAsia"/>
                <w:color w:val="auto"/>
                <w:kern w:val="0"/>
                <w:lang w:val="en-US" w:eastAsia="zh-CN"/>
              </w:rPr>
              <w:t>(</w:t>
            </w:r>
            <w:r>
              <w:rPr>
                <w:rFonts w:hint="eastAsia"/>
                <w:color w:val="auto"/>
                <w:kern w:val="0"/>
              </w:rPr>
              <w:t>一期</w:t>
            </w:r>
            <w:r>
              <w:rPr>
                <w:rFonts w:hint="eastAsia"/>
                <w:color w:val="auto"/>
                <w:kern w:val="0"/>
                <w:lang w:val="en-US" w:eastAsia="zh-CN"/>
              </w:rPr>
              <w:t>)</w:t>
            </w:r>
            <w:r>
              <w:rPr>
                <w:rFonts w:hint="eastAsia"/>
                <w:color w:val="auto"/>
                <w:kern w:val="0"/>
              </w:rPr>
              <w:t>尾水排放标准执行《城镇污水处理厂污染物排放标准》(GB</w:t>
            </w:r>
            <w:r>
              <w:rPr>
                <w:color w:val="auto"/>
                <w:kern w:val="0"/>
              </w:rPr>
              <w:t xml:space="preserve"> </w:t>
            </w:r>
            <w:r>
              <w:rPr>
                <w:rFonts w:hint="eastAsia"/>
                <w:color w:val="auto"/>
                <w:kern w:val="0"/>
              </w:rPr>
              <w:t>18918-2002</w:t>
            </w:r>
            <w:r>
              <w:rPr>
                <w:color w:val="auto"/>
                <w:kern w:val="0"/>
              </w:rPr>
              <w:t>)</w:t>
            </w:r>
            <w:r>
              <w:rPr>
                <w:rFonts w:hint="eastAsia"/>
                <w:color w:val="auto"/>
                <w:kern w:val="0"/>
              </w:rPr>
              <w:t>一级A标准。</w:t>
            </w:r>
          </w:p>
          <w:p>
            <w:pPr>
              <w:widowControl/>
              <w:spacing w:line="480" w:lineRule="exact"/>
              <w:rPr>
                <w:color w:val="auto"/>
              </w:rPr>
            </w:pPr>
            <w:r>
              <w:rPr>
                <w:rFonts w:hint="eastAsia"/>
                <w:color w:val="auto"/>
                <w:kern w:val="0"/>
              </w:rPr>
              <w:t>项目主要废水污染物纳管量为COD</w:t>
            </w:r>
            <w:r>
              <w:rPr>
                <w:rFonts w:hint="eastAsia"/>
                <w:color w:val="auto"/>
                <w:kern w:val="0"/>
                <w:lang w:val="en-US" w:eastAsia="zh-CN"/>
              </w:rPr>
              <w:t xml:space="preserve"> 0.30</w:t>
            </w:r>
            <w:r>
              <w:rPr>
                <w:rFonts w:hint="eastAsia"/>
                <w:color w:val="auto"/>
                <w:kern w:val="0"/>
              </w:rPr>
              <w:t>t/a、NH</w:t>
            </w:r>
            <w:r>
              <w:rPr>
                <w:rFonts w:hint="eastAsia"/>
                <w:color w:val="auto"/>
                <w:kern w:val="0"/>
                <w:vertAlign w:val="subscript"/>
              </w:rPr>
              <w:t>3</w:t>
            </w:r>
            <w:r>
              <w:rPr>
                <w:rFonts w:hint="eastAsia"/>
                <w:color w:val="auto"/>
                <w:kern w:val="0"/>
              </w:rPr>
              <w:t xml:space="preserve">-N </w:t>
            </w:r>
            <w:r>
              <w:rPr>
                <w:rFonts w:hint="eastAsia"/>
                <w:color w:val="auto"/>
                <w:kern w:val="0"/>
                <w:lang w:val="en-US" w:eastAsia="zh-CN"/>
              </w:rPr>
              <w:t>0.02</w:t>
            </w:r>
            <w:r>
              <w:rPr>
                <w:rFonts w:hint="eastAsia"/>
                <w:color w:val="auto"/>
                <w:kern w:val="0"/>
              </w:rPr>
              <w:t>t/a，纳入怀远经开区污水处理厂总量指标中，不另行申请总量指标。</w:t>
            </w:r>
          </w:p>
        </w:tc>
      </w:tr>
    </w:tbl>
    <w:p>
      <w:pPr>
        <w:spacing w:line="480" w:lineRule="exact"/>
        <w:ind w:firstLine="0" w:firstLineChars="0"/>
        <w:sectPr>
          <w:pgSz w:w="11906" w:h="16838"/>
          <w:pgMar w:top="1418" w:right="1418" w:bottom="1418" w:left="1418" w:header="851" w:footer="851" w:gutter="0"/>
          <w:cols w:space="425" w:num="1"/>
          <w:docGrid w:type="lines" w:linePitch="326" w:charSpace="0"/>
        </w:sectPr>
      </w:pPr>
    </w:p>
    <w:p>
      <w:pPr>
        <w:widowControl/>
        <w:spacing w:line="480" w:lineRule="exact"/>
        <w:ind w:firstLine="0" w:firstLineChars="0"/>
        <w:outlineLvl w:val="0"/>
        <w:rPr>
          <w:rFonts w:eastAsia="黑体"/>
          <w:snapToGrid w:val="0"/>
          <w:sz w:val="30"/>
          <w:szCs w:val="30"/>
        </w:rPr>
      </w:pPr>
      <w:r>
        <w:rPr>
          <w:rFonts w:eastAsia="黑体"/>
          <w:snapToGrid w:val="0"/>
          <w:kern w:val="0"/>
          <w:sz w:val="30"/>
          <w:szCs w:val="30"/>
        </w:rPr>
        <w:t>四、主要环境影响和保护措施</w:t>
      </w:r>
    </w:p>
    <w:tbl>
      <w:tblPr>
        <w:tblStyle w:val="16"/>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74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tcMar>
              <w:left w:w="28" w:type="dxa"/>
              <w:right w:w="28" w:type="dxa"/>
            </w:tcMar>
          </w:tcPr>
          <w:p>
            <w:pPr>
              <w:widowControl/>
              <w:spacing w:line="480" w:lineRule="exact"/>
              <w:ind w:firstLine="0" w:firstLineChars="0"/>
              <w:jc w:val="center"/>
              <w:rPr>
                <w:b/>
                <w:bCs/>
                <w:kern w:val="0"/>
              </w:rPr>
            </w:pPr>
            <w:r>
              <w:rPr>
                <w:b/>
                <w:bCs/>
                <w:kern w:val="0"/>
              </w:rPr>
              <w:t>施工</w:t>
            </w:r>
          </w:p>
          <w:p>
            <w:pPr>
              <w:widowControl/>
              <w:spacing w:line="480" w:lineRule="exact"/>
              <w:ind w:firstLine="0" w:firstLineChars="0"/>
              <w:jc w:val="center"/>
              <w:rPr>
                <w:b/>
                <w:bCs/>
                <w:kern w:val="0"/>
              </w:rPr>
            </w:pPr>
            <w:r>
              <w:rPr>
                <w:b/>
                <w:bCs/>
                <w:kern w:val="0"/>
              </w:rPr>
              <w:t>期环</w:t>
            </w:r>
          </w:p>
          <w:p>
            <w:pPr>
              <w:widowControl/>
              <w:spacing w:line="480" w:lineRule="exact"/>
              <w:ind w:firstLine="0" w:firstLineChars="0"/>
              <w:jc w:val="center"/>
              <w:rPr>
                <w:b/>
                <w:bCs/>
                <w:kern w:val="0"/>
              </w:rPr>
            </w:pPr>
            <w:r>
              <w:rPr>
                <w:b/>
                <w:bCs/>
                <w:kern w:val="0"/>
              </w:rPr>
              <w:t>境保</w:t>
            </w:r>
          </w:p>
          <w:p>
            <w:pPr>
              <w:widowControl/>
              <w:spacing w:line="480" w:lineRule="exact"/>
              <w:ind w:firstLine="0" w:firstLineChars="0"/>
              <w:jc w:val="center"/>
              <w:rPr>
                <w:b/>
                <w:bCs/>
                <w:kern w:val="0"/>
              </w:rPr>
            </w:pPr>
            <w:r>
              <w:rPr>
                <w:b/>
                <w:bCs/>
                <w:kern w:val="0"/>
              </w:rPr>
              <w:t>护措</w:t>
            </w:r>
          </w:p>
          <w:p>
            <w:pPr>
              <w:widowControl/>
              <w:spacing w:line="480" w:lineRule="exact"/>
              <w:ind w:firstLine="0" w:firstLineChars="0"/>
              <w:jc w:val="center"/>
              <w:rPr>
                <w:b/>
                <w:bCs/>
                <w:kern w:val="0"/>
              </w:rPr>
            </w:pPr>
            <w:r>
              <w:rPr>
                <w:b/>
                <w:bCs/>
                <w:kern w:val="0"/>
              </w:rPr>
              <w:t>施</w:t>
            </w:r>
          </w:p>
        </w:tc>
        <w:tc>
          <w:tcPr>
            <w:tcW w:w="4752" w:type="pct"/>
          </w:tcPr>
          <w:p>
            <w:pPr>
              <w:keepNext w:val="0"/>
              <w:keepLines w:val="0"/>
              <w:pageBreakBefore w:val="0"/>
              <w:kinsoku/>
              <w:wordWrap/>
              <w:overflowPunct/>
              <w:topLinePunct w:val="0"/>
              <w:autoSpaceDE/>
              <w:autoSpaceDN/>
              <w:bidi w:val="0"/>
              <w:adjustRightInd/>
              <w:snapToGrid/>
              <w:spacing w:line="480" w:lineRule="exact"/>
              <w:ind w:left="0" w:leftChars="0" w:firstLine="0" w:firstLineChars="0"/>
              <w:textAlignment w:val="auto"/>
              <w:rPr>
                <w:b/>
                <w:bCs/>
              </w:rPr>
            </w:pPr>
            <w:r>
              <w:rPr>
                <w:rFonts w:hint="eastAsia"/>
                <w:b/>
                <w:bCs/>
              </w:rPr>
              <w:t>1、废气</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default" w:eastAsia="宋体"/>
                <w:kern w:val="0"/>
                <w:lang w:val="en-US" w:eastAsia="zh-CN"/>
              </w:rPr>
            </w:pPr>
            <w:r>
              <w:rPr>
                <w:rFonts w:hint="eastAsia"/>
                <w:kern w:val="0"/>
                <w:lang w:val="en-US" w:eastAsia="zh-CN"/>
              </w:rPr>
              <w:t>施工期对周围大气环境产生的影响主要有粉尘、施工机械及运输车辆尾气。拟采取如下废气污染防治措施。</w:t>
            </w:r>
          </w:p>
          <w:p>
            <w:pPr>
              <w:keepNext w:val="0"/>
              <w:keepLines w:val="0"/>
              <w:pageBreakBefore w:val="0"/>
              <w:kinsoku/>
              <w:wordWrap/>
              <w:overflowPunct/>
              <w:topLinePunct w:val="0"/>
              <w:autoSpaceDE/>
              <w:autoSpaceDN/>
              <w:bidi w:val="0"/>
              <w:adjustRightInd/>
              <w:snapToGrid/>
              <w:spacing w:line="480" w:lineRule="exact"/>
              <w:ind w:firstLine="482"/>
              <w:textAlignment w:val="auto"/>
              <w:rPr>
                <w:color w:val="auto"/>
                <w:highlight w:val="none"/>
              </w:rPr>
            </w:pPr>
            <w:r>
              <w:rPr>
                <w:b/>
                <w:color w:val="auto"/>
                <w:highlight w:val="none"/>
                <w:u w:val="single"/>
              </w:rPr>
              <w:t>(1) 扬尘防治措施</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①施工场地边界</w:t>
            </w:r>
            <w:r>
              <w:rPr>
                <w:rFonts w:hint="default" w:ascii="Times New Roman" w:hAnsi="Times New Roman" w:cs="Times New Roman"/>
                <w:kern w:val="0"/>
                <w:lang w:val="en-US" w:eastAsia="zh-CN"/>
              </w:rPr>
              <w:t>控制在现有厂房内</w:t>
            </w:r>
            <w:r>
              <w:rPr>
                <w:rFonts w:hint="default" w:ascii="Times New Roman" w:hAnsi="Times New Roman" w:cs="Times New Roman"/>
                <w:kern w:val="0"/>
                <w:lang w:eastAsia="zh-CN"/>
              </w:rPr>
              <w:t>，增加施工场地安全</w:t>
            </w:r>
            <w:r>
              <w:rPr>
                <w:rFonts w:hint="default" w:ascii="Times New Roman" w:hAnsi="Times New Roman" w:cs="Times New Roman"/>
                <w:kern w:val="0"/>
                <w:lang w:val="en-US" w:eastAsia="zh-CN"/>
              </w:rPr>
              <w:t>、</w:t>
            </w:r>
            <w:r>
              <w:rPr>
                <w:rFonts w:hint="default" w:ascii="Times New Roman" w:hAnsi="Times New Roman" w:cs="Times New Roman"/>
                <w:kern w:val="0"/>
                <w:lang w:eastAsia="zh-CN"/>
              </w:rPr>
              <w:t>减少不利景观影响的同时，降低施工颗粒物对周边的影响。</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②严禁车身不洁、带泥上路、超高超载、沿途抛洒、私拉乱运、随意倾倒等行为。落实出入口保洁制度，及时清扫、冲洗污染的路面。</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③对于工地内裸露地面，晴朗天气时，视情况等时间隔洒水二至七次，扬尘严重时应加大洒水频率。</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④建筑垃圾集中、分类堆放，严密遮盖，</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⑤运进或运出工地的土方、砂石、建筑垃圾等易产生扬尘的材料，应采取封闭运输。</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⑥运输车辆严格执行准运证、密闭运输和按规定时间、线路、倾倒地点进行运输、倾倒等制度，</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⑦根据《安徽省重污染天气应急预案》启动III级(黄色)预警以上或气象预报风速达到五级以上时，不得进行土方挖填和转运、拆除、道路路面鼓风机吹灰等易产生扬尘的作业。</w:t>
            </w:r>
          </w:p>
          <w:p>
            <w:pPr>
              <w:keepNext w:val="0"/>
              <w:keepLines w:val="0"/>
              <w:pageBreakBefore w:val="0"/>
              <w:kinsoku/>
              <w:wordWrap/>
              <w:overflowPunct/>
              <w:topLinePunct w:val="0"/>
              <w:autoSpaceDE/>
              <w:autoSpaceDN/>
              <w:bidi w:val="0"/>
              <w:adjustRightInd/>
              <w:snapToGrid/>
              <w:spacing w:line="480" w:lineRule="exact"/>
              <w:textAlignment w:val="auto"/>
              <w:rPr>
                <w:rFonts w:hint="eastAsia"/>
                <w:kern w:val="0"/>
                <w:lang w:eastAsia="zh-CN"/>
              </w:rPr>
            </w:pPr>
            <w:r>
              <w:rPr>
                <w:rFonts w:hint="default" w:ascii="Times New Roman" w:hAnsi="Times New Roman" w:cs="Times New Roman"/>
                <w:kern w:val="0"/>
                <w:lang w:eastAsia="zh-CN"/>
              </w:rPr>
              <w:t>⑧对施工单位加强监督管理，合同中明确施工期环境保护要求，要求施工单位文明施工，签订控制扬尘污染责任书，落实控制扬尘污染方案。</w:t>
            </w:r>
          </w:p>
          <w:p>
            <w:pPr>
              <w:keepNext w:val="0"/>
              <w:keepLines w:val="0"/>
              <w:pageBreakBefore w:val="0"/>
              <w:kinsoku/>
              <w:wordWrap/>
              <w:overflowPunct/>
              <w:topLinePunct w:val="0"/>
              <w:autoSpaceDE/>
              <w:autoSpaceDN/>
              <w:bidi w:val="0"/>
              <w:adjustRightInd/>
              <w:snapToGrid/>
              <w:spacing w:line="480" w:lineRule="exact"/>
              <w:textAlignment w:val="auto"/>
              <w:rPr>
                <w:rFonts w:hint="eastAsia"/>
                <w:b/>
                <w:bCs/>
                <w:kern w:val="0"/>
                <w:lang w:eastAsia="zh-CN"/>
              </w:rPr>
            </w:pPr>
            <w:r>
              <w:rPr>
                <w:rFonts w:hint="eastAsia"/>
                <w:b/>
                <w:bCs/>
                <w:kern w:val="0"/>
                <w:lang w:eastAsia="zh-CN"/>
              </w:rPr>
              <w:t>(</w:t>
            </w:r>
            <w:r>
              <w:rPr>
                <w:rFonts w:hint="eastAsia"/>
                <w:b/>
                <w:bCs/>
                <w:kern w:val="0"/>
                <w:lang w:val="en-US" w:eastAsia="zh-CN"/>
              </w:rPr>
              <w:t>2</w:t>
            </w:r>
            <w:r>
              <w:rPr>
                <w:rFonts w:hint="eastAsia"/>
                <w:b/>
                <w:bCs/>
                <w:kern w:val="0"/>
                <w:lang w:eastAsia="zh-CN"/>
              </w:rPr>
              <w:t>)</w:t>
            </w:r>
            <w:r>
              <w:rPr>
                <w:rFonts w:hint="eastAsia"/>
                <w:b/>
                <w:bCs/>
                <w:kern w:val="0"/>
                <w:lang w:val="en-US" w:eastAsia="zh-CN"/>
              </w:rPr>
              <w:t xml:space="preserve"> </w:t>
            </w:r>
            <w:r>
              <w:rPr>
                <w:rFonts w:hint="eastAsia"/>
                <w:b/>
                <w:bCs/>
                <w:kern w:val="0"/>
                <w:lang w:eastAsia="zh-CN"/>
              </w:rPr>
              <w:t>燃油废气防治措施</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①选用先进的施工机械，尽量使用电气化设备，减少油耗和燃油废气污染；</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kern w:val="0"/>
                <w:lang w:eastAsia="zh-CN"/>
              </w:rPr>
            </w:pPr>
            <w:r>
              <w:rPr>
                <w:rFonts w:hint="default" w:ascii="Times New Roman" w:hAnsi="Times New Roman" w:cs="Times New Roman"/>
                <w:kern w:val="0"/>
                <w:lang w:eastAsia="zh-CN"/>
              </w:rPr>
              <w:t>②做好设备的维修和养护工作，使机械设备处于良好的工作状态，减少油耗，同时降低污染；</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rPr>
            </w:pPr>
            <w:r>
              <w:rPr>
                <w:rFonts w:hint="default" w:ascii="Times New Roman" w:hAnsi="Times New Roman" w:cs="Times New Roman"/>
                <w:kern w:val="0"/>
                <w:lang w:eastAsia="zh-CN"/>
              </w:rPr>
              <w:t>③尽量将燃油设备工作场所移至当地常年主导风下风向和场地开阔的地方，以利于污染物的扩散。</w:t>
            </w:r>
          </w:p>
          <w:p>
            <w:pPr>
              <w:keepNext w:val="0"/>
              <w:keepLines w:val="0"/>
              <w:pageBreakBefore w:val="0"/>
              <w:kinsoku/>
              <w:wordWrap/>
              <w:overflowPunct/>
              <w:topLinePunct w:val="0"/>
              <w:autoSpaceDE/>
              <w:autoSpaceDN/>
              <w:bidi w:val="0"/>
              <w:adjustRightInd/>
              <w:snapToGrid/>
              <w:spacing w:line="480" w:lineRule="exact"/>
              <w:ind w:left="0" w:leftChars="0" w:firstLine="0" w:firstLineChars="0"/>
              <w:textAlignment w:val="auto"/>
              <w:rPr>
                <w:b/>
                <w:bCs/>
                <w:kern w:val="0"/>
              </w:rPr>
            </w:pPr>
            <w:r>
              <w:rPr>
                <w:rFonts w:hint="eastAsia"/>
                <w:b/>
                <w:bCs/>
                <w:kern w:val="0"/>
              </w:rPr>
              <w:t>2、废水</w:t>
            </w:r>
          </w:p>
          <w:p>
            <w:pPr>
              <w:keepNext w:val="0"/>
              <w:keepLines w:val="0"/>
              <w:pageBreakBefore w:val="0"/>
              <w:kinsoku/>
              <w:wordWrap/>
              <w:overflowPunct/>
              <w:topLinePunct w:val="0"/>
              <w:autoSpaceDE/>
              <w:autoSpaceDN/>
              <w:bidi w:val="0"/>
              <w:adjustRightInd/>
              <w:snapToGrid/>
              <w:spacing w:line="480" w:lineRule="exact"/>
              <w:textAlignment w:val="auto"/>
              <w:rPr>
                <w:rFonts w:hint="eastAsia"/>
              </w:rPr>
            </w:pPr>
            <w:r>
              <w:rPr>
                <w:rFonts w:hint="eastAsia"/>
              </w:rPr>
              <w:t>施工期废水主要为建筑施工废水、施工人员产生的生活污水，含有一定量的油污、SS，如直接外排将污染水体。</w:t>
            </w:r>
            <w:r>
              <w:rPr>
                <w:rFonts w:hint="eastAsia"/>
                <w:lang w:val="en-US" w:eastAsia="zh-CN"/>
              </w:rPr>
              <w:t>项目利用</w:t>
            </w:r>
            <w:r>
              <w:rPr>
                <w:rFonts w:hint="eastAsia"/>
                <w:kern w:val="0"/>
              </w:rPr>
              <w:t>安徽泰昌特殊合金制造有限公司</w:t>
            </w:r>
            <w:r>
              <w:rPr>
                <w:rFonts w:hint="eastAsia"/>
                <w:kern w:val="0"/>
                <w:lang w:val="en-US" w:eastAsia="zh-CN"/>
              </w:rPr>
              <w:t>现有厂房，不涉及大量土方开挖，</w:t>
            </w:r>
            <w:r>
              <w:rPr>
                <w:rFonts w:hint="eastAsia"/>
              </w:rPr>
              <w:t>施工废水</w:t>
            </w:r>
            <w:r>
              <w:rPr>
                <w:rFonts w:hint="eastAsia"/>
                <w:lang w:val="en-US" w:eastAsia="zh-CN"/>
              </w:rPr>
              <w:t>主要是</w:t>
            </w:r>
            <w:r>
              <w:rPr>
                <w:rFonts w:hint="eastAsia"/>
              </w:rPr>
              <w:t>施工设备</w:t>
            </w:r>
            <w:r>
              <w:rPr>
                <w:rFonts w:hint="eastAsia"/>
                <w:lang w:val="en-US" w:eastAsia="zh-CN"/>
              </w:rPr>
              <w:t>及运输车辆</w:t>
            </w:r>
            <w:r>
              <w:rPr>
                <w:rFonts w:hint="eastAsia"/>
              </w:rPr>
              <w:t>清洗产生的废水，主要污染物SS，其浓度约为1500mg/L，并含有少量油类，浓度约为8mg/L。施工污水应设置临时性的简易的处理设施，经处理后回用于施工场地洒水抑尘</w:t>
            </w:r>
            <w:r>
              <w:rPr>
                <w:rFonts w:hint="eastAsia"/>
                <w:lang w:eastAsia="zh-CN"/>
              </w:rPr>
              <w:t>；</w:t>
            </w:r>
            <w:r>
              <w:rPr>
                <w:rFonts w:hint="eastAsia"/>
              </w:rPr>
              <w:t>生活污水</w:t>
            </w:r>
            <w:r>
              <w:rPr>
                <w:rFonts w:hint="eastAsia"/>
                <w:lang w:val="en-US" w:eastAsia="zh-CN"/>
              </w:rPr>
              <w:t>依托现有化粪池处理后排入排入</w:t>
            </w:r>
            <w:r>
              <w:rPr>
                <w:rFonts w:hint="eastAsia"/>
                <w:kern w:val="0"/>
              </w:rPr>
              <w:t>怀远经济开发区污水处理厂</w:t>
            </w:r>
            <w:r>
              <w:rPr>
                <w:rFonts w:hint="eastAsia"/>
                <w:color w:val="auto"/>
                <w:kern w:val="0"/>
                <w:lang w:val="en-US" w:eastAsia="zh-CN"/>
              </w:rPr>
              <w:t>(</w:t>
            </w:r>
            <w:r>
              <w:rPr>
                <w:rFonts w:hint="eastAsia"/>
                <w:color w:val="auto"/>
                <w:kern w:val="0"/>
              </w:rPr>
              <w:t>一期</w:t>
            </w:r>
            <w:r>
              <w:rPr>
                <w:rFonts w:hint="eastAsia"/>
                <w:color w:val="auto"/>
                <w:kern w:val="0"/>
                <w:lang w:val="en-US" w:eastAsia="zh-CN"/>
              </w:rPr>
              <w:t>)</w:t>
            </w:r>
            <w:r>
              <w:rPr>
                <w:rFonts w:hint="eastAsia"/>
                <w:kern w:val="0"/>
                <w:lang w:val="en-US" w:eastAsia="zh-CN"/>
              </w:rPr>
              <w:t>集中处理。</w:t>
            </w:r>
            <w:r>
              <w:rPr>
                <w:rFonts w:hint="eastAsia"/>
                <w:lang w:val="en-US" w:eastAsia="zh-CN"/>
              </w:rPr>
              <w:t>同时，</w:t>
            </w:r>
            <w:r>
              <w:rPr>
                <w:rFonts w:hint="eastAsia"/>
              </w:rPr>
              <w:t>施工运输过程中抛洒的水泥、石灰等建筑材料，应及时清理，以免随雨水污染水体。</w:t>
            </w:r>
          </w:p>
          <w:p>
            <w:pPr>
              <w:keepNext w:val="0"/>
              <w:keepLines w:val="0"/>
              <w:pageBreakBefore w:val="0"/>
              <w:kinsoku/>
              <w:wordWrap/>
              <w:overflowPunct/>
              <w:topLinePunct w:val="0"/>
              <w:autoSpaceDE/>
              <w:autoSpaceDN/>
              <w:bidi w:val="0"/>
              <w:adjustRightInd/>
              <w:snapToGrid/>
              <w:spacing w:line="480" w:lineRule="exact"/>
              <w:ind w:left="0" w:leftChars="0" w:firstLine="0" w:firstLineChars="0"/>
              <w:textAlignment w:val="auto"/>
              <w:rPr>
                <w:b/>
                <w:bCs/>
                <w:kern w:val="0"/>
              </w:rPr>
            </w:pPr>
            <w:r>
              <w:rPr>
                <w:rFonts w:hint="eastAsia"/>
                <w:b/>
                <w:bCs/>
                <w:kern w:val="0"/>
              </w:rPr>
              <w:t>3、噪声</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kern w:val="0"/>
              </w:rPr>
            </w:pPr>
            <w:r>
              <w:rPr>
                <w:rFonts w:hint="eastAsia"/>
                <w:kern w:val="0"/>
              </w:rPr>
              <w:t>施工中应对施工机械噪声进行控制，无法控制的应对施工人员采取保护措施，运输工具应采用符合机动车允许噪声要求的汽车。具体控制措施如下：</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kern w:val="0"/>
              </w:rPr>
            </w:pPr>
            <w:r>
              <w:rPr>
                <w:rFonts w:hint="eastAsia"/>
                <w:kern w:val="0"/>
                <w:lang w:eastAsia="zh-CN"/>
              </w:rPr>
              <w:t>(</w:t>
            </w:r>
            <w:r>
              <w:rPr>
                <w:rFonts w:hint="eastAsia"/>
                <w:kern w:val="0"/>
                <w:lang w:val="en-US" w:eastAsia="zh-CN"/>
              </w:rPr>
              <w:t>1</w:t>
            </w:r>
            <w:r>
              <w:rPr>
                <w:rFonts w:hint="eastAsia"/>
                <w:kern w:val="0"/>
                <w:lang w:eastAsia="zh-CN"/>
              </w:rPr>
              <w:t>)</w:t>
            </w:r>
            <w:r>
              <w:rPr>
                <w:rFonts w:hint="eastAsia"/>
                <w:kern w:val="0"/>
                <w:lang w:val="en-US" w:eastAsia="zh-CN"/>
              </w:rPr>
              <w:t xml:space="preserve"> </w:t>
            </w:r>
            <w:r>
              <w:rPr>
                <w:rFonts w:hint="eastAsia"/>
                <w:kern w:val="0"/>
              </w:rPr>
              <w:t>制订施工计划时，应尽可能避免大量的高噪声设备同时施工，避开周围环境对噪声的敏感时间，减少夜间施工量。尽量加快施工进度，缩短整个工期。</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kern w:val="0"/>
              </w:rPr>
            </w:pPr>
            <w:r>
              <w:rPr>
                <w:rFonts w:hint="eastAsia"/>
                <w:kern w:val="0"/>
                <w:lang w:eastAsia="zh-CN"/>
              </w:rPr>
              <w:t>(</w:t>
            </w:r>
            <w:r>
              <w:rPr>
                <w:rFonts w:hint="eastAsia"/>
                <w:kern w:val="0"/>
                <w:lang w:val="en-US" w:eastAsia="zh-CN"/>
              </w:rPr>
              <w:t>2</w:t>
            </w:r>
            <w:r>
              <w:rPr>
                <w:rFonts w:hint="eastAsia"/>
                <w:kern w:val="0"/>
                <w:lang w:eastAsia="zh-CN"/>
              </w:rPr>
              <w:t>)</w:t>
            </w:r>
            <w:r>
              <w:rPr>
                <w:rFonts w:hint="eastAsia"/>
                <w:kern w:val="0"/>
                <w:lang w:val="en-US" w:eastAsia="zh-CN"/>
              </w:rPr>
              <w:t xml:space="preserve"> </w:t>
            </w:r>
            <w:r>
              <w:rPr>
                <w:rFonts w:hint="eastAsia"/>
                <w:kern w:val="0"/>
              </w:rPr>
              <w:t>设备选型上尽量采用低噪声设备；可通过排气管消音器和隔离发动机振动部件的方法降低噪声；对动力机械设备进行维修、养护，减少易松动部件的振动所造成的噪声；闲置不用的设备应立即关闭；运输车辆进入现场应减速，并减少鸣笛。</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kern w:val="0"/>
              </w:rPr>
            </w:pPr>
            <w:r>
              <w:rPr>
                <w:rFonts w:hint="eastAsia"/>
                <w:kern w:val="0"/>
                <w:lang w:eastAsia="zh-CN"/>
              </w:rPr>
              <w:t>(</w:t>
            </w:r>
            <w:r>
              <w:rPr>
                <w:rFonts w:hint="eastAsia"/>
                <w:kern w:val="0"/>
                <w:lang w:val="en-US" w:eastAsia="zh-CN"/>
              </w:rPr>
              <w:t>3</w:t>
            </w:r>
            <w:r>
              <w:rPr>
                <w:rFonts w:hint="eastAsia"/>
                <w:kern w:val="0"/>
                <w:lang w:eastAsia="zh-CN"/>
              </w:rPr>
              <w:t>)</w:t>
            </w:r>
            <w:r>
              <w:rPr>
                <w:rFonts w:hint="eastAsia"/>
                <w:kern w:val="0"/>
                <w:lang w:val="en-US" w:eastAsia="zh-CN"/>
              </w:rPr>
              <w:t xml:space="preserve"> </w:t>
            </w:r>
            <w:r>
              <w:rPr>
                <w:rFonts w:hint="eastAsia"/>
                <w:kern w:val="0"/>
              </w:rPr>
              <w:t>对位置相对固定的机械设备，能在棚内操作的尽量封闭。</w:t>
            </w:r>
          </w:p>
          <w:p>
            <w:pPr>
              <w:keepNext w:val="0"/>
              <w:keepLines w:val="0"/>
              <w:pageBreakBefore w:val="0"/>
              <w:widowControl/>
              <w:kinsoku/>
              <w:wordWrap/>
              <w:overflowPunct/>
              <w:topLinePunct w:val="0"/>
              <w:autoSpaceDE/>
              <w:autoSpaceDN/>
              <w:bidi w:val="0"/>
              <w:adjustRightInd/>
              <w:snapToGrid/>
              <w:spacing w:line="480" w:lineRule="exact"/>
              <w:textAlignment w:val="auto"/>
              <w:rPr>
                <w:kern w:val="0"/>
              </w:rPr>
            </w:pPr>
            <w:r>
              <w:rPr>
                <w:rFonts w:hint="eastAsia"/>
                <w:kern w:val="0"/>
                <w:lang w:eastAsia="zh-CN"/>
              </w:rPr>
              <w:t>(</w:t>
            </w:r>
            <w:r>
              <w:rPr>
                <w:rFonts w:hint="eastAsia"/>
                <w:kern w:val="0"/>
                <w:lang w:val="en-US" w:eastAsia="zh-CN"/>
              </w:rPr>
              <w:t>4</w:t>
            </w:r>
            <w:r>
              <w:rPr>
                <w:rFonts w:hint="eastAsia"/>
                <w:kern w:val="0"/>
                <w:lang w:eastAsia="zh-CN"/>
              </w:rPr>
              <w:t>)</w:t>
            </w:r>
            <w:r>
              <w:rPr>
                <w:rFonts w:hint="eastAsia"/>
                <w:kern w:val="0"/>
                <w:lang w:val="en-US" w:eastAsia="zh-CN"/>
              </w:rPr>
              <w:t xml:space="preserve"> </w:t>
            </w:r>
            <w:r>
              <w:rPr>
                <w:rFonts w:hint="eastAsia"/>
                <w:kern w:val="0"/>
              </w:rPr>
              <w:t>对于施工期间的材料运输、敲击、人的喊叫等噪声源，要求施工单位文明施工，加强有效管理以缓解其影响。</w:t>
            </w:r>
          </w:p>
          <w:p>
            <w:pPr>
              <w:keepNext w:val="0"/>
              <w:keepLines w:val="0"/>
              <w:pageBreakBefore w:val="0"/>
              <w:kinsoku/>
              <w:wordWrap/>
              <w:overflowPunct/>
              <w:topLinePunct w:val="0"/>
              <w:autoSpaceDE/>
              <w:autoSpaceDN/>
              <w:bidi w:val="0"/>
              <w:adjustRightInd/>
              <w:snapToGrid/>
              <w:spacing w:line="480" w:lineRule="exact"/>
              <w:ind w:left="0" w:leftChars="0" w:firstLine="0" w:firstLineChars="0"/>
              <w:textAlignment w:val="auto"/>
              <w:rPr>
                <w:b/>
                <w:bCs/>
                <w:kern w:val="0"/>
              </w:rPr>
            </w:pPr>
            <w:r>
              <w:rPr>
                <w:rFonts w:hint="eastAsia"/>
                <w:b/>
                <w:bCs/>
                <w:kern w:val="0"/>
              </w:rPr>
              <w:t>4、固废</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kern w:val="0"/>
              </w:rPr>
            </w:pPr>
            <w:r>
              <w:rPr>
                <w:rFonts w:hint="eastAsia"/>
                <w:kern w:val="0"/>
              </w:rPr>
              <w:t>项目施工过程产生的固体废物主要是建筑垃圾。建筑垃圾如废弃建材、废砂石料、弃土、清理现场杂物等，及时组织人员清除，运送至主管部门指定位置处置，对环境影响较小。在物料运输过程中，采用毡布覆盖，避免沿途洒落，并且应向按指定的路线送到指定的建筑垃圾场。</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kern w:val="0"/>
              </w:rPr>
            </w:pPr>
            <w:r>
              <w:rPr>
                <w:rFonts w:hint="eastAsia"/>
                <w:kern w:val="0"/>
              </w:rPr>
              <w:t>施工期的生活垃圾量很小，对施工期产生的生活垃圾即产即清，与厂区产生的其它生活垃圾一起，及时清运到指定地点交由环卫部门统一处理。</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eastAsia"/>
                <w:kern w:val="0"/>
              </w:rPr>
            </w:pPr>
            <w:r>
              <w:rPr>
                <w:rFonts w:hint="eastAsia"/>
                <w:kern w:val="0"/>
              </w:rPr>
              <w:t>落实以上措施，则施工期的固体废物对环境影响较小。</w:t>
            </w:r>
          </w:p>
          <w:p>
            <w:pPr>
              <w:bidi w:val="0"/>
            </w:pPr>
          </w:p>
          <w:p>
            <w:pPr>
              <w:bidi w:val="0"/>
            </w:pPr>
          </w:p>
          <w:p>
            <w:pPr>
              <w:bidi w:val="0"/>
            </w:pPr>
          </w:p>
        </w:tc>
      </w:tr>
    </w:tbl>
    <w:p>
      <w:pPr>
        <w:bidi w:val="0"/>
        <w:sectPr>
          <w:pgSz w:w="11906" w:h="16838"/>
          <w:pgMar w:top="1418" w:right="1418" w:bottom="1418" w:left="1418" w:header="851" w:footer="851" w:gutter="0"/>
          <w:cols w:space="425" w:num="1"/>
          <w:docGrid w:type="lines" w:linePitch="326" w:charSpace="0"/>
        </w:sectPr>
      </w:pPr>
    </w:p>
    <w:tbl>
      <w:tblPr>
        <w:tblStyle w:val="16"/>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873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50" w:hRule="atLeast"/>
          <w:jc w:val="center"/>
        </w:trPr>
        <w:tc>
          <w:tcPr>
            <w:tcW w:w="254" w:type="pct"/>
            <w:tcMar>
              <w:left w:w="28" w:type="dxa"/>
              <w:right w:w="28" w:type="dxa"/>
            </w:tcMar>
          </w:tcPr>
          <w:p>
            <w:pPr>
              <w:widowControl/>
              <w:spacing w:line="480" w:lineRule="exact"/>
              <w:ind w:firstLine="0" w:firstLineChars="0"/>
              <w:jc w:val="center"/>
              <w:rPr>
                <w:b/>
                <w:bCs/>
                <w:kern w:val="0"/>
              </w:rPr>
            </w:pPr>
            <w:r>
              <w:rPr>
                <w:b/>
                <w:bCs/>
                <w:kern w:val="0"/>
              </w:rPr>
              <w:t>运营</w:t>
            </w:r>
          </w:p>
          <w:p>
            <w:pPr>
              <w:widowControl/>
              <w:spacing w:line="480" w:lineRule="exact"/>
              <w:ind w:firstLine="0" w:firstLineChars="0"/>
              <w:jc w:val="center"/>
              <w:rPr>
                <w:b/>
                <w:bCs/>
                <w:kern w:val="0"/>
              </w:rPr>
            </w:pPr>
            <w:r>
              <w:rPr>
                <w:b/>
                <w:bCs/>
                <w:kern w:val="0"/>
              </w:rPr>
              <w:t>期环</w:t>
            </w:r>
          </w:p>
          <w:p>
            <w:pPr>
              <w:widowControl/>
              <w:spacing w:line="480" w:lineRule="exact"/>
              <w:ind w:firstLine="0" w:firstLineChars="0"/>
              <w:jc w:val="center"/>
              <w:rPr>
                <w:b/>
                <w:bCs/>
                <w:kern w:val="0"/>
              </w:rPr>
            </w:pPr>
            <w:r>
              <w:rPr>
                <w:b/>
                <w:bCs/>
                <w:kern w:val="0"/>
              </w:rPr>
              <w:t>境影</w:t>
            </w:r>
          </w:p>
          <w:p>
            <w:pPr>
              <w:widowControl/>
              <w:spacing w:line="480" w:lineRule="exact"/>
              <w:ind w:firstLine="0" w:firstLineChars="0"/>
              <w:jc w:val="center"/>
              <w:rPr>
                <w:b/>
                <w:bCs/>
                <w:kern w:val="0"/>
              </w:rPr>
            </w:pPr>
            <w:r>
              <w:rPr>
                <w:b/>
                <w:bCs/>
                <w:kern w:val="0"/>
              </w:rPr>
              <w:t>响和</w:t>
            </w:r>
          </w:p>
          <w:p>
            <w:pPr>
              <w:widowControl/>
              <w:spacing w:line="480" w:lineRule="exact"/>
              <w:ind w:firstLine="0" w:firstLineChars="0"/>
              <w:jc w:val="center"/>
              <w:rPr>
                <w:b/>
                <w:bCs/>
                <w:kern w:val="0"/>
              </w:rPr>
            </w:pPr>
            <w:r>
              <w:rPr>
                <w:b/>
                <w:bCs/>
                <w:kern w:val="0"/>
              </w:rPr>
              <w:t>保护</w:t>
            </w:r>
          </w:p>
          <w:p>
            <w:pPr>
              <w:widowControl/>
              <w:spacing w:line="480" w:lineRule="exact"/>
              <w:ind w:firstLine="0" w:firstLineChars="0"/>
              <w:jc w:val="center"/>
              <w:rPr>
                <w:b/>
                <w:bCs/>
                <w:kern w:val="0"/>
              </w:rPr>
            </w:pPr>
            <w:r>
              <w:rPr>
                <w:b/>
                <w:bCs/>
                <w:kern w:val="0"/>
              </w:rPr>
              <w:t>措施</w:t>
            </w:r>
          </w:p>
        </w:tc>
        <w:tc>
          <w:tcPr>
            <w:tcW w:w="4745" w:type="pct"/>
          </w:tcPr>
          <w:p>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auto"/>
              <w:rPr>
                <w:rFonts w:hint="default" w:eastAsia="宋体"/>
                <w:b/>
                <w:bCs/>
                <w:color w:val="auto"/>
                <w:kern w:val="0"/>
                <w:lang w:val="en-US" w:eastAsia="zh-CN"/>
              </w:rPr>
            </w:pPr>
            <w:r>
              <w:rPr>
                <w:rFonts w:hint="eastAsia"/>
                <w:b/>
                <w:bCs/>
                <w:color w:val="auto"/>
                <w:kern w:val="0"/>
                <w:lang w:val="en-US" w:eastAsia="zh-CN"/>
              </w:rPr>
              <w:t>1、废气</w:t>
            </w:r>
          </w:p>
          <w:p>
            <w:pPr>
              <w:pStyle w:val="15"/>
              <w:keepNext w:val="0"/>
              <w:keepLines w:val="0"/>
              <w:pageBreakBefore w:val="0"/>
              <w:kinsoku/>
              <w:wordWrap/>
              <w:overflowPunct/>
              <w:topLinePunct w:val="0"/>
              <w:autoSpaceDE/>
              <w:autoSpaceDN/>
              <w:bidi w:val="0"/>
              <w:adjustRightInd/>
              <w:snapToGrid/>
              <w:spacing w:line="480" w:lineRule="exact"/>
              <w:textAlignment w:val="auto"/>
              <w:rPr>
                <w:rFonts w:hint="eastAsia"/>
                <w:b w:val="0"/>
                <w:bCs w:val="0"/>
                <w:color w:val="auto"/>
                <w:kern w:val="0"/>
              </w:rPr>
            </w:pPr>
            <w:r>
              <w:rPr>
                <w:rFonts w:hint="eastAsia"/>
                <w:b w:val="0"/>
                <w:bCs w:val="0"/>
                <w:color w:val="auto"/>
                <w:kern w:val="0"/>
              </w:rPr>
              <w:t>项目废气采取的治理措施合理可行，废气污染物经环保措施治理后均能做到达标排放；</w:t>
            </w:r>
            <w:r>
              <w:rPr>
                <w:rFonts w:hint="eastAsia"/>
                <w:color w:val="auto"/>
                <w:highlight w:val="none"/>
                <w:lang w:val="en-US" w:eastAsia="zh-CN"/>
              </w:rPr>
              <w:t>根据</w:t>
            </w:r>
            <w:r>
              <w:rPr>
                <w:color w:val="auto"/>
                <w:highlight w:val="none"/>
                <w:lang w:val="zh-CN"/>
              </w:rPr>
              <w:t>《大气环境影响评价技术导则</w:t>
            </w:r>
            <w:r>
              <w:rPr>
                <w:rFonts w:hint="eastAsia"/>
                <w:color w:val="auto"/>
                <w:highlight w:val="none"/>
                <w:lang w:val="zh-CN"/>
              </w:rPr>
              <w:t xml:space="preserve"> </w:t>
            </w:r>
            <w:r>
              <w:rPr>
                <w:color w:val="auto"/>
                <w:highlight w:val="none"/>
                <w:lang w:val="zh-CN"/>
              </w:rPr>
              <w:t>大气环境》(HJ 2.2-2018)中推荐的AERSCREEN估算</w:t>
            </w:r>
            <w:r>
              <w:rPr>
                <w:rFonts w:hint="eastAsia"/>
                <w:color w:val="auto"/>
                <w:highlight w:val="none"/>
                <w:lang w:val="en-US" w:eastAsia="zh-CN"/>
              </w:rPr>
              <w:t>结果</w:t>
            </w:r>
            <w:r>
              <w:rPr>
                <w:rFonts w:hint="eastAsia"/>
                <w:b w:val="0"/>
                <w:bCs w:val="0"/>
                <w:color w:val="auto"/>
                <w:kern w:val="0"/>
              </w:rPr>
              <w:t>，项目废气污染物最大落地浓度较小，不会导致周边环境空气质量明显下降，对周边大气环境影响</w:t>
            </w:r>
            <w:r>
              <w:rPr>
                <w:rFonts w:hint="eastAsia"/>
                <w:b w:val="0"/>
                <w:bCs w:val="0"/>
                <w:color w:val="auto"/>
                <w:kern w:val="0"/>
                <w:lang w:val="en-US" w:eastAsia="zh-CN"/>
              </w:rPr>
              <w:t>可接受</w:t>
            </w:r>
            <w:r>
              <w:rPr>
                <w:rFonts w:hint="eastAsia"/>
                <w:b w:val="0"/>
                <w:bCs w:val="0"/>
                <w:color w:val="auto"/>
                <w:kern w:val="0"/>
              </w:rPr>
              <w:t>。项目废气产排情况及环境影响分析详见</w:t>
            </w:r>
            <w:r>
              <w:rPr>
                <w:rFonts w:hint="eastAsia"/>
                <w:b w:val="0"/>
                <w:bCs w:val="0"/>
                <w:color w:val="auto"/>
                <w:kern w:val="0"/>
                <w:lang w:eastAsia="zh-CN"/>
              </w:rPr>
              <w:t>“</w:t>
            </w:r>
            <w:r>
              <w:rPr>
                <w:rFonts w:hint="eastAsia"/>
                <w:b w:val="0"/>
                <w:bCs w:val="0"/>
                <w:color w:val="auto"/>
                <w:kern w:val="0"/>
              </w:rPr>
              <w:t>大气环境影响专项评价</w:t>
            </w:r>
            <w:r>
              <w:rPr>
                <w:rFonts w:hint="eastAsia"/>
                <w:b w:val="0"/>
                <w:bCs w:val="0"/>
                <w:color w:val="auto"/>
                <w:kern w:val="0"/>
                <w:lang w:eastAsia="zh-CN"/>
              </w:rPr>
              <w:t>”</w:t>
            </w:r>
            <w:r>
              <w:rPr>
                <w:rFonts w:hint="eastAsia"/>
                <w:b w:val="0"/>
                <w:bCs w:val="0"/>
                <w:color w:val="auto"/>
                <w:kern w:val="0"/>
              </w:rPr>
              <w:t>章节。</w:t>
            </w:r>
          </w:p>
          <w:p>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auto"/>
              <w:rPr>
                <w:b/>
                <w:bCs/>
                <w:color w:val="auto"/>
                <w:kern w:val="0"/>
              </w:rPr>
            </w:pPr>
            <w:r>
              <w:rPr>
                <w:rFonts w:hint="eastAsia"/>
                <w:b/>
                <w:bCs/>
                <w:color w:val="auto"/>
                <w:kern w:val="0"/>
              </w:rPr>
              <w:t>2、废水</w:t>
            </w:r>
          </w:p>
          <w:p>
            <w:pPr>
              <w:keepNext w:val="0"/>
              <w:keepLines w:val="0"/>
              <w:pageBreakBefore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lang w:val="en-US" w:eastAsia="zh-CN"/>
              </w:rPr>
              <w:t>(1) 废水源强及污染防治措施</w:t>
            </w:r>
          </w:p>
          <w:p>
            <w:pPr>
              <w:keepNext w:val="0"/>
              <w:keepLines w:val="0"/>
              <w:pageBreakBefore w:val="0"/>
              <w:kinsoku/>
              <w:wordWrap/>
              <w:overflowPunct/>
              <w:topLinePunct w:val="0"/>
              <w:autoSpaceDE/>
              <w:autoSpaceDN/>
              <w:bidi w:val="0"/>
              <w:adjustRightInd/>
              <w:snapToGrid/>
              <w:spacing w:line="480" w:lineRule="exact"/>
              <w:textAlignment w:val="auto"/>
              <w:rPr>
                <w:rFonts w:hint="default" w:eastAsia="宋体"/>
                <w:color w:val="auto"/>
                <w:lang w:val="en-US" w:eastAsia="zh-CN"/>
              </w:rPr>
            </w:pPr>
            <w:r>
              <w:rPr>
                <w:rFonts w:hint="eastAsia"/>
                <w:color w:val="auto"/>
                <w:lang w:val="en-US" w:eastAsia="zh-CN"/>
              </w:rPr>
              <w:t>项目生活污水(</w:t>
            </w:r>
            <w:r>
              <w:rPr>
                <w:rFonts w:hint="default" w:ascii="Times New Roman" w:hAnsi="Times New Roman" w:cs="Times New Roman"/>
                <w:bCs/>
                <w:color w:val="auto"/>
                <w:lang w:val="en-US" w:eastAsia="zh-CN"/>
              </w:rPr>
              <w:t>2.55m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/d，765m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r>
              <w:rPr>
                <w:rFonts w:hint="eastAsia"/>
                <w:color w:val="auto"/>
                <w:lang w:val="en-US" w:eastAsia="zh-CN"/>
              </w:rPr>
              <w:t>)经化粪池处理后，与循环冷却排污水(</w:t>
            </w:r>
            <w:r>
              <w:rPr>
                <w:rFonts w:hint="default" w:ascii="Times New Roman" w:hAnsi="Times New Roman" w:cs="Times New Roman"/>
                <w:bCs/>
                <w:color w:val="auto"/>
                <w:lang w:val="en-US" w:eastAsia="zh-CN"/>
              </w:rPr>
              <w:t>2.</w:t>
            </w:r>
            <w:r>
              <w:rPr>
                <w:rFonts w:hint="eastAsia" w:ascii="Times New Roman" w:hAnsi="Times New Roman" w:cs="Times New Roman"/>
                <w:bCs/>
                <w:color w:val="auto"/>
                <w:lang w:val="en-US" w:eastAsia="zh-CN"/>
              </w:rPr>
              <w:t>4</w:t>
            </w:r>
            <w:r>
              <w:rPr>
                <w:rFonts w:hint="default" w:ascii="Times New Roman" w:hAnsi="Times New Roman" w:cs="Times New Roman"/>
                <w:bCs/>
                <w:color w:val="auto"/>
                <w:lang w:val="en-US" w:eastAsia="zh-CN"/>
              </w:rPr>
              <w:t>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/d，7</w:t>
            </w:r>
            <w:r>
              <w:rPr>
                <w:rFonts w:hint="eastAsia" w:ascii="Times New Roman" w:hAnsi="Times New Roman" w:cs="Times New Roman"/>
                <w:bCs/>
                <w:color w:val="auto"/>
                <w:lang w:val="en-US" w:eastAsia="zh-CN"/>
              </w:rPr>
              <w:t>20</w:t>
            </w:r>
            <w:r>
              <w:rPr>
                <w:rFonts w:hint="default" w:ascii="Times New Roman" w:hAnsi="Times New Roman" w:cs="Times New Roman"/>
                <w:bCs/>
                <w:color w:val="auto"/>
                <w:lang w:val="en-US" w:eastAsia="zh-CN"/>
              </w:rPr>
              <w:t>m</w:t>
            </w:r>
            <w:r>
              <w:rPr>
                <w:rFonts w:hint="default" w:ascii="Times New Roman" w:hAnsi="Times New Roman" w:cs="Times New Roman"/>
                <w:bCs/>
                <w:color w:val="auto"/>
                <w:vertAlign w:val="superscript"/>
                <w:lang w:val="en-US" w:eastAsia="zh-CN"/>
              </w:rPr>
              <w:t>3</w:t>
            </w:r>
            <w:r>
              <w:rPr>
                <w:rFonts w:hint="default" w:ascii="Times New Roman" w:hAnsi="Times New Roman" w:cs="Times New Roman"/>
                <w:bCs/>
                <w:color w:val="auto"/>
                <w:lang w:val="en-US" w:eastAsia="zh-CN"/>
              </w:rPr>
              <w:t>/a</w:t>
            </w:r>
            <w:r>
              <w:rPr>
                <w:rFonts w:hint="eastAsia"/>
                <w:color w:val="auto"/>
                <w:lang w:val="en-US" w:eastAsia="zh-CN"/>
              </w:rPr>
              <w:t>)经由总排口排入</w:t>
            </w:r>
            <w:r>
              <w:rPr>
                <w:rFonts w:hint="eastAsia"/>
                <w:color w:val="auto"/>
                <w:kern w:val="0"/>
              </w:rPr>
              <w:t>怀远经济开发区污水处理厂</w:t>
            </w:r>
            <w:r>
              <w:rPr>
                <w:rFonts w:hint="eastAsia"/>
                <w:kern w:val="0"/>
                <w:lang w:val="en-US" w:eastAsia="zh-CN"/>
              </w:rPr>
              <w:t>(一期)</w:t>
            </w:r>
            <w:r>
              <w:rPr>
                <w:rFonts w:hint="eastAsia"/>
                <w:color w:val="auto"/>
                <w:kern w:val="0"/>
                <w:lang w:val="en-US" w:eastAsia="zh-CN"/>
              </w:rPr>
              <w:t>集中处理</w:t>
            </w:r>
            <w:r>
              <w:rPr>
                <w:rFonts w:hint="eastAsia"/>
                <w:kern w:val="0"/>
                <w:lang w:val="en-US" w:eastAsia="zh-CN"/>
              </w:rPr>
              <w:t>。</w:t>
            </w:r>
            <w:r>
              <w:rPr>
                <w:rFonts w:hint="eastAsia"/>
                <w:lang w:val="en-US" w:eastAsia="zh-CN"/>
              </w:rPr>
              <w:t>项目废水产生及排放情况详见表4-1。</w:t>
            </w:r>
          </w:p>
          <w:p>
            <w:pPr>
              <w:keepNext w:val="0"/>
              <w:keepLines w:val="0"/>
              <w:pageBreakBefore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eastAsia"/>
                <w:b/>
                <w:bCs/>
                <w:color w:val="auto"/>
                <w:lang w:val="en-US" w:eastAsia="zh-CN"/>
              </w:rPr>
              <w:t xml:space="preserve"> 技术可行性分析</w:t>
            </w:r>
          </w:p>
          <w:p>
            <w:pPr>
              <w:keepNext w:val="0"/>
              <w:keepLines w:val="0"/>
              <w:pageBreakBefore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rPr>
              <w:fldChar w:fldCharType="begin"/>
            </w:r>
            <w:r>
              <w:rPr>
                <w:rFonts w:hint="eastAsia"/>
                <w:b/>
                <w:bCs/>
                <w:color w:val="auto"/>
              </w:rPr>
              <w:instrText xml:space="preserve"> = 1 \* GB3 \* MERGEFORMAT </w:instrText>
            </w:r>
            <w:r>
              <w:rPr>
                <w:rFonts w:hint="eastAsia"/>
                <w:b/>
                <w:bCs/>
                <w:color w:val="auto"/>
              </w:rPr>
              <w:fldChar w:fldCharType="separate"/>
            </w:r>
            <w:r>
              <w:rPr>
                <w:b/>
                <w:bCs/>
                <w:color w:val="auto"/>
              </w:rPr>
              <w:t>①</w:t>
            </w:r>
            <w:r>
              <w:rPr>
                <w:rFonts w:hint="eastAsia"/>
                <w:b/>
                <w:bCs/>
                <w:color w:val="auto"/>
              </w:rPr>
              <w:fldChar w:fldCharType="end"/>
            </w:r>
            <w:r>
              <w:rPr>
                <w:rFonts w:hint="eastAsia"/>
                <w:b/>
                <w:bCs/>
                <w:color w:val="auto"/>
                <w:lang w:val="en-US" w:eastAsia="zh-CN"/>
              </w:rPr>
              <w:t>生活污水</w:t>
            </w:r>
          </w:p>
          <w:p>
            <w:pPr>
              <w:keepNext w:val="0"/>
              <w:keepLines w:val="0"/>
              <w:pageBreakBefore w:val="0"/>
              <w:kinsoku/>
              <w:wordWrap/>
              <w:overflowPunct/>
              <w:topLinePunct w:val="0"/>
              <w:autoSpaceDE/>
              <w:autoSpaceDN/>
              <w:bidi w:val="0"/>
              <w:adjustRightInd/>
              <w:snapToGrid/>
              <w:spacing w:line="480" w:lineRule="exact"/>
              <w:textAlignment w:val="auto"/>
              <w:rPr>
                <w:color w:val="auto"/>
              </w:rPr>
            </w:pPr>
            <w:r>
              <w:rPr>
                <w:rFonts w:hint="eastAsia"/>
                <w:color w:val="auto"/>
              </w:rPr>
              <w:t>化粪池是处理粪便并加以过滤沉淀的设备，固化物在池底分解，上层的水化物体，进入管道流走，防止管道堵塞，给固化物体</w:t>
            </w:r>
            <w:r>
              <w:rPr>
                <w:rFonts w:hint="eastAsia"/>
                <w:color w:val="auto"/>
                <w:lang w:eastAsia="zh-CN"/>
              </w:rPr>
              <w:t>(</w:t>
            </w:r>
            <w:r>
              <w:rPr>
                <w:rFonts w:hint="eastAsia"/>
                <w:color w:val="auto"/>
              </w:rPr>
              <w:t>粪便等垃圾</w:t>
            </w:r>
            <w:r>
              <w:rPr>
                <w:rFonts w:hint="eastAsia"/>
                <w:color w:val="auto"/>
                <w:lang w:eastAsia="zh-CN"/>
              </w:rPr>
              <w:t>)</w:t>
            </w:r>
            <w:r>
              <w:rPr>
                <w:rFonts w:hint="eastAsia"/>
                <w:color w:val="auto"/>
              </w:rPr>
              <w:t>有充足的时间水解。生活污水水质简单，经化粪池预处理后可满足</w:t>
            </w:r>
            <w:r>
              <w:rPr>
                <w:rFonts w:hint="eastAsia"/>
                <w:color w:val="auto"/>
                <w:kern w:val="0"/>
              </w:rPr>
              <w:t>怀远经开区污水处理厂</w:t>
            </w:r>
            <w:r>
              <w:rPr>
                <w:rFonts w:hint="eastAsia"/>
                <w:kern w:val="0"/>
                <w:lang w:val="en-US" w:eastAsia="zh-CN"/>
              </w:rPr>
              <w:t>(一期)</w:t>
            </w:r>
            <w:r>
              <w:rPr>
                <w:rFonts w:hint="eastAsia"/>
                <w:color w:val="auto"/>
                <w:kern w:val="0"/>
              </w:rPr>
              <w:t>接管标准</w:t>
            </w:r>
            <w:r>
              <w:rPr>
                <w:rFonts w:hint="eastAsia"/>
                <w:color w:val="auto"/>
              </w:rPr>
              <w:t>限值要求。</w:t>
            </w:r>
          </w:p>
          <w:p>
            <w:pPr>
              <w:keepNext w:val="0"/>
              <w:keepLines w:val="0"/>
              <w:pageBreakBefore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rPr>
              <w:fldChar w:fldCharType="begin"/>
            </w:r>
            <w:r>
              <w:rPr>
                <w:rFonts w:hint="eastAsia"/>
                <w:b/>
                <w:bCs/>
                <w:color w:val="auto"/>
              </w:rPr>
              <w:instrText xml:space="preserve"> = 2 \* GB3 \* MERGEFORMAT </w:instrText>
            </w:r>
            <w:r>
              <w:rPr>
                <w:rFonts w:hint="eastAsia"/>
                <w:b/>
                <w:bCs/>
                <w:color w:val="auto"/>
              </w:rPr>
              <w:fldChar w:fldCharType="separate"/>
            </w:r>
            <w:r>
              <w:rPr>
                <w:b/>
                <w:bCs/>
                <w:color w:val="auto"/>
              </w:rPr>
              <w:t>②</w:t>
            </w:r>
            <w:r>
              <w:rPr>
                <w:rFonts w:hint="eastAsia"/>
                <w:b/>
                <w:bCs/>
                <w:color w:val="auto"/>
              </w:rPr>
              <w:fldChar w:fldCharType="end"/>
            </w:r>
            <w:r>
              <w:rPr>
                <w:rFonts w:hint="eastAsia"/>
                <w:b/>
                <w:bCs/>
                <w:color w:val="auto"/>
                <w:lang w:val="en-US" w:eastAsia="zh-CN"/>
              </w:rPr>
              <w:t>生产废水</w:t>
            </w:r>
          </w:p>
          <w:p>
            <w:pPr>
              <w:keepNext w:val="0"/>
              <w:keepLines w:val="0"/>
              <w:pageBreakBefore w:val="0"/>
              <w:kinsoku/>
              <w:wordWrap/>
              <w:overflowPunct/>
              <w:topLinePunct w:val="0"/>
              <w:autoSpaceDE/>
              <w:autoSpaceDN/>
              <w:bidi w:val="0"/>
              <w:adjustRightInd/>
              <w:snapToGrid/>
              <w:spacing w:line="480" w:lineRule="exact"/>
              <w:textAlignment w:val="auto"/>
              <w:rPr>
                <w:color w:val="auto"/>
                <w:highlight w:val="none"/>
              </w:rPr>
            </w:pPr>
            <w:r>
              <w:rPr>
                <w:rFonts w:hint="eastAsia"/>
                <w:bCs/>
                <w:color w:val="auto"/>
                <w:sz w:val="24"/>
                <w:highlight w:val="none"/>
              </w:rPr>
              <w:t>项目冷却为间接冷却</w:t>
            </w:r>
            <w:r>
              <w:rPr>
                <w:rFonts w:hint="eastAsia"/>
                <w:bCs/>
                <w:color w:val="auto"/>
                <w:sz w:val="24"/>
                <w:highlight w:val="none"/>
                <w:lang w:eastAsia="zh-CN"/>
              </w:rPr>
              <w:t>，</w:t>
            </w:r>
            <w:r>
              <w:rPr>
                <w:rFonts w:hint="eastAsia"/>
                <w:bCs/>
                <w:color w:val="auto"/>
                <w:sz w:val="24"/>
                <w:highlight w:val="none"/>
              </w:rPr>
              <w:t>不接触物料或产品，冷却过程中不添加除垢剂。</w:t>
            </w:r>
            <w:r>
              <w:rPr>
                <w:rFonts w:hint="eastAsia"/>
                <w:color w:val="auto"/>
                <w:lang w:val="en-US" w:eastAsia="zh-CN"/>
              </w:rPr>
              <w:t>为保持水质稳定</w:t>
            </w:r>
            <w:r>
              <w:rPr>
                <w:rFonts w:hint="eastAsia"/>
                <w:color w:val="auto"/>
                <w:sz w:val="24"/>
              </w:rPr>
              <w:t>，</w:t>
            </w:r>
            <w:r>
              <w:rPr>
                <w:rFonts w:hint="eastAsia"/>
                <w:bCs/>
                <w:color w:val="auto"/>
                <w:sz w:val="24"/>
                <w:highlight w:val="none"/>
              </w:rPr>
              <w:t>冷却水需要</w:t>
            </w:r>
            <w:r>
              <w:rPr>
                <w:rFonts w:hint="eastAsia"/>
                <w:color w:val="auto"/>
                <w:sz w:val="24"/>
                <w:highlight w:val="none"/>
              </w:rPr>
              <w:t>定期排污，排污量按循环水量的0</w:t>
            </w:r>
            <w:r>
              <w:rPr>
                <w:color w:val="auto"/>
                <w:sz w:val="24"/>
                <w:highlight w:val="none"/>
              </w:rPr>
              <w:t>.1%</w:t>
            </w:r>
            <w:r>
              <w:rPr>
                <w:rFonts w:hint="eastAsia"/>
                <w:color w:val="auto"/>
                <w:sz w:val="24"/>
                <w:highlight w:val="none"/>
              </w:rPr>
              <w:t>考虑，则循环冷却废水约</w:t>
            </w:r>
            <w:r>
              <w:rPr>
                <w:rFonts w:hint="eastAsia"/>
                <w:color w:val="auto"/>
                <w:sz w:val="24"/>
                <w:highlight w:val="none"/>
                <w:lang w:val="en-US" w:eastAsia="zh-CN"/>
              </w:rPr>
              <w:t>2.4</w:t>
            </w:r>
            <w:r>
              <w:rPr>
                <w:rFonts w:hint="eastAsia"/>
                <w:color w:val="auto"/>
                <w:kern w:val="0"/>
                <w:sz w:val="24"/>
                <w:highlight w:val="none"/>
              </w:rPr>
              <w:t>m</w:t>
            </w:r>
            <w:r>
              <w:rPr>
                <w:rFonts w:hint="eastAsia"/>
                <w:color w:val="auto"/>
                <w:kern w:val="0"/>
                <w:sz w:val="24"/>
                <w:highlight w:val="none"/>
                <w:vertAlign w:val="superscript"/>
              </w:rPr>
              <w:t>3</w:t>
            </w:r>
            <w:r>
              <w:rPr>
                <w:rFonts w:hint="eastAsia"/>
                <w:color w:val="auto"/>
                <w:kern w:val="0"/>
                <w:sz w:val="24"/>
                <w:highlight w:val="none"/>
              </w:rPr>
              <w:t>/d</w:t>
            </w:r>
            <w:r>
              <w:rPr>
                <w:rFonts w:hint="eastAsia"/>
                <w:color w:val="auto"/>
                <w:kern w:val="0"/>
                <w:sz w:val="24"/>
                <w:highlight w:val="none"/>
                <w:lang w:eastAsia="zh-CN"/>
              </w:rPr>
              <w:t>(</w:t>
            </w:r>
            <w:r>
              <w:rPr>
                <w:rFonts w:hint="eastAsia"/>
                <w:bCs/>
                <w:color w:val="auto"/>
                <w:sz w:val="24"/>
                <w:highlight w:val="none"/>
                <w:lang w:val="en-US" w:eastAsia="zh-CN"/>
              </w:rPr>
              <w:t>720</w:t>
            </w:r>
            <w:r>
              <w:rPr>
                <w:rFonts w:hint="eastAsia"/>
                <w:color w:val="auto"/>
                <w:kern w:val="0"/>
                <w:sz w:val="24"/>
                <w:highlight w:val="none"/>
              </w:rPr>
              <w:t>m</w:t>
            </w:r>
            <w:r>
              <w:rPr>
                <w:rFonts w:hint="eastAsia"/>
                <w:color w:val="auto"/>
                <w:kern w:val="0"/>
                <w:sz w:val="24"/>
                <w:highlight w:val="none"/>
                <w:vertAlign w:val="superscript"/>
              </w:rPr>
              <w:t>3</w:t>
            </w:r>
            <w:r>
              <w:rPr>
                <w:rFonts w:hint="eastAsia"/>
                <w:color w:val="auto"/>
                <w:kern w:val="0"/>
                <w:sz w:val="24"/>
                <w:highlight w:val="none"/>
              </w:rPr>
              <w:t>/a</w:t>
            </w:r>
            <w:r>
              <w:rPr>
                <w:rFonts w:hint="eastAsia"/>
                <w:color w:val="auto"/>
                <w:kern w:val="0"/>
                <w:sz w:val="24"/>
                <w:highlight w:val="none"/>
                <w:lang w:eastAsia="zh-CN"/>
              </w:rPr>
              <w:t>)</w:t>
            </w:r>
            <w:r>
              <w:rPr>
                <w:rFonts w:hint="eastAsia"/>
                <w:bCs/>
                <w:color w:val="auto"/>
                <w:sz w:val="24"/>
                <w:highlight w:val="none"/>
              </w:rPr>
              <w:t>，</w:t>
            </w:r>
            <w:r>
              <w:rPr>
                <w:rFonts w:hint="eastAsia"/>
                <w:color w:val="auto"/>
                <w:kern w:val="0"/>
                <w:sz w:val="24"/>
                <w:highlight w:val="none"/>
              </w:rPr>
              <w:t>主要污染物为COD、SS，浓度一般分别为100mg/L、</w:t>
            </w:r>
            <w:r>
              <w:rPr>
                <w:rFonts w:hint="eastAsia"/>
                <w:color w:val="auto"/>
                <w:kern w:val="0"/>
                <w:sz w:val="24"/>
                <w:highlight w:val="none"/>
                <w:lang w:val="en-US" w:eastAsia="zh-CN"/>
              </w:rPr>
              <w:t>1</w:t>
            </w:r>
            <w:r>
              <w:rPr>
                <w:rFonts w:hint="eastAsia"/>
                <w:color w:val="auto"/>
                <w:kern w:val="0"/>
                <w:sz w:val="24"/>
                <w:highlight w:val="none"/>
              </w:rPr>
              <w:t>50mg/L，能够达到</w:t>
            </w:r>
            <w:r>
              <w:rPr>
                <w:rFonts w:hint="eastAsia"/>
                <w:color w:val="auto"/>
                <w:sz w:val="24"/>
                <w:highlight w:val="none"/>
              </w:rPr>
              <w:t>怀远经济开发区污水厂</w:t>
            </w:r>
            <w:r>
              <w:rPr>
                <w:rFonts w:hint="eastAsia"/>
                <w:color w:val="auto"/>
                <w:kern w:val="0"/>
                <w:lang w:val="en-US" w:eastAsia="zh-CN"/>
              </w:rPr>
              <w:t>(一期)</w:t>
            </w:r>
            <w:r>
              <w:rPr>
                <w:rFonts w:hint="eastAsia"/>
                <w:color w:val="auto"/>
                <w:kern w:val="0"/>
                <w:sz w:val="24"/>
                <w:highlight w:val="none"/>
              </w:rPr>
              <w:t>接管标准要求。</w:t>
            </w:r>
          </w:p>
          <w:p>
            <w:pPr>
              <w:pStyle w:val="15"/>
              <w:keepNext w:val="0"/>
              <w:keepLines w:val="0"/>
              <w:pageBreakBefore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w:t>
            </w:r>
            <w:r>
              <w:rPr>
                <w:rFonts w:hint="eastAsia"/>
                <w:b/>
                <w:bCs/>
                <w:color w:val="auto"/>
                <w:lang w:val="en-US" w:eastAsia="zh-CN"/>
              </w:rPr>
              <w:t xml:space="preserve"> 接管可行性分析</w:t>
            </w:r>
          </w:p>
          <w:p>
            <w:pPr>
              <w:keepNext w:val="0"/>
              <w:keepLines w:val="0"/>
              <w:pageBreakBefore w:val="0"/>
              <w:kinsoku/>
              <w:wordWrap/>
              <w:overflowPunct/>
              <w:topLinePunct w:val="0"/>
              <w:autoSpaceDE/>
              <w:autoSpaceDN/>
              <w:bidi w:val="0"/>
              <w:adjustRightInd/>
              <w:snapToGrid/>
              <w:spacing w:line="480" w:lineRule="exact"/>
              <w:textAlignment w:val="auto"/>
            </w:pPr>
            <w:r>
              <w:rPr>
                <w:rFonts w:hint="eastAsia"/>
                <w:color w:val="auto"/>
                <w:sz w:val="24"/>
                <w:highlight w:val="none"/>
              </w:rPr>
              <w:t>怀远经济开发区污水厂</w:t>
            </w:r>
            <w:r>
              <w:rPr>
                <w:rFonts w:hint="eastAsia"/>
                <w:kern w:val="0"/>
                <w:lang w:val="en-US" w:eastAsia="zh-CN"/>
              </w:rPr>
              <w:t>(一期)</w:t>
            </w:r>
            <w:r>
              <w:rPr>
                <w:color w:val="auto"/>
                <w:sz w:val="24"/>
                <w:highlight w:val="none"/>
              </w:rPr>
              <w:t>于201</w:t>
            </w:r>
            <w:r>
              <w:rPr>
                <w:rFonts w:hint="eastAsia"/>
                <w:color w:val="auto"/>
                <w:sz w:val="24"/>
                <w:highlight w:val="none"/>
              </w:rPr>
              <w:t>9</w:t>
            </w:r>
            <w:r>
              <w:rPr>
                <w:color w:val="auto"/>
                <w:sz w:val="24"/>
                <w:highlight w:val="none"/>
              </w:rPr>
              <w:t>年</w:t>
            </w:r>
            <w:r>
              <w:rPr>
                <w:rFonts w:hint="eastAsia"/>
                <w:color w:val="auto"/>
                <w:sz w:val="24"/>
                <w:highlight w:val="none"/>
              </w:rPr>
              <w:t>开始</w:t>
            </w:r>
            <w:r>
              <w:rPr>
                <w:color w:val="auto"/>
                <w:sz w:val="24"/>
                <w:highlight w:val="none"/>
              </w:rPr>
              <w:t>建设，采用较为先进的污水处理</w:t>
            </w:r>
            <w:r>
              <w:rPr>
                <w:rFonts w:hint="eastAsia"/>
                <w:color w:val="auto"/>
                <w:sz w:val="24"/>
                <w:highlight w:val="none"/>
              </w:rPr>
              <w:t>CBR工艺+紫外线消毒工艺</w:t>
            </w:r>
            <w:r>
              <w:rPr>
                <w:color w:val="auto"/>
                <w:sz w:val="24"/>
                <w:highlight w:val="none"/>
              </w:rPr>
              <w:t>，其设计</w:t>
            </w:r>
            <w:r>
              <w:rPr>
                <w:rFonts w:hint="eastAsia"/>
                <w:color w:val="auto"/>
                <w:sz w:val="24"/>
                <w:highlight w:val="none"/>
              </w:rPr>
              <w:t>建设规模15000m</w:t>
            </w:r>
            <w:r>
              <w:rPr>
                <w:rFonts w:hint="eastAsia"/>
                <w:color w:val="auto"/>
                <w:sz w:val="24"/>
                <w:highlight w:val="none"/>
                <w:vertAlign w:val="superscript"/>
              </w:rPr>
              <w:t>3</w:t>
            </w:r>
            <w:r>
              <w:rPr>
                <w:rFonts w:hint="eastAsia"/>
                <w:color w:val="auto"/>
                <w:sz w:val="24"/>
                <w:highlight w:val="none"/>
              </w:rPr>
              <w:t>/d</w:t>
            </w:r>
            <w:r>
              <w:rPr>
                <w:color w:val="auto"/>
                <w:sz w:val="24"/>
                <w:highlight w:val="none"/>
              </w:rPr>
              <w:t>，项目</w:t>
            </w:r>
            <w:r>
              <w:rPr>
                <w:rFonts w:hint="eastAsia"/>
                <w:color w:val="auto"/>
                <w:sz w:val="24"/>
                <w:highlight w:val="none"/>
              </w:rPr>
              <w:t>总</w:t>
            </w:r>
            <w:r>
              <w:rPr>
                <w:color w:val="auto"/>
                <w:sz w:val="24"/>
                <w:highlight w:val="none"/>
              </w:rPr>
              <w:t>投资</w:t>
            </w:r>
            <w:r>
              <w:rPr>
                <w:rFonts w:hint="eastAsia"/>
                <w:color w:val="auto"/>
                <w:sz w:val="24"/>
                <w:highlight w:val="none"/>
              </w:rPr>
              <w:t>15970.66</w:t>
            </w:r>
            <w:r>
              <w:rPr>
                <w:rFonts w:hint="eastAsia"/>
                <w:bCs/>
                <w:color w:val="auto"/>
                <w:sz w:val="24"/>
                <w:highlight w:val="none"/>
              </w:rPr>
              <w:t>万元</w:t>
            </w:r>
            <w:r>
              <w:rPr>
                <w:color w:val="auto"/>
                <w:sz w:val="24"/>
                <w:highlight w:val="none"/>
              </w:rPr>
              <w:t>，</w:t>
            </w:r>
            <w:r>
              <w:rPr>
                <w:rFonts w:hint="eastAsia"/>
                <w:color w:val="auto"/>
                <w:sz w:val="24"/>
                <w:highlight w:val="none"/>
              </w:rPr>
              <w:t>怀远经济开发区污水厂</w:t>
            </w:r>
            <w:r>
              <w:rPr>
                <w:color w:val="auto"/>
                <w:sz w:val="24"/>
                <w:highlight w:val="none"/>
              </w:rPr>
              <w:t>地点：</w:t>
            </w:r>
            <w:r>
              <w:rPr>
                <w:rFonts w:hint="eastAsia"/>
                <w:color w:val="auto"/>
                <w:sz w:val="24"/>
                <w:highlight w:val="none"/>
              </w:rPr>
              <w:t>安徽怀远经济开发区配天大道南段东侧</w:t>
            </w:r>
            <w:r>
              <w:rPr>
                <w:color w:val="auto"/>
                <w:sz w:val="24"/>
                <w:highlight w:val="none"/>
              </w:rPr>
              <w:t>。工程主要有</w:t>
            </w:r>
            <w:r>
              <w:rPr>
                <w:rFonts w:hint="eastAsia"/>
                <w:color w:val="auto"/>
                <w:sz w:val="24"/>
                <w:highlight w:val="none"/>
              </w:rPr>
              <w:t>初沉池、水解酸化池、中间池、一级CBR池、二级CBR池等；</w:t>
            </w:r>
            <w:r>
              <w:rPr>
                <w:color w:val="auto"/>
                <w:sz w:val="24"/>
                <w:highlight w:val="none"/>
              </w:rPr>
              <w:t>以及变配电室增容、进出水提升泵房、鼓风机房、脱水机房、滤布滤池改造等建安工程、设备(含电气、自控)采购及工艺调试、厂区工程等。</w:t>
            </w:r>
          </w:p>
        </w:tc>
      </w:tr>
    </w:tbl>
    <w:p>
      <w:pPr>
        <w:bidi w:val="0"/>
        <w:sectPr>
          <w:pgSz w:w="11906" w:h="16838"/>
          <w:pgMar w:top="1418" w:right="1418" w:bottom="1418" w:left="1418" w:header="851" w:footer="851" w:gutter="0"/>
          <w:cols w:space="425" w:num="1"/>
          <w:docGrid w:type="lines" w:linePitch="326" w:charSpace="0"/>
        </w:sectPr>
      </w:pP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
        <w:gridCol w:w="13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4" w:type="dxa"/>
            <w:shd w:val="clear" w:color="auto" w:fill="auto"/>
            <w:vAlign w:val="center"/>
          </w:tcPr>
          <w:p>
            <w:pPr>
              <w:widowControl/>
              <w:spacing w:line="480" w:lineRule="exact"/>
              <w:ind w:firstLine="0" w:firstLineChars="0"/>
              <w:jc w:val="center"/>
              <w:rPr>
                <w:b/>
                <w:bCs/>
                <w:kern w:val="0"/>
              </w:rPr>
            </w:pPr>
            <w:r>
              <w:rPr>
                <w:b/>
                <w:bCs/>
                <w:kern w:val="0"/>
              </w:rPr>
              <w:t>运营</w:t>
            </w:r>
          </w:p>
          <w:p>
            <w:pPr>
              <w:widowControl/>
              <w:spacing w:line="480" w:lineRule="exact"/>
              <w:ind w:firstLine="0" w:firstLineChars="0"/>
              <w:jc w:val="center"/>
              <w:rPr>
                <w:b/>
                <w:bCs/>
                <w:kern w:val="0"/>
              </w:rPr>
            </w:pPr>
            <w:r>
              <w:rPr>
                <w:b/>
                <w:bCs/>
                <w:kern w:val="0"/>
              </w:rPr>
              <w:t>期环</w:t>
            </w:r>
          </w:p>
          <w:p>
            <w:pPr>
              <w:widowControl/>
              <w:spacing w:line="480" w:lineRule="exact"/>
              <w:ind w:firstLine="0" w:firstLineChars="0"/>
              <w:jc w:val="center"/>
              <w:rPr>
                <w:b/>
                <w:bCs/>
                <w:kern w:val="0"/>
              </w:rPr>
            </w:pPr>
            <w:r>
              <w:rPr>
                <w:b/>
                <w:bCs/>
                <w:kern w:val="0"/>
              </w:rPr>
              <w:t>境影</w:t>
            </w:r>
          </w:p>
          <w:p>
            <w:pPr>
              <w:widowControl/>
              <w:spacing w:line="480" w:lineRule="exact"/>
              <w:ind w:firstLine="0" w:firstLineChars="0"/>
              <w:jc w:val="center"/>
              <w:rPr>
                <w:b/>
                <w:bCs/>
                <w:kern w:val="0"/>
              </w:rPr>
            </w:pPr>
            <w:r>
              <w:rPr>
                <w:b/>
                <w:bCs/>
                <w:kern w:val="0"/>
              </w:rPr>
              <w:t>响和</w:t>
            </w:r>
          </w:p>
          <w:p>
            <w:pPr>
              <w:widowControl/>
              <w:spacing w:line="480" w:lineRule="exact"/>
              <w:ind w:firstLine="0" w:firstLineChars="0"/>
              <w:jc w:val="center"/>
              <w:rPr>
                <w:b/>
                <w:bCs/>
                <w:kern w:val="0"/>
              </w:rPr>
            </w:pPr>
            <w:r>
              <w:rPr>
                <w:b/>
                <w:bCs/>
                <w:kern w:val="0"/>
              </w:rPr>
              <w:t>保护</w:t>
            </w:r>
          </w:p>
          <w:p>
            <w:pPr>
              <w:pStyle w:val="19"/>
              <w:rPr>
                <w:rFonts w:hint="eastAsia"/>
                <w:vertAlign w:val="baseline"/>
                <w:lang w:val="en-US" w:eastAsia="zh-CN"/>
              </w:rPr>
            </w:pPr>
            <w:r>
              <w:rPr>
                <w:b/>
                <w:bCs/>
                <w:kern w:val="0"/>
              </w:rPr>
              <w:t>措施</w:t>
            </w:r>
          </w:p>
        </w:tc>
        <w:tc>
          <w:tcPr>
            <w:tcW w:w="13784" w:type="dxa"/>
            <w:shd w:val="clear" w:color="auto" w:fill="auto"/>
            <w:vAlign w:val="center"/>
          </w:tcPr>
          <w:p>
            <w:pPr>
              <w:pStyle w:val="21"/>
              <w:bidi w:val="0"/>
              <w:rPr>
                <w:rFonts w:hint="eastAsia"/>
                <w:lang w:val="en-US" w:eastAsia="zh-CN"/>
              </w:rPr>
            </w:pPr>
            <w:r>
              <w:rPr>
                <w:rFonts w:hint="eastAsia"/>
                <w:lang w:val="en-US" w:eastAsia="zh-CN"/>
              </w:rPr>
              <w:t>表4-1  项目废水产生及排放情况一览表</w:t>
            </w:r>
          </w:p>
          <w:tbl>
            <w:tblPr>
              <w:tblStyle w:val="1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136"/>
              <w:gridCol w:w="1033"/>
              <w:gridCol w:w="919"/>
              <w:gridCol w:w="887"/>
              <w:gridCol w:w="686"/>
              <w:gridCol w:w="751"/>
              <w:gridCol w:w="686"/>
              <w:gridCol w:w="678"/>
              <w:gridCol w:w="922"/>
              <w:gridCol w:w="1055"/>
              <w:gridCol w:w="868"/>
              <w:gridCol w:w="924"/>
              <w:gridCol w:w="716"/>
              <w:gridCol w:w="717"/>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5"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产污</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环节</w:t>
                  </w:r>
                </w:p>
              </w:tc>
              <w:tc>
                <w:tcPr>
                  <w:tcW w:w="419"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类别</w:t>
                  </w:r>
                </w:p>
              </w:tc>
              <w:tc>
                <w:tcPr>
                  <w:tcW w:w="381"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污染物</w:t>
                  </w:r>
                </w:p>
              </w:tc>
              <w:tc>
                <w:tcPr>
                  <w:tcW w:w="666" w:type="pct"/>
                  <w:gridSpan w:val="2"/>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color w:val="auto"/>
                      <w:sz w:val="21"/>
                      <w:szCs w:val="21"/>
                    </w:rPr>
                  </w:pPr>
                  <w:r>
                    <w:rPr>
                      <w:b/>
                      <w:bCs/>
                      <w:color w:val="auto"/>
                      <w:sz w:val="21"/>
                      <w:szCs w:val="21"/>
                    </w:rPr>
                    <w:t>产生情况</w:t>
                  </w:r>
                </w:p>
              </w:tc>
              <w:tc>
                <w:tcPr>
                  <w:tcW w:w="1373" w:type="pct"/>
                  <w:gridSpan w:val="5"/>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r>
                    <w:rPr>
                      <w:b/>
                      <w:bCs/>
                      <w:color w:val="auto"/>
                      <w:sz w:val="21"/>
                      <w:szCs w:val="21"/>
                    </w:rPr>
                    <w:t>治理设施</w:t>
                  </w:r>
                </w:p>
              </w:tc>
              <w:tc>
                <w:tcPr>
                  <w:tcW w:w="1884" w:type="pct"/>
                  <w:gridSpan w:val="6"/>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r>
                    <w:rPr>
                      <w:b/>
                      <w:bCs/>
                      <w:color w:val="auto"/>
                      <w:sz w:val="21"/>
                      <w:szCs w:val="21"/>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419"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381"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339"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产生量</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w:t>
                  </w:r>
                  <w:r>
                    <w:rPr>
                      <w:rFonts w:hint="eastAsia"/>
                      <w:b/>
                      <w:bCs/>
                      <w:color w:val="auto"/>
                      <w:sz w:val="21"/>
                      <w:szCs w:val="21"/>
                      <w:lang w:val="en-US" w:eastAsia="zh-CN"/>
                    </w:rPr>
                    <w:t>t</w:t>
                  </w:r>
                  <w:r>
                    <w:rPr>
                      <w:b/>
                      <w:bCs/>
                      <w:color w:val="auto"/>
                      <w:sz w:val="21"/>
                      <w:szCs w:val="21"/>
                    </w:rPr>
                    <w:t>/a)</w:t>
                  </w:r>
                </w:p>
              </w:tc>
              <w:tc>
                <w:tcPr>
                  <w:tcW w:w="32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浓度</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(mg/L)</w:t>
                  </w:r>
                </w:p>
              </w:tc>
              <w:tc>
                <w:tcPr>
                  <w:tcW w:w="25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处理措施</w:t>
                  </w:r>
                </w:p>
              </w:tc>
              <w:tc>
                <w:tcPr>
                  <w:tcW w:w="277"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处理</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效率</w:t>
                  </w:r>
                </w:p>
              </w:tc>
              <w:tc>
                <w:tcPr>
                  <w:tcW w:w="253"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处理</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工艺</w:t>
                  </w:r>
                </w:p>
              </w:tc>
              <w:tc>
                <w:tcPr>
                  <w:tcW w:w="25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处理能力</w:t>
                  </w:r>
                </w:p>
              </w:tc>
              <w:tc>
                <w:tcPr>
                  <w:tcW w:w="34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是否可行技术</w:t>
                  </w:r>
                </w:p>
              </w:tc>
              <w:tc>
                <w:tcPr>
                  <w:tcW w:w="389"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rFonts w:hint="eastAsia"/>
                      <w:b/>
                      <w:bCs/>
                      <w:color w:val="auto"/>
                      <w:sz w:val="21"/>
                      <w:szCs w:val="21"/>
                    </w:rPr>
                    <w:t>接管</w:t>
                  </w:r>
                  <w:r>
                    <w:rPr>
                      <w:b/>
                      <w:bCs/>
                      <w:color w:val="auto"/>
                      <w:sz w:val="21"/>
                      <w:szCs w:val="21"/>
                    </w:rPr>
                    <w:t>排放量(</w:t>
                  </w:r>
                  <w:r>
                    <w:rPr>
                      <w:rFonts w:hint="eastAsia"/>
                      <w:b/>
                      <w:bCs/>
                      <w:color w:val="auto"/>
                      <w:sz w:val="21"/>
                      <w:szCs w:val="21"/>
                      <w:lang w:val="en-US" w:eastAsia="zh-CN"/>
                    </w:rPr>
                    <w:t>t</w:t>
                  </w:r>
                  <w:r>
                    <w:rPr>
                      <w:b/>
                      <w:bCs/>
                      <w:color w:val="auto"/>
                      <w:sz w:val="21"/>
                      <w:szCs w:val="21"/>
                    </w:rPr>
                    <w:t>/a)</w:t>
                  </w:r>
                </w:p>
              </w:tc>
              <w:tc>
                <w:tcPr>
                  <w:tcW w:w="32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浓度</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(mg/L)</w:t>
                  </w:r>
                </w:p>
              </w:tc>
              <w:tc>
                <w:tcPr>
                  <w:tcW w:w="340"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排放口编号</w:t>
                  </w:r>
                </w:p>
              </w:tc>
              <w:tc>
                <w:tcPr>
                  <w:tcW w:w="264"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排放</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方式</w:t>
                  </w:r>
                </w:p>
              </w:tc>
              <w:tc>
                <w:tcPr>
                  <w:tcW w:w="264"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排放去向</w:t>
                  </w:r>
                </w:p>
              </w:tc>
              <w:tc>
                <w:tcPr>
                  <w:tcW w:w="305"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
                      <w:bCs/>
                      <w:color w:val="auto"/>
                      <w:sz w:val="21"/>
                      <w:szCs w:val="21"/>
                    </w:rPr>
                  </w:pPr>
                  <w:r>
                    <w:rPr>
                      <w:b/>
                      <w:bCs/>
                      <w:color w:val="auto"/>
                      <w:sz w:val="21"/>
                      <w:szCs w:val="21"/>
                    </w:rPr>
                    <w:t>排放规律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color w:val="auto"/>
                      <w:sz w:val="21"/>
                      <w:szCs w:val="21"/>
                    </w:rPr>
                  </w:pPr>
                  <w:r>
                    <w:rPr>
                      <w:rFonts w:hint="eastAsia"/>
                      <w:color w:val="auto"/>
                      <w:sz w:val="21"/>
                      <w:szCs w:val="21"/>
                    </w:rPr>
                    <w:t>办公</w:t>
                  </w:r>
                </w:p>
              </w:tc>
              <w:tc>
                <w:tcPr>
                  <w:tcW w:w="419"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color w:val="auto"/>
                      <w:sz w:val="21"/>
                      <w:szCs w:val="21"/>
                      <w:lang w:val="en-US" w:eastAsia="zh-CN"/>
                    </w:rPr>
                  </w:pPr>
                  <w:r>
                    <w:rPr>
                      <w:rFonts w:hint="eastAsia"/>
                      <w:color w:val="auto"/>
                      <w:sz w:val="21"/>
                      <w:szCs w:val="21"/>
                      <w:lang w:val="en-US" w:eastAsia="zh-CN"/>
                    </w:rPr>
                    <w:t>生活</w:t>
                  </w:r>
                </w:p>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eastAsia="宋体"/>
                      <w:color w:val="auto"/>
                      <w:sz w:val="21"/>
                      <w:szCs w:val="21"/>
                      <w:lang w:val="en-US" w:eastAsia="zh-CN"/>
                    </w:rPr>
                  </w:pPr>
                  <w:r>
                    <w:rPr>
                      <w:rFonts w:hint="eastAsia"/>
                      <w:color w:val="auto"/>
                      <w:sz w:val="21"/>
                      <w:szCs w:val="21"/>
                      <w:lang w:val="en-US" w:eastAsia="zh-CN"/>
                    </w:rPr>
                    <w:t>污水</w:t>
                  </w: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水量</w:t>
                  </w:r>
                </w:p>
              </w:tc>
              <w:tc>
                <w:tcPr>
                  <w:tcW w:w="339" w:type="pct"/>
                  <w:noWrap w:val="0"/>
                  <w:vAlign w:val="center"/>
                </w:tcPr>
                <w:p>
                  <w:pPr>
                    <w:pStyle w:val="19"/>
                    <w:bidi w:val="0"/>
                    <w:rPr>
                      <w:rFonts w:hint="default"/>
                      <w:sz w:val="21"/>
                      <w:szCs w:val="21"/>
                      <w:lang w:val="en-US" w:eastAsia="zh-CN"/>
                    </w:rPr>
                  </w:pPr>
                  <w:r>
                    <w:rPr>
                      <w:rFonts w:hint="default"/>
                      <w:sz w:val="21"/>
                      <w:szCs w:val="21"/>
                      <w:lang w:val="en-US" w:eastAsia="zh-CN"/>
                    </w:rPr>
                    <w:t>765</w:t>
                  </w:r>
                </w:p>
              </w:tc>
              <w:tc>
                <w:tcPr>
                  <w:tcW w:w="327" w:type="pct"/>
                  <w:noWrap w:val="0"/>
                  <w:vAlign w:val="center"/>
                </w:tcPr>
                <w:p>
                  <w:pPr>
                    <w:pStyle w:val="19"/>
                    <w:bidi w:val="0"/>
                    <w:rPr>
                      <w:sz w:val="21"/>
                      <w:szCs w:val="21"/>
                    </w:rPr>
                  </w:pPr>
                  <w:r>
                    <w:rPr>
                      <w:rFonts w:hint="default"/>
                      <w:sz w:val="21"/>
                      <w:szCs w:val="21"/>
                      <w:lang w:val="en-US" w:eastAsia="zh-CN"/>
                    </w:rPr>
                    <w:t>/</w:t>
                  </w:r>
                </w:p>
              </w:tc>
              <w:tc>
                <w:tcPr>
                  <w:tcW w:w="253"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sz w:val="21"/>
                      <w:szCs w:val="21"/>
                    </w:rPr>
                  </w:pPr>
                  <w:r>
                    <w:rPr>
                      <w:rFonts w:hint="eastAsia"/>
                      <w:bCs/>
                      <w:color w:val="auto"/>
                      <w:sz w:val="21"/>
                      <w:szCs w:val="21"/>
                    </w:rPr>
                    <w:t>化粪池</w:t>
                  </w:r>
                </w:p>
              </w:tc>
              <w:tc>
                <w:tcPr>
                  <w:tcW w:w="2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w:t>
                  </w:r>
                </w:p>
              </w:tc>
              <w:tc>
                <w:tcPr>
                  <w:tcW w:w="253"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25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bCs/>
                      <w:color w:val="auto"/>
                      <w:sz w:val="21"/>
                      <w:szCs w:val="21"/>
                    </w:rPr>
                  </w:pPr>
                  <w:r>
                    <w:rPr>
                      <w:rFonts w:hint="eastAsia"/>
                      <w:bCs/>
                      <w:color w:val="auto"/>
                      <w:sz w:val="21"/>
                      <w:szCs w:val="21"/>
                    </w:rPr>
                    <w:t>/</w:t>
                  </w:r>
                </w:p>
              </w:tc>
              <w:tc>
                <w:tcPr>
                  <w:tcW w:w="34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bCs/>
                      <w:color w:val="auto"/>
                      <w:sz w:val="21"/>
                      <w:szCs w:val="21"/>
                    </w:rPr>
                  </w:pPr>
                  <w:r>
                    <w:rPr>
                      <w:rFonts w:hint="eastAsia"/>
                      <w:bCs/>
                      <w:color w:val="auto"/>
                      <w:sz w:val="21"/>
                      <w:szCs w:val="21"/>
                    </w:rPr>
                    <w:t>是</w:t>
                  </w:r>
                </w:p>
              </w:tc>
              <w:tc>
                <w:tcPr>
                  <w:tcW w:w="389" w:type="pct"/>
                  <w:noWrap w:val="0"/>
                  <w:vAlign w:val="center"/>
                </w:tcPr>
                <w:p>
                  <w:pPr>
                    <w:pStyle w:val="19"/>
                    <w:bidi w:val="0"/>
                    <w:rPr>
                      <w:sz w:val="21"/>
                      <w:szCs w:val="21"/>
                    </w:rPr>
                  </w:pPr>
                  <w:r>
                    <w:rPr>
                      <w:rFonts w:hint="default"/>
                      <w:sz w:val="21"/>
                      <w:szCs w:val="21"/>
                      <w:lang w:val="en-US" w:eastAsia="zh-CN"/>
                    </w:rPr>
                    <w:t>765</w:t>
                  </w:r>
                </w:p>
              </w:tc>
              <w:tc>
                <w:tcPr>
                  <w:tcW w:w="320" w:type="pct"/>
                  <w:noWrap w:val="0"/>
                  <w:vAlign w:val="center"/>
                </w:tcPr>
                <w:p>
                  <w:pPr>
                    <w:pStyle w:val="19"/>
                    <w:bidi w:val="0"/>
                    <w:rPr>
                      <w:rFonts w:hint="eastAsia"/>
                      <w:sz w:val="21"/>
                      <w:szCs w:val="21"/>
                    </w:rPr>
                  </w:pPr>
                  <w:r>
                    <w:rPr>
                      <w:rFonts w:hint="default"/>
                      <w:sz w:val="21"/>
                      <w:szCs w:val="21"/>
                      <w:lang w:val="en-US" w:eastAsia="zh-CN"/>
                    </w:rPr>
                    <w:t>/</w:t>
                  </w:r>
                </w:p>
              </w:tc>
              <w:tc>
                <w:tcPr>
                  <w:tcW w:w="340"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sz w:val="21"/>
                      <w:szCs w:val="21"/>
                    </w:rPr>
                  </w:pPr>
                  <w:r>
                    <w:rPr>
                      <w:rFonts w:hint="eastAsia"/>
                      <w:bCs/>
                      <w:color w:val="auto"/>
                      <w:sz w:val="21"/>
                      <w:szCs w:val="21"/>
                    </w:rPr>
                    <w:t>DW001</w:t>
                  </w:r>
                </w:p>
              </w:tc>
              <w:tc>
                <w:tcPr>
                  <w:tcW w:w="264"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sz w:val="21"/>
                      <w:szCs w:val="21"/>
                    </w:rPr>
                  </w:pPr>
                  <w:r>
                    <w:rPr>
                      <w:rFonts w:hint="eastAsia"/>
                      <w:bCs/>
                      <w:color w:val="auto"/>
                      <w:sz w:val="21"/>
                      <w:szCs w:val="21"/>
                    </w:rPr>
                    <w:t>间接排放</w:t>
                  </w:r>
                </w:p>
              </w:tc>
              <w:tc>
                <w:tcPr>
                  <w:tcW w:w="264"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rPr>
                      <w:bCs/>
                      <w:color w:val="auto"/>
                      <w:sz w:val="21"/>
                      <w:szCs w:val="21"/>
                    </w:rPr>
                  </w:pPr>
                  <w:r>
                    <w:rPr>
                      <w:rFonts w:hint="eastAsia"/>
                      <w:kern w:val="0"/>
                      <w:sz w:val="21"/>
                      <w:szCs w:val="21"/>
                    </w:rPr>
                    <w:t>怀远经济开发区污水处理厂</w:t>
                  </w:r>
                </w:p>
              </w:tc>
              <w:tc>
                <w:tcPr>
                  <w:tcW w:w="30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rPr>
                      <w:bCs/>
                      <w:color w:val="auto"/>
                      <w:sz w:val="21"/>
                      <w:szCs w:val="21"/>
                    </w:rPr>
                  </w:pPr>
                  <w:r>
                    <w:rPr>
                      <w:rFonts w:hint="eastAsia"/>
                      <w:bCs/>
                      <w:color w:val="auto"/>
                      <w:sz w:val="21"/>
                      <w:szCs w:val="21"/>
                    </w:rPr>
                    <w:t>间断排放，排放期间流量不稳定，但有周期性规律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419"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COD</w:t>
                  </w:r>
                </w:p>
              </w:tc>
              <w:tc>
                <w:tcPr>
                  <w:tcW w:w="339" w:type="pct"/>
                  <w:noWrap w:val="0"/>
                  <w:vAlign w:val="center"/>
                </w:tcPr>
                <w:p>
                  <w:pPr>
                    <w:pStyle w:val="19"/>
                    <w:bidi w:val="0"/>
                    <w:rPr>
                      <w:sz w:val="21"/>
                      <w:szCs w:val="21"/>
                    </w:rPr>
                  </w:pPr>
                  <w:r>
                    <w:rPr>
                      <w:rFonts w:hint="default"/>
                      <w:sz w:val="21"/>
                      <w:szCs w:val="21"/>
                      <w:lang w:val="en-US" w:eastAsia="zh-CN"/>
                    </w:rPr>
                    <w:t>0.27</w:t>
                  </w:r>
                </w:p>
              </w:tc>
              <w:tc>
                <w:tcPr>
                  <w:tcW w:w="327" w:type="pct"/>
                  <w:noWrap w:val="0"/>
                  <w:vAlign w:val="center"/>
                </w:tcPr>
                <w:p>
                  <w:pPr>
                    <w:pStyle w:val="19"/>
                    <w:bidi w:val="0"/>
                    <w:rPr>
                      <w:sz w:val="21"/>
                      <w:szCs w:val="21"/>
                    </w:rPr>
                  </w:pPr>
                  <w:r>
                    <w:rPr>
                      <w:rFonts w:hint="default"/>
                      <w:sz w:val="21"/>
                      <w:szCs w:val="21"/>
                      <w:lang w:val="en-US" w:eastAsia="zh-CN"/>
                    </w:rPr>
                    <w:t>350.0</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15%</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sz w:val="21"/>
                      <w:szCs w:val="21"/>
                    </w:rPr>
                  </w:pPr>
                  <w:r>
                    <w:rPr>
                      <w:rFonts w:hint="default"/>
                      <w:sz w:val="21"/>
                      <w:szCs w:val="21"/>
                      <w:lang w:val="en-US" w:eastAsia="zh-CN"/>
                    </w:rPr>
                    <w:t>0.23</w:t>
                  </w:r>
                </w:p>
              </w:tc>
              <w:tc>
                <w:tcPr>
                  <w:tcW w:w="320" w:type="pct"/>
                  <w:noWrap w:val="0"/>
                  <w:vAlign w:val="center"/>
                </w:tcPr>
                <w:p>
                  <w:pPr>
                    <w:pStyle w:val="19"/>
                    <w:bidi w:val="0"/>
                    <w:rPr>
                      <w:sz w:val="21"/>
                      <w:szCs w:val="21"/>
                    </w:rPr>
                  </w:pPr>
                  <w:r>
                    <w:rPr>
                      <w:rFonts w:hint="default"/>
                      <w:sz w:val="21"/>
                      <w:szCs w:val="21"/>
                      <w:lang w:val="en-US" w:eastAsia="zh-CN"/>
                    </w:rPr>
                    <w:t>297.5</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419"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BOD</w:t>
                  </w:r>
                  <w:r>
                    <w:rPr>
                      <w:rFonts w:hint="eastAsia"/>
                      <w:bCs/>
                      <w:color w:val="auto"/>
                      <w:kern w:val="0"/>
                      <w:sz w:val="21"/>
                      <w:szCs w:val="21"/>
                      <w:vertAlign w:val="subscript"/>
                    </w:rPr>
                    <w:t>5</w:t>
                  </w:r>
                </w:p>
              </w:tc>
              <w:tc>
                <w:tcPr>
                  <w:tcW w:w="339" w:type="pct"/>
                  <w:noWrap w:val="0"/>
                  <w:vAlign w:val="center"/>
                </w:tcPr>
                <w:p>
                  <w:pPr>
                    <w:pStyle w:val="19"/>
                    <w:bidi w:val="0"/>
                    <w:rPr>
                      <w:sz w:val="21"/>
                      <w:szCs w:val="21"/>
                    </w:rPr>
                  </w:pPr>
                  <w:r>
                    <w:rPr>
                      <w:rFonts w:hint="default"/>
                      <w:sz w:val="21"/>
                      <w:szCs w:val="21"/>
                      <w:lang w:val="en-US" w:eastAsia="zh-CN"/>
                    </w:rPr>
                    <w:t>0.11</w:t>
                  </w:r>
                </w:p>
              </w:tc>
              <w:tc>
                <w:tcPr>
                  <w:tcW w:w="327" w:type="pct"/>
                  <w:noWrap w:val="0"/>
                  <w:vAlign w:val="center"/>
                </w:tcPr>
                <w:p>
                  <w:pPr>
                    <w:pStyle w:val="19"/>
                    <w:bidi w:val="0"/>
                    <w:rPr>
                      <w:sz w:val="21"/>
                      <w:szCs w:val="21"/>
                    </w:rPr>
                  </w:pPr>
                  <w:r>
                    <w:rPr>
                      <w:rFonts w:hint="default"/>
                      <w:sz w:val="21"/>
                      <w:szCs w:val="21"/>
                      <w:lang w:val="en-US" w:eastAsia="zh-CN"/>
                    </w:rPr>
                    <w:t>150.0</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9%</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sz w:val="21"/>
                      <w:szCs w:val="21"/>
                    </w:rPr>
                  </w:pPr>
                  <w:r>
                    <w:rPr>
                      <w:rFonts w:hint="default"/>
                      <w:sz w:val="21"/>
                      <w:szCs w:val="21"/>
                      <w:lang w:val="en-US" w:eastAsia="zh-CN"/>
                    </w:rPr>
                    <w:t>0.10</w:t>
                  </w:r>
                </w:p>
              </w:tc>
              <w:tc>
                <w:tcPr>
                  <w:tcW w:w="320" w:type="pct"/>
                  <w:noWrap w:val="0"/>
                  <w:vAlign w:val="center"/>
                </w:tcPr>
                <w:p>
                  <w:pPr>
                    <w:pStyle w:val="19"/>
                    <w:bidi w:val="0"/>
                    <w:rPr>
                      <w:sz w:val="21"/>
                      <w:szCs w:val="21"/>
                    </w:rPr>
                  </w:pPr>
                  <w:r>
                    <w:rPr>
                      <w:rFonts w:hint="default"/>
                      <w:sz w:val="21"/>
                      <w:szCs w:val="21"/>
                      <w:lang w:val="en-US" w:eastAsia="zh-CN"/>
                    </w:rPr>
                    <w:t>136.5</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419"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SS</w:t>
                  </w:r>
                </w:p>
              </w:tc>
              <w:tc>
                <w:tcPr>
                  <w:tcW w:w="339" w:type="pct"/>
                  <w:noWrap w:val="0"/>
                  <w:vAlign w:val="center"/>
                </w:tcPr>
                <w:p>
                  <w:pPr>
                    <w:pStyle w:val="19"/>
                    <w:bidi w:val="0"/>
                    <w:rPr>
                      <w:sz w:val="21"/>
                      <w:szCs w:val="21"/>
                    </w:rPr>
                  </w:pPr>
                  <w:r>
                    <w:rPr>
                      <w:rFonts w:hint="default"/>
                      <w:sz w:val="21"/>
                      <w:szCs w:val="21"/>
                      <w:lang w:val="en-US" w:eastAsia="zh-CN"/>
                    </w:rPr>
                    <w:t>0.09</w:t>
                  </w:r>
                </w:p>
              </w:tc>
              <w:tc>
                <w:tcPr>
                  <w:tcW w:w="327" w:type="pct"/>
                  <w:noWrap w:val="0"/>
                  <w:vAlign w:val="center"/>
                </w:tcPr>
                <w:p>
                  <w:pPr>
                    <w:pStyle w:val="19"/>
                    <w:bidi w:val="0"/>
                    <w:rPr>
                      <w:sz w:val="21"/>
                      <w:szCs w:val="21"/>
                    </w:rPr>
                  </w:pPr>
                  <w:r>
                    <w:rPr>
                      <w:rFonts w:hint="default"/>
                      <w:sz w:val="21"/>
                      <w:szCs w:val="21"/>
                      <w:lang w:val="en-US" w:eastAsia="zh-CN"/>
                    </w:rPr>
                    <w:t>120.0</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30%</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sz w:val="21"/>
                      <w:szCs w:val="21"/>
                    </w:rPr>
                  </w:pPr>
                  <w:r>
                    <w:rPr>
                      <w:rFonts w:hint="default"/>
                      <w:sz w:val="21"/>
                      <w:szCs w:val="21"/>
                      <w:lang w:val="en-US" w:eastAsia="zh-CN"/>
                    </w:rPr>
                    <w:t>0.06</w:t>
                  </w:r>
                </w:p>
              </w:tc>
              <w:tc>
                <w:tcPr>
                  <w:tcW w:w="320" w:type="pct"/>
                  <w:noWrap w:val="0"/>
                  <w:vAlign w:val="center"/>
                </w:tcPr>
                <w:p>
                  <w:pPr>
                    <w:pStyle w:val="19"/>
                    <w:bidi w:val="0"/>
                    <w:rPr>
                      <w:sz w:val="21"/>
                      <w:szCs w:val="21"/>
                    </w:rPr>
                  </w:pPr>
                  <w:r>
                    <w:rPr>
                      <w:rFonts w:hint="default"/>
                      <w:sz w:val="21"/>
                      <w:szCs w:val="21"/>
                      <w:lang w:val="en-US" w:eastAsia="zh-CN"/>
                    </w:rPr>
                    <w:t>84.0</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noWrap w:val="0"/>
                  <w:vAlign w:val="top"/>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419"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NH</w:t>
                  </w:r>
                  <w:r>
                    <w:rPr>
                      <w:rFonts w:hint="eastAsia"/>
                      <w:bCs/>
                      <w:color w:val="auto"/>
                      <w:kern w:val="0"/>
                      <w:sz w:val="21"/>
                      <w:szCs w:val="21"/>
                      <w:vertAlign w:val="subscript"/>
                    </w:rPr>
                    <w:t>3</w:t>
                  </w:r>
                  <w:r>
                    <w:rPr>
                      <w:rFonts w:hint="eastAsia"/>
                      <w:bCs/>
                      <w:color w:val="auto"/>
                      <w:kern w:val="0"/>
                      <w:sz w:val="21"/>
                      <w:szCs w:val="21"/>
                    </w:rPr>
                    <w:t>-N</w:t>
                  </w:r>
                </w:p>
              </w:tc>
              <w:tc>
                <w:tcPr>
                  <w:tcW w:w="339" w:type="pct"/>
                  <w:noWrap w:val="0"/>
                  <w:vAlign w:val="center"/>
                </w:tcPr>
                <w:p>
                  <w:pPr>
                    <w:pStyle w:val="19"/>
                    <w:bidi w:val="0"/>
                    <w:rPr>
                      <w:sz w:val="21"/>
                      <w:szCs w:val="21"/>
                    </w:rPr>
                  </w:pPr>
                  <w:r>
                    <w:rPr>
                      <w:rFonts w:hint="default"/>
                      <w:sz w:val="21"/>
                      <w:szCs w:val="21"/>
                      <w:lang w:val="en-US" w:eastAsia="zh-CN"/>
                    </w:rPr>
                    <w:t>0.02</w:t>
                  </w:r>
                </w:p>
              </w:tc>
              <w:tc>
                <w:tcPr>
                  <w:tcW w:w="327" w:type="pct"/>
                  <w:noWrap w:val="0"/>
                  <w:vAlign w:val="center"/>
                </w:tcPr>
                <w:p>
                  <w:pPr>
                    <w:pStyle w:val="19"/>
                    <w:bidi w:val="0"/>
                    <w:rPr>
                      <w:sz w:val="21"/>
                      <w:szCs w:val="21"/>
                    </w:rPr>
                  </w:pPr>
                  <w:r>
                    <w:rPr>
                      <w:rFonts w:hint="default"/>
                      <w:sz w:val="21"/>
                      <w:szCs w:val="21"/>
                      <w:lang w:val="en-US" w:eastAsia="zh-CN"/>
                    </w:rPr>
                    <w:t>26.0</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3%</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sz w:val="21"/>
                      <w:szCs w:val="21"/>
                    </w:rPr>
                  </w:pPr>
                  <w:r>
                    <w:rPr>
                      <w:rFonts w:hint="default"/>
                      <w:sz w:val="21"/>
                      <w:szCs w:val="21"/>
                      <w:lang w:val="en-US" w:eastAsia="zh-CN"/>
                    </w:rPr>
                    <w:t>0.02</w:t>
                  </w:r>
                </w:p>
              </w:tc>
              <w:tc>
                <w:tcPr>
                  <w:tcW w:w="320" w:type="pct"/>
                  <w:noWrap w:val="0"/>
                  <w:vAlign w:val="center"/>
                </w:tcPr>
                <w:p>
                  <w:pPr>
                    <w:pStyle w:val="19"/>
                    <w:bidi w:val="0"/>
                    <w:rPr>
                      <w:sz w:val="21"/>
                      <w:szCs w:val="21"/>
                    </w:rPr>
                  </w:pPr>
                  <w:r>
                    <w:rPr>
                      <w:rFonts w:hint="default"/>
                      <w:sz w:val="21"/>
                      <w:szCs w:val="21"/>
                      <w:lang w:val="en-US" w:eastAsia="zh-CN"/>
                    </w:rPr>
                    <w:t>25.0</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Cs/>
                      <w:color w:val="auto"/>
                      <w:kern w:val="0"/>
                      <w:sz w:val="21"/>
                      <w:szCs w:val="21"/>
                    </w:rPr>
                  </w:pPr>
                  <w:r>
                    <w:rPr>
                      <w:rFonts w:hint="eastAsia" w:ascii="宋体" w:cs="宋体"/>
                      <w:bCs/>
                      <w:color w:val="auto"/>
                      <w:kern w:val="0"/>
                      <w:sz w:val="21"/>
                      <w:szCs w:val="21"/>
                    </w:rPr>
                    <w:t>冷却循环</w:t>
                  </w:r>
                </w:p>
              </w:tc>
              <w:tc>
                <w:tcPr>
                  <w:tcW w:w="419"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ascii="宋体" w:cs="宋体"/>
                      <w:bCs/>
                      <w:color w:val="auto"/>
                      <w:kern w:val="0"/>
                      <w:sz w:val="21"/>
                      <w:szCs w:val="21"/>
                    </w:rPr>
                  </w:pPr>
                  <w:r>
                    <w:rPr>
                      <w:rFonts w:hint="eastAsia" w:ascii="宋体" w:cs="宋体"/>
                      <w:bCs/>
                      <w:color w:val="auto"/>
                      <w:kern w:val="0"/>
                      <w:sz w:val="21"/>
                      <w:szCs w:val="21"/>
                    </w:rPr>
                    <w:t>循环冷却排污水</w:t>
                  </w: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bCs/>
                      <w:color w:val="auto"/>
                      <w:sz w:val="21"/>
                      <w:szCs w:val="21"/>
                    </w:rPr>
                  </w:pPr>
                  <w:r>
                    <w:rPr>
                      <w:rFonts w:hint="eastAsia"/>
                      <w:bCs/>
                      <w:color w:val="auto"/>
                      <w:sz w:val="21"/>
                      <w:szCs w:val="21"/>
                    </w:rPr>
                    <w:t>水量</w:t>
                  </w:r>
                </w:p>
              </w:tc>
              <w:tc>
                <w:tcPr>
                  <w:tcW w:w="339" w:type="pct"/>
                  <w:noWrap w:val="0"/>
                  <w:vAlign w:val="center"/>
                </w:tcPr>
                <w:p>
                  <w:pPr>
                    <w:pStyle w:val="19"/>
                    <w:bidi w:val="0"/>
                    <w:rPr>
                      <w:rFonts w:hint="default"/>
                      <w:sz w:val="21"/>
                      <w:szCs w:val="21"/>
                      <w:lang w:val="en-US" w:eastAsia="zh-CN"/>
                    </w:rPr>
                  </w:pPr>
                  <w:r>
                    <w:rPr>
                      <w:rFonts w:hint="default"/>
                      <w:sz w:val="21"/>
                      <w:szCs w:val="21"/>
                      <w:lang w:val="en-US" w:eastAsia="zh-CN"/>
                    </w:rPr>
                    <w:t>720</w:t>
                  </w:r>
                </w:p>
              </w:tc>
              <w:tc>
                <w:tcPr>
                  <w:tcW w:w="327" w:type="pct"/>
                  <w:noWrap w:val="0"/>
                  <w:vAlign w:val="center"/>
                </w:tcPr>
                <w:p>
                  <w:pPr>
                    <w:pStyle w:val="19"/>
                    <w:bidi w:val="0"/>
                    <w:rPr>
                      <w:rFonts w:hint="eastAsia"/>
                      <w:sz w:val="21"/>
                      <w:szCs w:val="21"/>
                    </w:rPr>
                  </w:pPr>
                  <w:r>
                    <w:rPr>
                      <w:rFonts w:hint="default"/>
                      <w:sz w:val="21"/>
                      <w:szCs w:val="21"/>
                      <w:lang w:val="en-US" w:eastAsia="zh-CN"/>
                    </w:rPr>
                    <w:t>/</w:t>
                  </w:r>
                </w:p>
              </w:tc>
              <w:tc>
                <w:tcPr>
                  <w:tcW w:w="253"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bCs/>
                      <w:color w:val="auto"/>
                      <w:sz w:val="21"/>
                      <w:szCs w:val="21"/>
                    </w:rPr>
                  </w:pPr>
                  <w:r>
                    <w:rPr>
                      <w:rFonts w:hint="eastAsia"/>
                      <w:bCs/>
                      <w:color w:val="auto"/>
                      <w:sz w:val="21"/>
                      <w:szCs w:val="21"/>
                    </w:rPr>
                    <w:t>/</w:t>
                  </w:r>
                </w:p>
              </w:tc>
              <w:tc>
                <w:tcPr>
                  <w:tcW w:w="277"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253"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25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34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389" w:type="pct"/>
                  <w:noWrap w:val="0"/>
                  <w:vAlign w:val="center"/>
                </w:tcPr>
                <w:p>
                  <w:pPr>
                    <w:pStyle w:val="19"/>
                    <w:bidi w:val="0"/>
                    <w:rPr>
                      <w:rFonts w:hint="eastAsia"/>
                      <w:sz w:val="21"/>
                      <w:szCs w:val="21"/>
                    </w:rPr>
                  </w:pPr>
                  <w:r>
                    <w:rPr>
                      <w:rFonts w:hint="eastAsia"/>
                      <w:sz w:val="21"/>
                      <w:szCs w:val="21"/>
                      <w:lang w:val="en-US" w:eastAsia="zh-CN"/>
                    </w:rPr>
                    <w:t>720</w:t>
                  </w:r>
                </w:p>
              </w:tc>
              <w:tc>
                <w:tcPr>
                  <w:tcW w:w="320" w:type="pct"/>
                  <w:noWrap w:val="0"/>
                  <w:vAlign w:val="center"/>
                </w:tcPr>
                <w:p>
                  <w:pPr>
                    <w:pStyle w:val="19"/>
                    <w:bidi w:val="0"/>
                    <w:rPr>
                      <w:rFonts w:hint="eastAsia"/>
                      <w:sz w:val="21"/>
                      <w:szCs w:val="21"/>
                    </w:rPr>
                  </w:pPr>
                  <w:r>
                    <w:rPr>
                      <w:rFonts w:hint="default"/>
                      <w:sz w:val="21"/>
                      <w:szCs w:val="21"/>
                      <w:lang w:val="en-US" w:eastAsia="zh-CN"/>
                    </w:rPr>
                    <w:t>/</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cs="宋体"/>
                      <w:bCs/>
                      <w:color w:val="auto"/>
                      <w:kern w:val="0"/>
                      <w:sz w:val="21"/>
                      <w:szCs w:val="21"/>
                    </w:rPr>
                  </w:pPr>
                </w:p>
              </w:tc>
              <w:tc>
                <w:tcPr>
                  <w:tcW w:w="419"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cs="宋体"/>
                      <w:bCs/>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bCs/>
                      <w:color w:val="auto"/>
                      <w:kern w:val="0"/>
                      <w:sz w:val="21"/>
                      <w:szCs w:val="21"/>
                    </w:rPr>
                  </w:pPr>
                  <w:r>
                    <w:rPr>
                      <w:rFonts w:hint="eastAsia"/>
                      <w:bCs/>
                      <w:color w:val="auto"/>
                      <w:kern w:val="0"/>
                      <w:sz w:val="21"/>
                      <w:szCs w:val="21"/>
                    </w:rPr>
                    <w:t>COD</w:t>
                  </w:r>
                </w:p>
              </w:tc>
              <w:tc>
                <w:tcPr>
                  <w:tcW w:w="339" w:type="pct"/>
                  <w:noWrap w:val="0"/>
                  <w:vAlign w:val="center"/>
                </w:tcPr>
                <w:p>
                  <w:pPr>
                    <w:pStyle w:val="19"/>
                    <w:bidi w:val="0"/>
                    <w:rPr>
                      <w:sz w:val="21"/>
                      <w:szCs w:val="21"/>
                    </w:rPr>
                  </w:pPr>
                  <w:r>
                    <w:rPr>
                      <w:rFonts w:hint="default"/>
                      <w:sz w:val="21"/>
                      <w:szCs w:val="21"/>
                      <w:lang w:val="en-US" w:eastAsia="zh-CN"/>
                    </w:rPr>
                    <w:t>0.07</w:t>
                  </w:r>
                </w:p>
              </w:tc>
              <w:tc>
                <w:tcPr>
                  <w:tcW w:w="327" w:type="pct"/>
                  <w:noWrap w:val="0"/>
                  <w:vAlign w:val="center"/>
                </w:tcPr>
                <w:p>
                  <w:pPr>
                    <w:pStyle w:val="19"/>
                    <w:bidi w:val="0"/>
                    <w:rPr>
                      <w:rFonts w:hint="eastAsia"/>
                      <w:sz w:val="21"/>
                      <w:szCs w:val="21"/>
                    </w:rPr>
                  </w:pPr>
                  <w:r>
                    <w:rPr>
                      <w:rFonts w:hint="default"/>
                      <w:sz w:val="21"/>
                      <w:szCs w:val="21"/>
                      <w:lang w:val="en-US" w:eastAsia="zh-CN"/>
                    </w:rPr>
                    <w:t>100.0</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rFonts w:hint="eastAsia"/>
                      <w:sz w:val="21"/>
                      <w:szCs w:val="21"/>
                    </w:rPr>
                  </w:pPr>
                  <w:r>
                    <w:rPr>
                      <w:rFonts w:hint="default"/>
                      <w:sz w:val="21"/>
                      <w:szCs w:val="21"/>
                      <w:lang w:val="en-US" w:eastAsia="zh-CN"/>
                    </w:rPr>
                    <w:t>0.07</w:t>
                  </w:r>
                </w:p>
              </w:tc>
              <w:tc>
                <w:tcPr>
                  <w:tcW w:w="320" w:type="pct"/>
                  <w:noWrap w:val="0"/>
                  <w:vAlign w:val="center"/>
                </w:tcPr>
                <w:p>
                  <w:pPr>
                    <w:pStyle w:val="19"/>
                    <w:bidi w:val="0"/>
                    <w:rPr>
                      <w:rFonts w:hint="eastAsia"/>
                      <w:sz w:val="21"/>
                      <w:szCs w:val="21"/>
                    </w:rPr>
                  </w:pPr>
                  <w:r>
                    <w:rPr>
                      <w:rFonts w:hint="default"/>
                      <w:sz w:val="21"/>
                      <w:szCs w:val="21"/>
                      <w:lang w:val="en-US" w:eastAsia="zh-CN"/>
                    </w:rPr>
                    <w:t>100.0</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cs="宋体"/>
                      <w:bCs/>
                      <w:color w:val="auto"/>
                      <w:kern w:val="0"/>
                      <w:sz w:val="21"/>
                      <w:szCs w:val="21"/>
                    </w:rPr>
                  </w:pPr>
                </w:p>
              </w:tc>
              <w:tc>
                <w:tcPr>
                  <w:tcW w:w="419"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cs="宋体"/>
                      <w:bCs/>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bCs/>
                      <w:color w:val="auto"/>
                      <w:kern w:val="0"/>
                      <w:sz w:val="21"/>
                      <w:szCs w:val="21"/>
                    </w:rPr>
                  </w:pPr>
                  <w:r>
                    <w:rPr>
                      <w:rFonts w:hint="eastAsia"/>
                      <w:bCs/>
                      <w:color w:val="auto"/>
                      <w:kern w:val="0"/>
                      <w:sz w:val="21"/>
                      <w:szCs w:val="21"/>
                    </w:rPr>
                    <w:t>SS</w:t>
                  </w:r>
                </w:p>
              </w:tc>
              <w:tc>
                <w:tcPr>
                  <w:tcW w:w="339" w:type="pct"/>
                  <w:noWrap w:val="0"/>
                  <w:vAlign w:val="center"/>
                </w:tcPr>
                <w:p>
                  <w:pPr>
                    <w:pStyle w:val="19"/>
                    <w:bidi w:val="0"/>
                    <w:rPr>
                      <w:rFonts w:hint="eastAsia"/>
                      <w:sz w:val="21"/>
                      <w:szCs w:val="21"/>
                    </w:rPr>
                  </w:pPr>
                  <w:r>
                    <w:rPr>
                      <w:rFonts w:hint="default"/>
                      <w:sz w:val="21"/>
                      <w:szCs w:val="21"/>
                      <w:lang w:val="en-US" w:eastAsia="zh-CN"/>
                    </w:rPr>
                    <w:t>0.11</w:t>
                  </w:r>
                </w:p>
              </w:tc>
              <w:tc>
                <w:tcPr>
                  <w:tcW w:w="327" w:type="pct"/>
                  <w:noWrap w:val="0"/>
                  <w:vAlign w:val="center"/>
                </w:tcPr>
                <w:p>
                  <w:pPr>
                    <w:pStyle w:val="19"/>
                    <w:bidi w:val="0"/>
                    <w:rPr>
                      <w:rFonts w:hint="eastAsia"/>
                      <w:sz w:val="21"/>
                      <w:szCs w:val="21"/>
                    </w:rPr>
                  </w:pPr>
                  <w:r>
                    <w:rPr>
                      <w:rFonts w:hint="default"/>
                      <w:sz w:val="21"/>
                      <w:szCs w:val="21"/>
                      <w:lang w:val="en-US" w:eastAsia="zh-CN"/>
                    </w:rPr>
                    <w:t>150.0</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rFonts w:hint="eastAsia"/>
                      <w:sz w:val="21"/>
                      <w:szCs w:val="21"/>
                    </w:rPr>
                  </w:pPr>
                  <w:r>
                    <w:rPr>
                      <w:rFonts w:hint="default"/>
                      <w:sz w:val="21"/>
                      <w:szCs w:val="21"/>
                      <w:lang w:val="en-US" w:eastAsia="zh-CN"/>
                    </w:rPr>
                    <w:t>0.11</w:t>
                  </w:r>
                </w:p>
              </w:tc>
              <w:tc>
                <w:tcPr>
                  <w:tcW w:w="320" w:type="pct"/>
                  <w:noWrap w:val="0"/>
                  <w:vAlign w:val="center"/>
                </w:tcPr>
                <w:p>
                  <w:pPr>
                    <w:pStyle w:val="19"/>
                    <w:bidi w:val="0"/>
                    <w:rPr>
                      <w:rFonts w:hint="eastAsia"/>
                      <w:sz w:val="21"/>
                      <w:szCs w:val="21"/>
                    </w:rPr>
                  </w:pPr>
                  <w:r>
                    <w:rPr>
                      <w:rFonts w:hint="default"/>
                      <w:sz w:val="21"/>
                      <w:szCs w:val="21"/>
                      <w:lang w:val="en-US" w:eastAsia="zh-CN"/>
                    </w:rPr>
                    <w:t>150.0</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pct"/>
                  <w:gridSpan w:val="2"/>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bCs/>
                      <w:color w:val="auto"/>
                      <w:kern w:val="0"/>
                      <w:sz w:val="21"/>
                      <w:szCs w:val="21"/>
                    </w:rPr>
                    <w:t>综合废水</w:t>
                  </w: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水量</w:t>
                  </w:r>
                </w:p>
              </w:tc>
              <w:tc>
                <w:tcPr>
                  <w:tcW w:w="339" w:type="pct"/>
                  <w:noWrap w:val="0"/>
                  <w:vAlign w:val="center"/>
                </w:tcPr>
                <w:p>
                  <w:pPr>
                    <w:pStyle w:val="19"/>
                    <w:bidi w:val="0"/>
                    <w:rPr>
                      <w:sz w:val="21"/>
                      <w:szCs w:val="21"/>
                    </w:rPr>
                  </w:pPr>
                  <w:r>
                    <w:rPr>
                      <w:rFonts w:hint="default"/>
                      <w:sz w:val="21"/>
                      <w:szCs w:val="21"/>
                      <w:lang w:val="en-US" w:eastAsia="zh-CN"/>
                    </w:rPr>
                    <w:t>1485</w:t>
                  </w:r>
                </w:p>
              </w:tc>
              <w:tc>
                <w:tcPr>
                  <w:tcW w:w="327" w:type="pct"/>
                  <w:noWrap w:val="0"/>
                  <w:vAlign w:val="center"/>
                </w:tcPr>
                <w:p>
                  <w:pPr>
                    <w:pStyle w:val="19"/>
                    <w:bidi w:val="0"/>
                    <w:rPr>
                      <w:rFonts w:hint="eastAsia"/>
                      <w:sz w:val="21"/>
                      <w:szCs w:val="21"/>
                    </w:rPr>
                  </w:pPr>
                  <w:r>
                    <w:rPr>
                      <w:rFonts w:hint="default"/>
                      <w:sz w:val="21"/>
                      <w:szCs w:val="21"/>
                      <w:lang w:val="en-US" w:eastAsia="zh-CN"/>
                    </w:rPr>
                    <w:t>/</w:t>
                  </w:r>
                </w:p>
              </w:tc>
              <w:tc>
                <w:tcPr>
                  <w:tcW w:w="253"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277"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253"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25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340"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r>
                    <w:rPr>
                      <w:rFonts w:hint="eastAsia"/>
                      <w:bCs/>
                      <w:color w:val="auto"/>
                      <w:sz w:val="21"/>
                      <w:szCs w:val="21"/>
                    </w:rPr>
                    <w:t>/</w:t>
                  </w:r>
                </w:p>
              </w:tc>
              <w:tc>
                <w:tcPr>
                  <w:tcW w:w="389" w:type="pct"/>
                  <w:noWrap w:val="0"/>
                  <w:vAlign w:val="center"/>
                </w:tcPr>
                <w:p>
                  <w:pPr>
                    <w:pStyle w:val="19"/>
                    <w:bidi w:val="0"/>
                    <w:rPr>
                      <w:sz w:val="21"/>
                      <w:szCs w:val="21"/>
                    </w:rPr>
                  </w:pPr>
                  <w:r>
                    <w:rPr>
                      <w:rFonts w:hint="default"/>
                      <w:sz w:val="21"/>
                      <w:szCs w:val="21"/>
                      <w:lang w:val="en-US" w:eastAsia="zh-CN"/>
                    </w:rPr>
                    <w:t>1485</w:t>
                  </w:r>
                </w:p>
              </w:tc>
              <w:tc>
                <w:tcPr>
                  <w:tcW w:w="320" w:type="pct"/>
                  <w:noWrap w:val="0"/>
                  <w:vAlign w:val="center"/>
                </w:tcPr>
                <w:p>
                  <w:pPr>
                    <w:pStyle w:val="19"/>
                    <w:bidi w:val="0"/>
                    <w:rPr>
                      <w:sz w:val="21"/>
                      <w:szCs w:val="21"/>
                    </w:rPr>
                  </w:pPr>
                  <w:r>
                    <w:rPr>
                      <w:rFonts w:hint="default"/>
                      <w:sz w:val="21"/>
                      <w:szCs w:val="21"/>
                      <w:lang w:val="en-US" w:eastAsia="zh-CN"/>
                    </w:rPr>
                    <w:t>/</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pct"/>
                  <w:gridSpan w:val="2"/>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COD</w:t>
                  </w:r>
                </w:p>
              </w:tc>
              <w:tc>
                <w:tcPr>
                  <w:tcW w:w="339" w:type="pct"/>
                  <w:noWrap w:val="0"/>
                  <w:vAlign w:val="center"/>
                </w:tcPr>
                <w:p>
                  <w:pPr>
                    <w:pStyle w:val="19"/>
                    <w:bidi w:val="0"/>
                    <w:rPr>
                      <w:sz w:val="21"/>
                      <w:szCs w:val="21"/>
                    </w:rPr>
                  </w:pPr>
                  <w:r>
                    <w:rPr>
                      <w:rFonts w:hint="default"/>
                      <w:sz w:val="21"/>
                      <w:szCs w:val="21"/>
                      <w:lang w:val="en-US" w:eastAsia="zh-CN"/>
                    </w:rPr>
                    <w:t>0.34</w:t>
                  </w:r>
                </w:p>
              </w:tc>
              <w:tc>
                <w:tcPr>
                  <w:tcW w:w="327" w:type="pct"/>
                  <w:noWrap w:val="0"/>
                  <w:vAlign w:val="center"/>
                </w:tcPr>
                <w:p>
                  <w:pPr>
                    <w:pStyle w:val="19"/>
                    <w:bidi w:val="0"/>
                    <w:rPr>
                      <w:sz w:val="21"/>
                      <w:szCs w:val="21"/>
                    </w:rPr>
                  </w:pPr>
                  <w:r>
                    <w:rPr>
                      <w:rFonts w:hint="default"/>
                      <w:sz w:val="21"/>
                      <w:szCs w:val="21"/>
                      <w:lang w:val="en-US" w:eastAsia="zh-CN"/>
                    </w:rPr>
                    <w:t>228.8</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sz w:val="21"/>
                      <w:szCs w:val="21"/>
                    </w:rPr>
                  </w:pPr>
                  <w:r>
                    <w:rPr>
                      <w:rFonts w:hint="default"/>
                      <w:sz w:val="21"/>
                      <w:szCs w:val="21"/>
                      <w:lang w:val="en-US" w:eastAsia="zh-CN"/>
                    </w:rPr>
                    <w:t>0.30</w:t>
                  </w:r>
                </w:p>
              </w:tc>
              <w:tc>
                <w:tcPr>
                  <w:tcW w:w="320" w:type="pct"/>
                  <w:noWrap w:val="0"/>
                  <w:vAlign w:val="center"/>
                </w:tcPr>
                <w:p>
                  <w:pPr>
                    <w:pStyle w:val="19"/>
                    <w:bidi w:val="0"/>
                    <w:rPr>
                      <w:sz w:val="21"/>
                      <w:szCs w:val="21"/>
                    </w:rPr>
                  </w:pPr>
                  <w:r>
                    <w:rPr>
                      <w:rFonts w:hint="default"/>
                      <w:sz w:val="21"/>
                      <w:szCs w:val="21"/>
                      <w:lang w:val="en-US" w:eastAsia="zh-CN"/>
                    </w:rPr>
                    <w:t>201.7</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pct"/>
                  <w:gridSpan w:val="2"/>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BOD</w:t>
                  </w:r>
                  <w:r>
                    <w:rPr>
                      <w:rFonts w:hint="eastAsia"/>
                      <w:bCs/>
                      <w:color w:val="auto"/>
                      <w:kern w:val="0"/>
                      <w:sz w:val="21"/>
                      <w:szCs w:val="21"/>
                      <w:vertAlign w:val="subscript"/>
                    </w:rPr>
                    <w:t>5</w:t>
                  </w:r>
                </w:p>
              </w:tc>
              <w:tc>
                <w:tcPr>
                  <w:tcW w:w="339" w:type="pct"/>
                  <w:noWrap w:val="0"/>
                  <w:vAlign w:val="center"/>
                </w:tcPr>
                <w:p>
                  <w:pPr>
                    <w:pStyle w:val="19"/>
                    <w:bidi w:val="0"/>
                    <w:rPr>
                      <w:sz w:val="21"/>
                      <w:szCs w:val="21"/>
                    </w:rPr>
                  </w:pPr>
                  <w:r>
                    <w:rPr>
                      <w:rFonts w:hint="default"/>
                      <w:sz w:val="21"/>
                      <w:szCs w:val="21"/>
                      <w:lang w:val="en-US" w:eastAsia="zh-CN"/>
                    </w:rPr>
                    <w:t>0.11</w:t>
                  </w:r>
                </w:p>
              </w:tc>
              <w:tc>
                <w:tcPr>
                  <w:tcW w:w="327" w:type="pct"/>
                  <w:noWrap w:val="0"/>
                  <w:vAlign w:val="center"/>
                </w:tcPr>
                <w:p>
                  <w:pPr>
                    <w:pStyle w:val="19"/>
                    <w:bidi w:val="0"/>
                    <w:rPr>
                      <w:sz w:val="21"/>
                      <w:szCs w:val="21"/>
                    </w:rPr>
                  </w:pPr>
                  <w:r>
                    <w:rPr>
                      <w:rFonts w:hint="default"/>
                      <w:sz w:val="21"/>
                      <w:szCs w:val="21"/>
                      <w:lang w:val="en-US" w:eastAsia="zh-CN"/>
                    </w:rPr>
                    <w:t>77.3</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sz w:val="21"/>
                      <w:szCs w:val="21"/>
                    </w:rPr>
                  </w:pPr>
                  <w:r>
                    <w:rPr>
                      <w:rFonts w:hint="default"/>
                      <w:sz w:val="21"/>
                      <w:szCs w:val="21"/>
                      <w:lang w:val="en-US" w:eastAsia="zh-CN"/>
                    </w:rPr>
                    <w:t>0.10</w:t>
                  </w:r>
                </w:p>
              </w:tc>
              <w:tc>
                <w:tcPr>
                  <w:tcW w:w="320" w:type="pct"/>
                  <w:noWrap w:val="0"/>
                  <w:vAlign w:val="center"/>
                </w:tcPr>
                <w:p>
                  <w:pPr>
                    <w:pStyle w:val="19"/>
                    <w:bidi w:val="0"/>
                    <w:rPr>
                      <w:sz w:val="21"/>
                      <w:szCs w:val="21"/>
                    </w:rPr>
                  </w:pPr>
                  <w:r>
                    <w:rPr>
                      <w:rFonts w:hint="default"/>
                      <w:sz w:val="21"/>
                      <w:szCs w:val="21"/>
                      <w:lang w:val="en-US" w:eastAsia="zh-CN"/>
                    </w:rPr>
                    <w:t>70.3</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pct"/>
                  <w:gridSpan w:val="2"/>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SS</w:t>
                  </w:r>
                </w:p>
              </w:tc>
              <w:tc>
                <w:tcPr>
                  <w:tcW w:w="339" w:type="pct"/>
                  <w:noWrap w:val="0"/>
                  <w:vAlign w:val="center"/>
                </w:tcPr>
                <w:p>
                  <w:pPr>
                    <w:pStyle w:val="19"/>
                    <w:bidi w:val="0"/>
                    <w:rPr>
                      <w:sz w:val="21"/>
                      <w:szCs w:val="21"/>
                    </w:rPr>
                  </w:pPr>
                  <w:r>
                    <w:rPr>
                      <w:rFonts w:hint="default"/>
                      <w:sz w:val="21"/>
                      <w:szCs w:val="21"/>
                      <w:lang w:val="en-US" w:eastAsia="zh-CN"/>
                    </w:rPr>
                    <w:t>0.20</w:t>
                  </w:r>
                </w:p>
              </w:tc>
              <w:tc>
                <w:tcPr>
                  <w:tcW w:w="327" w:type="pct"/>
                  <w:noWrap w:val="0"/>
                  <w:vAlign w:val="center"/>
                </w:tcPr>
                <w:p>
                  <w:pPr>
                    <w:pStyle w:val="19"/>
                    <w:bidi w:val="0"/>
                    <w:rPr>
                      <w:sz w:val="21"/>
                      <w:szCs w:val="21"/>
                    </w:rPr>
                  </w:pPr>
                  <w:r>
                    <w:rPr>
                      <w:rFonts w:hint="default"/>
                      <w:sz w:val="21"/>
                      <w:szCs w:val="21"/>
                      <w:lang w:val="en-US" w:eastAsia="zh-CN"/>
                    </w:rPr>
                    <w:t>134.5</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sz w:val="21"/>
                      <w:szCs w:val="21"/>
                    </w:rPr>
                  </w:pPr>
                  <w:r>
                    <w:rPr>
                      <w:rFonts w:hint="default"/>
                      <w:sz w:val="21"/>
                      <w:szCs w:val="21"/>
                      <w:lang w:val="en-US" w:eastAsia="zh-CN"/>
                    </w:rPr>
                    <w:t>0.17</w:t>
                  </w:r>
                </w:p>
              </w:tc>
              <w:tc>
                <w:tcPr>
                  <w:tcW w:w="320" w:type="pct"/>
                  <w:noWrap w:val="0"/>
                  <w:vAlign w:val="center"/>
                </w:tcPr>
                <w:p>
                  <w:pPr>
                    <w:pStyle w:val="19"/>
                    <w:bidi w:val="0"/>
                    <w:rPr>
                      <w:sz w:val="21"/>
                      <w:szCs w:val="21"/>
                    </w:rPr>
                  </w:pPr>
                  <w:r>
                    <w:rPr>
                      <w:rFonts w:hint="default"/>
                      <w:sz w:val="21"/>
                      <w:szCs w:val="21"/>
                      <w:lang w:val="en-US" w:eastAsia="zh-CN"/>
                    </w:rPr>
                    <w:t>116.0</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5" w:type="pct"/>
                  <w:gridSpan w:val="2"/>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p>
              </w:tc>
              <w:tc>
                <w:tcPr>
                  <w:tcW w:w="381"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bCs/>
                      <w:color w:val="auto"/>
                      <w:kern w:val="0"/>
                      <w:sz w:val="21"/>
                      <w:szCs w:val="21"/>
                    </w:rPr>
                  </w:pPr>
                  <w:r>
                    <w:rPr>
                      <w:rFonts w:hint="eastAsia"/>
                      <w:bCs/>
                      <w:color w:val="auto"/>
                      <w:kern w:val="0"/>
                      <w:sz w:val="21"/>
                      <w:szCs w:val="21"/>
                    </w:rPr>
                    <w:t>NH</w:t>
                  </w:r>
                  <w:r>
                    <w:rPr>
                      <w:rFonts w:hint="eastAsia"/>
                      <w:bCs/>
                      <w:color w:val="auto"/>
                      <w:kern w:val="0"/>
                      <w:sz w:val="21"/>
                      <w:szCs w:val="21"/>
                      <w:vertAlign w:val="subscript"/>
                    </w:rPr>
                    <w:t>3</w:t>
                  </w:r>
                  <w:r>
                    <w:rPr>
                      <w:rFonts w:hint="eastAsia"/>
                      <w:bCs/>
                      <w:color w:val="auto"/>
                      <w:kern w:val="0"/>
                      <w:sz w:val="21"/>
                      <w:szCs w:val="21"/>
                    </w:rPr>
                    <w:t>-N</w:t>
                  </w:r>
                </w:p>
              </w:tc>
              <w:tc>
                <w:tcPr>
                  <w:tcW w:w="339" w:type="pct"/>
                  <w:noWrap w:val="0"/>
                  <w:vAlign w:val="center"/>
                </w:tcPr>
                <w:p>
                  <w:pPr>
                    <w:pStyle w:val="19"/>
                    <w:bidi w:val="0"/>
                    <w:rPr>
                      <w:sz w:val="21"/>
                      <w:szCs w:val="21"/>
                    </w:rPr>
                  </w:pPr>
                  <w:r>
                    <w:rPr>
                      <w:rFonts w:hint="default"/>
                      <w:sz w:val="21"/>
                      <w:szCs w:val="21"/>
                      <w:lang w:val="en-US" w:eastAsia="zh-CN"/>
                    </w:rPr>
                    <w:t>0.02</w:t>
                  </w:r>
                </w:p>
              </w:tc>
              <w:tc>
                <w:tcPr>
                  <w:tcW w:w="327" w:type="pct"/>
                  <w:noWrap w:val="0"/>
                  <w:vAlign w:val="center"/>
                </w:tcPr>
                <w:p>
                  <w:pPr>
                    <w:pStyle w:val="19"/>
                    <w:bidi w:val="0"/>
                    <w:rPr>
                      <w:sz w:val="21"/>
                      <w:szCs w:val="21"/>
                    </w:rPr>
                  </w:pPr>
                  <w:r>
                    <w:rPr>
                      <w:rFonts w:hint="default"/>
                      <w:sz w:val="21"/>
                      <w:szCs w:val="21"/>
                      <w:lang w:val="en-US" w:eastAsia="zh-CN"/>
                    </w:rPr>
                    <w:t>13.4</w:t>
                  </w: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77"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3"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5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89" w:type="pct"/>
                  <w:noWrap w:val="0"/>
                  <w:vAlign w:val="center"/>
                </w:tcPr>
                <w:p>
                  <w:pPr>
                    <w:pStyle w:val="19"/>
                    <w:bidi w:val="0"/>
                    <w:rPr>
                      <w:sz w:val="21"/>
                      <w:szCs w:val="21"/>
                    </w:rPr>
                  </w:pPr>
                  <w:r>
                    <w:rPr>
                      <w:rFonts w:hint="default"/>
                      <w:sz w:val="21"/>
                      <w:szCs w:val="21"/>
                      <w:lang w:val="en-US" w:eastAsia="zh-CN"/>
                    </w:rPr>
                    <w:t>0.02</w:t>
                  </w:r>
                </w:p>
              </w:tc>
              <w:tc>
                <w:tcPr>
                  <w:tcW w:w="320" w:type="pct"/>
                  <w:noWrap w:val="0"/>
                  <w:vAlign w:val="center"/>
                </w:tcPr>
                <w:p>
                  <w:pPr>
                    <w:pStyle w:val="19"/>
                    <w:bidi w:val="0"/>
                    <w:rPr>
                      <w:sz w:val="21"/>
                      <w:szCs w:val="21"/>
                    </w:rPr>
                  </w:pPr>
                  <w:r>
                    <w:rPr>
                      <w:rFonts w:hint="default"/>
                      <w:sz w:val="21"/>
                      <w:szCs w:val="21"/>
                      <w:lang w:val="en-US" w:eastAsia="zh-CN"/>
                    </w:rPr>
                    <w:t>12.9</w:t>
                  </w:r>
                </w:p>
              </w:tc>
              <w:tc>
                <w:tcPr>
                  <w:tcW w:w="340"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264"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c>
                <w:tcPr>
                  <w:tcW w:w="305" w:type="pct"/>
                  <w:vMerge w:val="continue"/>
                  <w:noWrap w:val="0"/>
                  <w:vAlign w:val="top"/>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bCs/>
                      <w:color w:val="auto"/>
                      <w:sz w:val="21"/>
                      <w:szCs w:val="21"/>
                    </w:rPr>
                  </w:pPr>
                </w:p>
              </w:tc>
            </w:tr>
          </w:tbl>
          <w:p>
            <w:pPr>
              <w:pStyle w:val="19"/>
              <w:rPr>
                <w:rFonts w:hint="eastAsia"/>
                <w:vertAlign w:val="baseline"/>
                <w:lang w:val="en-US" w:eastAsia="zh-CN"/>
              </w:rPr>
            </w:pPr>
          </w:p>
          <w:p>
            <w:pPr>
              <w:pStyle w:val="19"/>
              <w:rPr>
                <w:rFonts w:hint="eastAsia"/>
                <w:vertAlign w:val="baseline"/>
                <w:lang w:val="en-US" w:eastAsia="zh-CN"/>
              </w:rPr>
            </w:pPr>
          </w:p>
          <w:p>
            <w:pPr>
              <w:pStyle w:val="19"/>
              <w:rPr>
                <w:rFonts w:hint="eastAsia"/>
                <w:vertAlign w:val="baseline"/>
                <w:lang w:val="en-US" w:eastAsia="zh-CN"/>
              </w:rPr>
            </w:pPr>
          </w:p>
        </w:tc>
      </w:tr>
    </w:tbl>
    <w:p>
      <w:pPr>
        <w:pStyle w:val="19"/>
        <w:rPr>
          <w:rFonts w:hint="default"/>
          <w:lang w:val="en-US" w:eastAsia="zh-CN"/>
        </w:rPr>
        <w:sectPr>
          <w:pgSz w:w="16838" w:h="11906" w:orient="landscape"/>
          <w:pgMar w:top="1418" w:right="1418" w:bottom="1418" w:left="1418" w:header="851" w:footer="851" w:gutter="0"/>
          <w:cols w:space="425" w:num="1"/>
          <w:docGrid w:type="lines" w:linePitch="326" w:charSpace="0"/>
        </w:sectPr>
      </w:pPr>
    </w:p>
    <w:tbl>
      <w:tblPr>
        <w:tblStyle w:val="16"/>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5"/>
        <w:gridCol w:w="87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69" w:type="pct"/>
            <w:tcMar>
              <w:left w:w="28" w:type="dxa"/>
              <w:right w:w="28" w:type="dxa"/>
            </w:tcMar>
          </w:tcPr>
          <w:p>
            <w:pPr>
              <w:widowControl/>
              <w:spacing w:line="480" w:lineRule="exact"/>
              <w:ind w:firstLine="0" w:firstLineChars="0"/>
              <w:jc w:val="center"/>
              <w:rPr>
                <w:b/>
                <w:bCs/>
                <w:kern w:val="0"/>
              </w:rPr>
            </w:pPr>
            <w:r>
              <w:rPr>
                <w:b/>
                <w:bCs/>
                <w:kern w:val="0"/>
              </w:rPr>
              <w:t>运营</w:t>
            </w:r>
          </w:p>
          <w:p>
            <w:pPr>
              <w:widowControl/>
              <w:spacing w:line="480" w:lineRule="exact"/>
              <w:ind w:firstLine="0" w:firstLineChars="0"/>
              <w:jc w:val="center"/>
              <w:rPr>
                <w:b/>
                <w:bCs/>
                <w:kern w:val="0"/>
              </w:rPr>
            </w:pPr>
            <w:r>
              <w:rPr>
                <w:b/>
                <w:bCs/>
                <w:kern w:val="0"/>
              </w:rPr>
              <w:t>期环</w:t>
            </w:r>
          </w:p>
          <w:p>
            <w:pPr>
              <w:widowControl/>
              <w:spacing w:line="480" w:lineRule="exact"/>
              <w:ind w:firstLine="0" w:firstLineChars="0"/>
              <w:jc w:val="center"/>
              <w:rPr>
                <w:b/>
                <w:bCs/>
                <w:kern w:val="0"/>
              </w:rPr>
            </w:pPr>
            <w:r>
              <w:rPr>
                <w:b/>
                <w:bCs/>
                <w:kern w:val="0"/>
              </w:rPr>
              <w:t>境影</w:t>
            </w:r>
          </w:p>
          <w:p>
            <w:pPr>
              <w:widowControl/>
              <w:spacing w:line="480" w:lineRule="exact"/>
              <w:ind w:firstLine="0" w:firstLineChars="0"/>
              <w:jc w:val="center"/>
              <w:rPr>
                <w:b/>
                <w:bCs/>
                <w:kern w:val="0"/>
              </w:rPr>
            </w:pPr>
            <w:r>
              <w:rPr>
                <w:b/>
                <w:bCs/>
                <w:kern w:val="0"/>
              </w:rPr>
              <w:t>响和</w:t>
            </w:r>
          </w:p>
          <w:p>
            <w:pPr>
              <w:widowControl/>
              <w:spacing w:line="480" w:lineRule="exact"/>
              <w:ind w:firstLine="0" w:firstLineChars="0"/>
              <w:jc w:val="center"/>
              <w:rPr>
                <w:b/>
                <w:bCs/>
                <w:kern w:val="0"/>
              </w:rPr>
            </w:pPr>
            <w:r>
              <w:rPr>
                <w:b/>
                <w:bCs/>
                <w:kern w:val="0"/>
              </w:rPr>
              <w:t>保护</w:t>
            </w:r>
          </w:p>
          <w:p>
            <w:pPr>
              <w:widowControl/>
              <w:spacing w:line="480" w:lineRule="exact"/>
              <w:ind w:firstLine="0" w:firstLineChars="0"/>
              <w:jc w:val="center"/>
              <w:rPr>
                <w:b/>
                <w:bCs/>
                <w:kern w:val="0"/>
              </w:rPr>
            </w:pPr>
            <w:r>
              <w:rPr>
                <w:b/>
                <w:bCs/>
                <w:kern w:val="0"/>
              </w:rPr>
              <w:t>措施</w:t>
            </w:r>
          </w:p>
        </w:tc>
        <w:tc>
          <w:tcPr>
            <w:tcW w:w="4730" w:type="pct"/>
          </w:tcPr>
          <w:p>
            <w:pPr>
              <w:pStyle w:val="21"/>
              <w:keepNext w:val="0"/>
              <w:keepLines w:val="0"/>
              <w:pageBreakBefore w:val="0"/>
              <w:widowControl w:val="0"/>
              <w:kinsoku/>
              <w:wordWrap/>
              <w:overflowPunct/>
              <w:topLinePunct w:val="0"/>
              <w:autoSpaceDE/>
              <w:autoSpaceDN/>
              <w:bidi w:val="0"/>
              <w:adjustRightInd/>
              <w:snapToGrid/>
              <w:spacing w:before="0"/>
              <w:textAlignment w:val="auto"/>
            </w:pPr>
            <w:r>
              <w:drawing>
                <wp:inline distT="0" distB="0" distL="114300" distR="114300">
                  <wp:extent cx="5111750" cy="2698115"/>
                  <wp:effectExtent l="0" t="0" r="12700" b="698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2"/>
                          <a:srcRect l="3009" t="2239" r="2963" b="9367"/>
                          <a:stretch>
                            <a:fillRect/>
                          </a:stretch>
                        </pic:blipFill>
                        <pic:spPr>
                          <a:xfrm>
                            <a:off x="0" y="0"/>
                            <a:ext cx="5111750" cy="2698115"/>
                          </a:xfrm>
                          <a:prstGeom prst="rect">
                            <a:avLst/>
                          </a:prstGeom>
                          <a:noFill/>
                          <a:ln>
                            <a:noFill/>
                          </a:ln>
                        </pic:spPr>
                      </pic:pic>
                    </a:graphicData>
                  </a:graphic>
                </wp:inline>
              </w:drawing>
            </w:r>
          </w:p>
          <w:p>
            <w:pPr>
              <w:pStyle w:val="23"/>
              <w:bidi w:val="0"/>
              <w:rPr>
                <w:rFonts w:hint="default" w:eastAsia="宋体"/>
                <w:lang w:val="en-US" w:eastAsia="zh-CN"/>
              </w:rPr>
            </w:pPr>
            <w:r>
              <w:rPr>
                <w:rFonts w:hint="eastAsia"/>
                <w:lang w:val="en-US" w:eastAsia="zh-CN"/>
              </w:rPr>
              <w:t>图4-1  怀远经济开发区污水处理厂工艺流程示意图</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sz w:val="24"/>
                <w:highlight w:val="none"/>
              </w:rPr>
            </w:pPr>
            <w:r>
              <w:rPr>
                <w:color w:val="auto"/>
                <w:sz w:val="24"/>
                <w:highlight w:val="none"/>
              </w:rPr>
              <w:t>项目所在地属于</w:t>
            </w:r>
            <w:r>
              <w:rPr>
                <w:rFonts w:hint="eastAsia"/>
                <w:color w:val="auto"/>
                <w:sz w:val="24"/>
                <w:highlight w:val="none"/>
              </w:rPr>
              <w:t>怀远经济开发区污水厂</w:t>
            </w:r>
            <w:r>
              <w:rPr>
                <w:rFonts w:hint="eastAsia"/>
                <w:color w:val="auto"/>
                <w:kern w:val="0"/>
                <w:lang w:val="en-US" w:eastAsia="zh-CN"/>
              </w:rPr>
              <w:t>(一期)</w:t>
            </w:r>
            <w:r>
              <w:rPr>
                <w:rFonts w:hint="eastAsia"/>
                <w:color w:val="auto"/>
                <w:sz w:val="24"/>
                <w:highlight w:val="none"/>
              </w:rPr>
              <w:t>收水范围</w:t>
            </w:r>
            <w:r>
              <w:rPr>
                <w:color w:val="auto"/>
                <w:sz w:val="24"/>
                <w:highlight w:val="none"/>
              </w:rPr>
              <w:t>。项目废水量为</w:t>
            </w:r>
            <w:r>
              <w:rPr>
                <w:rFonts w:hint="eastAsia" w:ascii="Times New Roman" w:hAnsi="Times New Roman" w:cs="Times New Roman"/>
                <w:bCs/>
                <w:color w:val="auto"/>
                <w:highlight w:val="none"/>
                <w:lang w:val="en-US" w:eastAsia="zh-CN"/>
              </w:rPr>
              <w:t>4</w:t>
            </w:r>
            <w:r>
              <w:rPr>
                <w:rFonts w:hint="default" w:ascii="Times New Roman" w:hAnsi="Times New Roman" w:cs="Times New Roman"/>
                <w:bCs/>
                <w:color w:val="auto"/>
                <w:highlight w:val="none"/>
                <w:lang w:val="en-US" w:eastAsia="zh-CN"/>
              </w:rPr>
              <w:t>.</w:t>
            </w:r>
            <w:r>
              <w:rPr>
                <w:rFonts w:hint="eastAsia" w:ascii="Times New Roman" w:hAnsi="Times New Roman" w:cs="Times New Roman"/>
                <w:bCs/>
                <w:color w:val="auto"/>
                <w:highlight w:val="none"/>
                <w:lang w:val="en-US" w:eastAsia="zh-CN"/>
              </w:rPr>
              <w:t>9</w:t>
            </w:r>
            <w:r>
              <w:rPr>
                <w:rFonts w:hint="default" w:ascii="Times New Roman" w:hAnsi="Times New Roman" w:cs="Times New Roman"/>
                <w:bCs/>
                <w:color w:val="auto"/>
                <w:highlight w:val="none"/>
                <w:lang w:val="en-US" w:eastAsia="zh-CN"/>
              </w:rPr>
              <w:t>5m</w:t>
            </w:r>
            <w:r>
              <w:rPr>
                <w:rFonts w:hint="default" w:ascii="Times New Roman" w:hAnsi="Times New Roman" w:cs="Times New Roman"/>
                <w:bCs/>
                <w:color w:val="auto"/>
                <w:highlight w:val="none"/>
                <w:vertAlign w:val="superscript"/>
                <w:lang w:val="en-US" w:eastAsia="zh-CN"/>
              </w:rPr>
              <w:t>3</w:t>
            </w:r>
            <w:r>
              <w:rPr>
                <w:rFonts w:hint="default" w:ascii="Times New Roman" w:hAnsi="Times New Roman" w:cs="Times New Roman"/>
                <w:bCs/>
                <w:color w:val="auto"/>
                <w:highlight w:val="none"/>
                <w:lang w:val="en-US" w:eastAsia="zh-CN"/>
              </w:rPr>
              <w:t>/d</w:t>
            </w:r>
            <w:r>
              <w:rPr>
                <w:rFonts w:hint="eastAsia"/>
                <w:color w:val="auto"/>
                <w:highlight w:val="none"/>
                <w:lang w:val="en-US" w:eastAsia="zh-CN"/>
              </w:rPr>
              <w:t>(</w:t>
            </w:r>
            <w:r>
              <w:rPr>
                <w:rFonts w:hint="eastAsia" w:ascii="Times New Roman" w:hAnsi="Times New Roman" w:cs="Times New Roman"/>
                <w:bCs/>
                <w:color w:val="auto"/>
                <w:highlight w:val="none"/>
                <w:lang w:val="en-US" w:eastAsia="zh-CN"/>
              </w:rPr>
              <w:t>1485</w:t>
            </w:r>
            <w:r>
              <w:rPr>
                <w:rFonts w:hint="default" w:ascii="Times New Roman" w:hAnsi="Times New Roman" w:cs="Times New Roman"/>
                <w:bCs/>
                <w:color w:val="auto"/>
                <w:highlight w:val="none"/>
                <w:lang w:val="en-US" w:eastAsia="zh-CN"/>
              </w:rPr>
              <w:t>m</w:t>
            </w:r>
            <w:r>
              <w:rPr>
                <w:rFonts w:hint="default" w:ascii="Times New Roman" w:hAnsi="Times New Roman" w:cs="Times New Roman"/>
                <w:bCs/>
                <w:color w:val="auto"/>
                <w:highlight w:val="none"/>
                <w:vertAlign w:val="superscript"/>
                <w:lang w:val="en-US" w:eastAsia="zh-CN"/>
              </w:rPr>
              <w:t>3</w:t>
            </w:r>
            <w:r>
              <w:rPr>
                <w:rFonts w:hint="default" w:ascii="Times New Roman" w:hAnsi="Times New Roman" w:cs="Times New Roman"/>
                <w:bCs/>
                <w:color w:val="auto"/>
                <w:highlight w:val="none"/>
                <w:lang w:val="en-US" w:eastAsia="zh-CN"/>
              </w:rPr>
              <w:t>/a</w:t>
            </w:r>
            <w:r>
              <w:rPr>
                <w:rFonts w:hint="eastAsia"/>
                <w:color w:val="auto"/>
                <w:highlight w:val="none"/>
                <w:lang w:val="en-US" w:eastAsia="zh-CN"/>
              </w:rPr>
              <w:t>)</w:t>
            </w:r>
            <w:r>
              <w:rPr>
                <w:color w:val="auto"/>
                <w:sz w:val="24"/>
                <w:highlight w:val="none"/>
              </w:rPr>
              <w:t>，主要污染物为COD、BOD</w:t>
            </w:r>
            <w:r>
              <w:rPr>
                <w:color w:val="auto"/>
                <w:sz w:val="24"/>
                <w:highlight w:val="none"/>
                <w:vertAlign w:val="subscript"/>
              </w:rPr>
              <w:t>5</w:t>
            </w:r>
            <w:r>
              <w:rPr>
                <w:color w:val="auto"/>
                <w:sz w:val="24"/>
                <w:highlight w:val="none"/>
              </w:rPr>
              <w:t>、SS、氨氮等，</w:t>
            </w:r>
            <w:r>
              <w:rPr>
                <w:rFonts w:hint="eastAsia"/>
                <w:color w:val="auto"/>
                <w:sz w:val="24"/>
                <w:highlight w:val="none"/>
              </w:rPr>
              <w:t>经处理后能够</w:t>
            </w:r>
            <w:r>
              <w:rPr>
                <w:color w:val="auto"/>
                <w:sz w:val="24"/>
                <w:highlight w:val="none"/>
              </w:rPr>
              <w:t>达到</w:t>
            </w:r>
            <w:r>
              <w:rPr>
                <w:rFonts w:hint="eastAsia"/>
                <w:color w:val="auto"/>
                <w:sz w:val="24"/>
                <w:highlight w:val="none"/>
              </w:rPr>
              <w:t>怀远经济开发区污水厂</w:t>
            </w:r>
            <w:r>
              <w:rPr>
                <w:rFonts w:hint="eastAsia"/>
                <w:color w:val="auto"/>
                <w:kern w:val="0"/>
                <w:lang w:val="en-US" w:eastAsia="zh-CN"/>
              </w:rPr>
              <w:t>(一期)</w:t>
            </w:r>
            <w:r>
              <w:rPr>
                <w:color w:val="auto"/>
                <w:sz w:val="24"/>
                <w:highlight w:val="none"/>
              </w:rPr>
              <w:t>接管标准</w:t>
            </w:r>
            <w:r>
              <w:rPr>
                <w:rFonts w:hint="eastAsia"/>
                <w:color w:val="auto"/>
                <w:sz w:val="24"/>
                <w:highlight w:val="none"/>
              </w:rPr>
              <w:t>，项目废水量占怀远经济开发区污水厂</w:t>
            </w:r>
            <w:r>
              <w:rPr>
                <w:rFonts w:hint="eastAsia"/>
                <w:color w:val="auto"/>
                <w:kern w:val="0"/>
                <w:lang w:val="en-US" w:eastAsia="zh-CN"/>
              </w:rPr>
              <w:t>(一期)</w:t>
            </w:r>
            <w:r>
              <w:rPr>
                <w:rFonts w:hint="eastAsia"/>
                <w:color w:val="auto"/>
                <w:sz w:val="24"/>
                <w:highlight w:val="none"/>
              </w:rPr>
              <w:t>废水日处理量比例较小，</w:t>
            </w:r>
            <w:r>
              <w:rPr>
                <w:color w:val="auto"/>
                <w:sz w:val="24"/>
                <w:highlight w:val="none"/>
              </w:rPr>
              <w:t>废水中各类污染物浓度均低于接管标准，不会对</w:t>
            </w:r>
            <w:r>
              <w:rPr>
                <w:rFonts w:hint="eastAsia"/>
                <w:color w:val="auto"/>
                <w:sz w:val="24"/>
                <w:highlight w:val="none"/>
              </w:rPr>
              <w:t>怀远经济开发区污水厂</w:t>
            </w:r>
            <w:r>
              <w:rPr>
                <w:rFonts w:hint="eastAsia"/>
                <w:color w:val="auto"/>
                <w:kern w:val="0"/>
                <w:lang w:val="en-US" w:eastAsia="zh-CN"/>
              </w:rPr>
              <w:t>(一期)</w:t>
            </w:r>
            <w:r>
              <w:rPr>
                <w:color w:val="auto"/>
                <w:sz w:val="24"/>
                <w:highlight w:val="none"/>
              </w:rPr>
              <w:t>系统造成冲击。</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rPr>
            </w:pPr>
            <w:r>
              <w:rPr>
                <w:rFonts w:hint="eastAsia"/>
                <w:color w:val="auto"/>
              </w:rPr>
              <w:t>综上所述，</w:t>
            </w:r>
            <w:r>
              <w:rPr>
                <w:color w:val="auto"/>
              </w:rPr>
              <w:t>在确保废水能够达到污水处理厂接管标准的前提下，项目废水的排放对区域地表水环境影响较小。</w:t>
            </w:r>
          </w:p>
          <w:p>
            <w:pPr>
              <w:pStyle w:val="15"/>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lang w:val="en-US" w:eastAsia="zh-CN"/>
              </w:rPr>
            </w:pPr>
            <w:r>
              <w:rPr>
                <w:rFonts w:hint="eastAsia"/>
                <w:b/>
                <w:bCs/>
                <w:lang w:eastAsia="zh-CN"/>
              </w:rPr>
              <w:t>(</w:t>
            </w:r>
            <w:r>
              <w:rPr>
                <w:rFonts w:hint="eastAsia"/>
                <w:b/>
                <w:bCs/>
                <w:lang w:val="en-US" w:eastAsia="zh-CN"/>
              </w:rPr>
              <w:t>4</w:t>
            </w:r>
            <w:r>
              <w:rPr>
                <w:rFonts w:hint="eastAsia"/>
                <w:b/>
                <w:bCs/>
                <w:lang w:eastAsia="zh-CN"/>
              </w:rPr>
              <w:t>)</w:t>
            </w:r>
            <w:r>
              <w:rPr>
                <w:rFonts w:hint="eastAsia"/>
                <w:b/>
                <w:bCs/>
                <w:lang w:val="en-US" w:eastAsia="zh-CN"/>
              </w:rPr>
              <w:t xml:space="preserve"> 废水监测计划</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lang w:val="en-US" w:eastAsia="zh-CN"/>
              </w:rPr>
            </w:pPr>
            <w:r>
              <w:rPr>
                <w:rFonts w:hint="eastAsia"/>
                <w:lang w:val="en-US" w:eastAsia="zh-CN"/>
              </w:rPr>
              <w:t>根据《排污单位自行监测技术指南 金属铸造工业》(HJ 1251-2022)，项目废水监测计划见表4-2。</w:t>
            </w:r>
          </w:p>
          <w:p>
            <w:pPr>
              <w:pStyle w:val="21"/>
              <w:bidi w:val="0"/>
              <w:rPr>
                <w:rFonts w:hint="default"/>
                <w:lang w:val="en-US" w:eastAsia="zh-CN"/>
              </w:rPr>
            </w:pPr>
            <w:r>
              <w:rPr>
                <w:rFonts w:hint="eastAsia"/>
                <w:lang w:val="en-US" w:eastAsia="zh-CN"/>
              </w:rPr>
              <w:t>表4-2  项目腹水监测计划一览表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1"/>
              <w:gridCol w:w="4818"/>
              <w:gridCol w:w="1147"/>
              <w:gridCol w:w="1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shd w:val="clear" w:color="auto" w:fill="auto"/>
                  <w:vAlign w:val="center"/>
                </w:tcPr>
                <w:p>
                  <w:pPr>
                    <w:pStyle w:val="19"/>
                    <w:bidi w:val="0"/>
                    <w:rPr>
                      <w:rFonts w:hint="default" w:eastAsia="宋体"/>
                      <w:b/>
                      <w:bCs/>
                      <w:vertAlign w:val="baseline"/>
                      <w:lang w:val="en-US" w:eastAsia="zh-CN"/>
                    </w:rPr>
                  </w:pPr>
                  <w:r>
                    <w:rPr>
                      <w:rFonts w:hint="eastAsia"/>
                      <w:b/>
                      <w:bCs/>
                      <w:vertAlign w:val="baseline"/>
                      <w:lang w:val="en-US" w:eastAsia="zh-CN"/>
                    </w:rPr>
                    <w:t>监测点位</w:t>
                  </w:r>
                </w:p>
              </w:tc>
              <w:tc>
                <w:tcPr>
                  <w:tcW w:w="2839" w:type="pct"/>
                  <w:shd w:val="clear" w:color="auto" w:fill="auto"/>
                  <w:vAlign w:val="center"/>
                </w:tcPr>
                <w:p>
                  <w:pPr>
                    <w:pStyle w:val="19"/>
                    <w:bidi w:val="0"/>
                    <w:rPr>
                      <w:rFonts w:hint="eastAsia" w:eastAsia="宋体"/>
                      <w:b/>
                      <w:bCs/>
                      <w:vertAlign w:val="baseline"/>
                      <w:lang w:val="en-US" w:eastAsia="zh-CN"/>
                    </w:rPr>
                  </w:pPr>
                  <w:r>
                    <w:rPr>
                      <w:rFonts w:hint="eastAsia"/>
                      <w:b/>
                      <w:bCs/>
                      <w:vertAlign w:val="baseline"/>
                      <w:lang w:val="en-US" w:eastAsia="zh-CN"/>
                    </w:rPr>
                    <w:t>监测指标</w:t>
                  </w:r>
                </w:p>
              </w:tc>
              <w:tc>
                <w:tcPr>
                  <w:tcW w:w="676" w:type="pct"/>
                  <w:shd w:val="clear" w:color="auto" w:fill="auto"/>
                  <w:vAlign w:val="center"/>
                </w:tcPr>
                <w:p>
                  <w:pPr>
                    <w:pStyle w:val="19"/>
                    <w:bidi w:val="0"/>
                    <w:rPr>
                      <w:rFonts w:hint="default" w:eastAsia="宋体"/>
                      <w:b/>
                      <w:bCs/>
                      <w:vertAlign w:val="baseline"/>
                      <w:lang w:val="en-US" w:eastAsia="zh-CN"/>
                    </w:rPr>
                  </w:pPr>
                  <w:r>
                    <w:rPr>
                      <w:rFonts w:hint="eastAsia"/>
                      <w:b/>
                      <w:bCs/>
                      <w:vertAlign w:val="baseline"/>
                      <w:lang w:val="en-US" w:eastAsia="zh-CN"/>
                    </w:rPr>
                    <w:t>监测频次</w:t>
                  </w:r>
                </w:p>
              </w:tc>
              <w:tc>
                <w:tcPr>
                  <w:tcW w:w="674" w:type="pct"/>
                  <w:shd w:val="clear" w:color="auto" w:fill="auto"/>
                  <w:vAlign w:val="center"/>
                </w:tcPr>
                <w:p>
                  <w:pPr>
                    <w:pStyle w:val="19"/>
                    <w:bidi w:val="0"/>
                    <w:rPr>
                      <w:rFonts w:hint="eastAsia" w:eastAsia="宋体"/>
                      <w:b/>
                      <w:bCs/>
                      <w:vertAlign w:val="baseline"/>
                      <w:lang w:val="en-US" w:eastAsia="zh-CN"/>
                    </w:rPr>
                  </w:pPr>
                  <w:r>
                    <w:rPr>
                      <w:rFonts w:hint="eastAsia"/>
                      <w:b/>
                      <w:bCs/>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8" w:type="pct"/>
                  <w:shd w:val="clear" w:color="auto" w:fill="auto"/>
                  <w:vAlign w:val="center"/>
                </w:tcPr>
                <w:p>
                  <w:pPr>
                    <w:pStyle w:val="19"/>
                    <w:bidi w:val="0"/>
                    <w:rPr>
                      <w:rFonts w:hint="default" w:eastAsia="宋体"/>
                      <w:vertAlign w:val="baseline"/>
                      <w:lang w:val="en-US" w:eastAsia="zh-CN"/>
                    </w:rPr>
                  </w:pPr>
                  <w:r>
                    <w:rPr>
                      <w:rFonts w:hint="eastAsia"/>
                      <w:vertAlign w:val="baseline"/>
                      <w:lang w:val="en-US" w:eastAsia="zh-CN"/>
                    </w:rPr>
                    <w:t>废水总排口</w:t>
                  </w:r>
                </w:p>
              </w:tc>
              <w:tc>
                <w:tcPr>
                  <w:tcW w:w="2839" w:type="pct"/>
                  <w:shd w:val="clear" w:color="auto" w:fill="auto"/>
                  <w:vAlign w:val="center"/>
                </w:tcPr>
                <w:p>
                  <w:pPr>
                    <w:pStyle w:val="19"/>
                    <w:bidi w:val="0"/>
                    <w:rPr>
                      <w:rFonts w:hint="default" w:eastAsia="宋体"/>
                      <w:vertAlign w:val="baseline"/>
                      <w:lang w:val="en-US" w:eastAsia="zh-CN"/>
                    </w:rPr>
                  </w:pPr>
                  <w:r>
                    <w:rPr>
                      <w:rFonts w:hint="eastAsia"/>
                      <w:vertAlign w:val="baseline"/>
                      <w:lang w:val="en-US" w:eastAsia="zh-CN"/>
                    </w:rPr>
                    <w:t>pH值、SS、COD、BOD</w:t>
                  </w:r>
                  <w:r>
                    <w:rPr>
                      <w:rFonts w:hint="eastAsia"/>
                      <w:vertAlign w:val="subscript"/>
                      <w:lang w:val="en-US" w:eastAsia="zh-CN"/>
                    </w:rPr>
                    <w:t>5</w:t>
                  </w:r>
                  <w:r>
                    <w:rPr>
                      <w:rFonts w:hint="eastAsia"/>
                      <w:vertAlign w:val="baseline"/>
                      <w:lang w:val="en-US" w:eastAsia="zh-CN"/>
                    </w:rPr>
                    <w:t>、氨氮、总磷、总氮</w:t>
                  </w:r>
                </w:p>
              </w:tc>
              <w:tc>
                <w:tcPr>
                  <w:tcW w:w="676" w:type="pct"/>
                  <w:shd w:val="clear" w:color="auto" w:fill="auto"/>
                  <w:vAlign w:val="center"/>
                </w:tcPr>
                <w:p>
                  <w:pPr>
                    <w:pStyle w:val="19"/>
                    <w:bidi w:val="0"/>
                    <w:rPr>
                      <w:rFonts w:hint="default" w:eastAsia="宋体"/>
                      <w:vertAlign w:val="baseline"/>
                      <w:lang w:val="en-US" w:eastAsia="zh-CN"/>
                    </w:rPr>
                  </w:pPr>
                  <w:r>
                    <w:rPr>
                      <w:rFonts w:hint="eastAsia"/>
                      <w:vertAlign w:val="baseline"/>
                      <w:lang w:val="en-US" w:eastAsia="zh-CN"/>
                    </w:rPr>
                    <w:t>年/次</w:t>
                  </w:r>
                </w:p>
              </w:tc>
              <w:tc>
                <w:tcPr>
                  <w:tcW w:w="674" w:type="pct"/>
                  <w:shd w:val="clear" w:color="auto" w:fill="auto"/>
                  <w:vAlign w:val="center"/>
                </w:tcPr>
                <w:p>
                  <w:pPr>
                    <w:pStyle w:val="19"/>
                    <w:bidi w:val="0"/>
                    <w:rPr>
                      <w:rFonts w:hint="default" w:eastAsia="宋体"/>
                      <w:vertAlign w:val="baseline"/>
                      <w:lang w:val="en-US" w:eastAsia="zh-CN"/>
                    </w:rPr>
                  </w:pPr>
                  <w:r>
                    <w:rPr>
                      <w:rFonts w:hint="eastAsia"/>
                      <w:vertAlign w:val="baseline"/>
                      <w:lang w:val="en-US" w:eastAsia="zh-CN"/>
                    </w:rPr>
                    <w:t>间接排放</w:t>
                  </w:r>
                </w:p>
              </w:tc>
            </w:tr>
          </w:tbl>
          <w:p>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auto"/>
              <w:rPr>
                <w:b/>
                <w:bCs/>
                <w:kern w:val="0"/>
              </w:rPr>
            </w:pPr>
            <w:r>
              <w:rPr>
                <w:b/>
                <w:bCs/>
                <w:kern w:val="0"/>
              </w:rPr>
              <w:t>3</w:t>
            </w:r>
            <w:r>
              <w:rPr>
                <w:rFonts w:hint="eastAsia"/>
                <w:b/>
                <w:bCs/>
                <w:kern w:val="0"/>
              </w:rPr>
              <w:t>、噪声</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eastAsia="宋体"/>
                <w:b/>
                <w:bCs/>
                <w:kern w:val="0"/>
                <w:lang w:val="en-US" w:eastAsia="zh-CN"/>
              </w:rPr>
            </w:pPr>
            <w:r>
              <w:rPr>
                <w:rFonts w:hint="eastAsia"/>
                <w:b/>
                <w:bCs/>
                <w:kern w:val="0"/>
                <w:lang w:eastAsia="zh-CN"/>
              </w:rPr>
              <w:t>(</w:t>
            </w:r>
            <w:r>
              <w:rPr>
                <w:rFonts w:hint="eastAsia"/>
                <w:b/>
                <w:bCs/>
                <w:kern w:val="0"/>
                <w:lang w:val="en-US" w:eastAsia="zh-CN"/>
              </w:rPr>
              <w:t>1</w:t>
            </w:r>
            <w:r>
              <w:rPr>
                <w:rFonts w:hint="eastAsia"/>
                <w:b/>
                <w:bCs/>
                <w:kern w:val="0"/>
                <w:lang w:eastAsia="zh-CN"/>
              </w:rPr>
              <w:t>)</w:t>
            </w:r>
            <w:r>
              <w:rPr>
                <w:rFonts w:hint="eastAsia"/>
                <w:b/>
                <w:bCs/>
                <w:kern w:val="0"/>
                <w:lang w:val="en-US" w:eastAsia="zh-CN"/>
              </w:rPr>
              <w:t xml:space="preserve"> 主要噪声源及降噪措施</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pPr>
            <w:r>
              <w:rPr>
                <w:rFonts w:hint="eastAsia"/>
                <w:color w:val="auto"/>
                <w:kern w:val="0"/>
              </w:rPr>
              <w:t>项目</w:t>
            </w:r>
            <w:r>
              <w:rPr>
                <w:rFonts w:hint="eastAsia"/>
                <w:color w:val="auto"/>
                <w:kern w:val="0"/>
                <w:lang w:val="en-US" w:eastAsia="zh-CN"/>
              </w:rPr>
              <w:t>主要噪声源</w:t>
            </w:r>
            <w:r>
              <w:rPr>
                <w:rFonts w:hint="eastAsia"/>
                <w:color w:val="auto"/>
                <w:kern w:val="0"/>
              </w:rPr>
              <w:t>有电炉、AOD炉、LF炉、V</w:t>
            </w:r>
            <w:r>
              <w:rPr>
                <w:rFonts w:hint="eastAsia"/>
                <w:color w:val="auto"/>
                <w:kern w:val="0"/>
                <w:lang w:val="en-US" w:eastAsia="zh-CN"/>
              </w:rPr>
              <w:t>O</w:t>
            </w:r>
            <w:r>
              <w:rPr>
                <w:rFonts w:hint="eastAsia"/>
                <w:color w:val="auto"/>
                <w:kern w:val="0"/>
              </w:rPr>
              <w:t>D炉、除尘风机、增压风机、排汽风机、水泵、污泥泵等，其噪声声级约80~110dB</w:t>
            </w:r>
            <w:r>
              <w:rPr>
                <w:rFonts w:hint="eastAsia"/>
                <w:color w:val="auto"/>
                <w:kern w:val="0"/>
                <w:lang w:val="en-US" w:eastAsia="zh-CN"/>
              </w:rPr>
              <w:t>(</w:t>
            </w:r>
            <w:r>
              <w:rPr>
                <w:rFonts w:hint="eastAsia"/>
                <w:color w:val="auto"/>
                <w:kern w:val="0"/>
              </w:rPr>
              <w:t>A</w:t>
            </w:r>
            <w:r>
              <w:rPr>
                <w:rFonts w:hint="eastAsia"/>
                <w:color w:val="auto"/>
                <w:kern w:val="0"/>
                <w:lang w:val="en-US" w:eastAsia="zh-CN"/>
              </w:rPr>
              <w:t>)</w:t>
            </w:r>
            <w:r>
              <w:rPr>
                <w:rFonts w:hint="eastAsia"/>
                <w:color w:val="auto"/>
                <w:kern w:val="0"/>
              </w:rPr>
              <w:t>。对这些高噪声设备，采取密闭罩隔声、厂房隔声、安装隔振机座、消音器等降噪措施</w:t>
            </w:r>
            <w:r>
              <w:rPr>
                <w:rFonts w:hint="eastAsia"/>
                <w:color w:val="auto"/>
                <w:kern w:val="0"/>
                <w:lang w:eastAsia="zh-CN"/>
              </w:rPr>
              <w:t>。</w:t>
            </w:r>
            <w:r>
              <w:rPr>
                <w:rFonts w:hint="eastAsia"/>
                <w:color w:val="auto"/>
                <w:kern w:val="0"/>
              </w:rPr>
              <w:t>项目主要设备噪声源及控制措施见表</w:t>
            </w:r>
            <w:r>
              <w:rPr>
                <w:rFonts w:hint="eastAsia"/>
                <w:color w:val="auto"/>
                <w:kern w:val="0"/>
                <w:lang w:val="en-US" w:eastAsia="zh-CN"/>
              </w:rPr>
              <w:t>4-3</w:t>
            </w:r>
            <w:r>
              <w:rPr>
                <w:rFonts w:hint="eastAsia"/>
                <w:color w:val="auto"/>
                <w:kern w:val="0"/>
              </w:rPr>
              <w:t>所示。</w:t>
            </w:r>
          </w:p>
        </w:tc>
      </w:tr>
    </w:tbl>
    <w:p>
      <w:pPr>
        <w:pStyle w:val="2"/>
        <w:sectPr>
          <w:pgSz w:w="11906" w:h="16838"/>
          <w:pgMar w:top="1418" w:right="1418" w:bottom="1418" w:left="1418" w:header="851" w:footer="851" w:gutter="0"/>
          <w:cols w:space="425" w:num="1"/>
          <w:docGrid w:type="lines" w:linePitch="326" w:charSpace="0"/>
        </w:sectPr>
      </w:pPr>
    </w:p>
    <w:tbl>
      <w:tblPr>
        <w:tblStyle w:val="16"/>
        <w:tblW w:w="512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8"/>
        <w:gridCol w:w="91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158" w:type="pct"/>
            <w:tcMar>
              <w:left w:w="28" w:type="dxa"/>
              <w:right w:w="28" w:type="dxa"/>
            </w:tcMar>
          </w:tcPr>
          <w:p>
            <w:pPr>
              <w:widowControl/>
              <w:spacing w:line="480" w:lineRule="exact"/>
              <w:ind w:firstLine="0" w:firstLineChars="0"/>
              <w:jc w:val="center"/>
              <w:rPr>
                <w:b/>
                <w:bCs/>
                <w:kern w:val="0"/>
              </w:rPr>
            </w:pPr>
            <w:r>
              <w:rPr>
                <w:b/>
                <w:bCs/>
                <w:kern w:val="0"/>
              </w:rPr>
              <w:t>运营</w:t>
            </w:r>
          </w:p>
          <w:p>
            <w:pPr>
              <w:widowControl/>
              <w:spacing w:line="480" w:lineRule="exact"/>
              <w:ind w:firstLine="0" w:firstLineChars="0"/>
              <w:jc w:val="center"/>
              <w:rPr>
                <w:b/>
                <w:bCs/>
                <w:kern w:val="0"/>
              </w:rPr>
            </w:pPr>
            <w:r>
              <w:rPr>
                <w:b/>
                <w:bCs/>
                <w:kern w:val="0"/>
              </w:rPr>
              <w:t>期环</w:t>
            </w:r>
          </w:p>
          <w:p>
            <w:pPr>
              <w:widowControl/>
              <w:spacing w:line="480" w:lineRule="exact"/>
              <w:ind w:firstLine="0" w:firstLineChars="0"/>
              <w:jc w:val="center"/>
              <w:rPr>
                <w:b/>
                <w:bCs/>
                <w:kern w:val="0"/>
              </w:rPr>
            </w:pPr>
            <w:r>
              <w:rPr>
                <w:b/>
                <w:bCs/>
                <w:kern w:val="0"/>
              </w:rPr>
              <w:t>境影</w:t>
            </w:r>
          </w:p>
          <w:p>
            <w:pPr>
              <w:widowControl/>
              <w:spacing w:line="480" w:lineRule="exact"/>
              <w:ind w:firstLine="0" w:firstLineChars="0"/>
              <w:jc w:val="center"/>
              <w:rPr>
                <w:b/>
                <w:bCs/>
                <w:kern w:val="0"/>
              </w:rPr>
            </w:pPr>
            <w:r>
              <w:rPr>
                <w:b/>
                <w:bCs/>
                <w:kern w:val="0"/>
              </w:rPr>
              <w:t>响和</w:t>
            </w:r>
          </w:p>
          <w:p>
            <w:pPr>
              <w:widowControl/>
              <w:spacing w:line="480" w:lineRule="exact"/>
              <w:ind w:firstLine="0" w:firstLineChars="0"/>
              <w:jc w:val="center"/>
              <w:rPr>
                <w:b/>
                <w:bCs/>
                <w:kern w:val="0"/>
              </w:rPr>
            </w:pPr>
            <w:r>
              <w:rPr>
                <w:b/>
                <w:bCs/>
                <w:kern w:val="0"/>
              </w:rPr>
              <w:t>保护</w:t>
            </w:r>
          </w:p>
          <w:p>
            <w:pPr>
              <w:widowControl/>
              <w:spacing w:line="480" w:lineRule="exact"/>
              <w:ind w:firstLine="0" w:firstLineChars="0"/>
              <w:jc w:val="center"/>
              <w:rPr>
                <w:b/>
                <w:bCs/>
                <w:kern w:val="0"/>
              </w:rPr>
            </w:pPr>
            <w:r>
              <w:rPr>
                <w:b/>
                <w:bCs/>
                <w:kern w:val="0"/>
              </w:rPr>
              <w:t>措施</w:t>
            </w:r>
          </w:p>
        </w:tc>
        <w:tc>
          <w:tcPr>
            <w:tcW w:w="4841" w:type="pct"/>
          </w:tcPr>
          <w:p>
            <w:pPr>
              <w:pStyle w:val="21"/>
              <w:bidi w:val="0"/>
              <w:rPr>
                <w:rFonts w:hint="eastAsia"/>
                <w:lang w:val="en-US" w:eastAsia="zh-CN"/>
              </w:rPr>
            </w:pPr>
            <w:r>
              <w:rPr>
                <w:rFonts w:hint="eastAsia"/>
                <w:lang w:val="en-US" w:eastAsia="zh-CN"/>
              </w:rPr>
              <w:t>表4-3  项目主要噪声源强一览表</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337"/>
              <w:gridCol w:w="671"/>
              <w:gridCol w:w="671"/>
              <w:gridCol w:w="1337"/>
              <w:gridCol w:w="3113"/>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2" w:hRule="atLeast"/>
                <w:tblHeader/>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b/>
                      <w:bCs/>
                    </w:rPr>
                  </w:pPr>
                  <w:r>
                    <w:rPr>
                      <w:b/>
                      <w:bCs/>
                    </w:rPr>
                    <w:t>序号</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b/>
                      <w:bCs/>
                    </w:rPr>
                  </w:pPr>
                  <w:r>
                    <w:rPr>
                      <w:b/>
                      <w:bCs/>
                    </w:rPr>
                    <w:t>噪声源</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b/>
                      <w:bCs/>
                    </w:rPr>
                  </w:pPr>
                  <w:r>
                    <w:rPr>
                      <w:b/>
                      <w:bCs/>
                    </w:rPr>
                    <w:t>源强</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b/>
                      <w:bCs/>
                    </w:rPr>
                  </w:pPr>
                  <w:r>
                    <w:rPr>
                      <w:b/>
                      <w:bCs/>
                    </w:rPr>
                    <w:t>数量</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b/>
                      <w:bCs/>
                    </w:rPr>
                  </w:pPr>
                  <w:r>
                    <w:rPr>
                      <w:rFonts w:hint="eastAsia"/>
                      <w:b/>
                      <w:bCs/>
                    </w:rPr>
                    <w:t>所在车间</w:t>
                  </w: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b/>
                      <w:bCs/>
                    </w:rPr>
                  </w:pPr>
                  <w:r>
                    <w:rPr>
                      <w:b/>
                      <w:bCs/>
                    </w:rPr>
                    <w:t>降噪措施</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b/>
                      <w:bCs/>
                    </w:rPr>
                  </w:pPr>
                  <w:r>
                    <w:rPr>
                      <w:b/>
                      <w:bCs/>
                    </w:rPr>
                    <w:t>降噪效果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1</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ascii="Times New Roman" w:hAnsi="Times New Roman" w:eastAsia="宋体" w:cs="Times New Roman"/>
                      <w:color w:val="0D0D0D"/>
                      <w:kern w:val="0"/>
                      <w:sz w:val="21"/>
                      <w:szCs w:val="21"/>
                      <w:lang w:val="en-US" w:eastAsia="zh-CN" w:bidi="ar-SA"/>
                    </w:rPr>
                  </w:pPr>
                  <w:r>
                    <w:t>电弧炉</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ascii="Times New Roman" w:hAnsi="Times New Roman" w:eastAsia="宋体" w:cs="Times New Roman"/>
                      <w:color w:val="0D0D0D"/>
                      <w:kern w:val="0"/>
                      <w:sz w:val="21"/>
                      <w:szCs w:val="21"/>
                      <w:lang w:val="en-US" w:eastAsia="zh-CN" w:bidi="ar-SA"/>
                    </w:rPr>
                  </w:pPr>
                  <w:r>
                    <w:rPr>
                      <w:rFonts w:hint="eastAsia"/>
                    </w:rPr>
                    <w:t>110</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749" w:type="pct"/>
                  <w:vMerge w:val="restar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主生产车间</w:t>
                  </w: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室内设置</w:t>
                  </w:r>
                  <w:r>
                    <w:rPr>
                      <w:rFonts w:hint="eastAsia"/>
                    </w:rPr>
                    <w:t>、加隔声罩、消声器</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2</w:t>
                  </w: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2</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AOD炉</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1</w:t>
                  </w:r>
                  <w:r>
                    <w:rPr>
                      <w:rFonts w:hint="eastAsia"/>
                      <w:lang w:val="en-US" w:eastAsia="zh-CN"/>
                    </w:rPr>
                    <w:t>1</w:t>
                  </w:r>
                  <w:r>
                    <w:rPr>
                      <w:rFonts w:hint="eastAsia"/>
                    </w:rPr>
                    <w:t>0</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1</w:t>
                  </w:r>
                </w:p>
              </w:tc>
              <w:tc>
                <w:tcPr>
                  <w:tcW w:w="749" w:type="pct"/>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室内设置</w:t>
                  </w:r>
                  <w:r>
                    <w:rPr>
                      <w:rFonts w:hint="eastAsia"/>
                    </w:rPr>
                    <w:t>、加隔声罩、消声器</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2</w:t>
                  </w:r>
                  <w: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ascii="Times New Roman" w:hAnsi="Times New Roman" w:eastAsia="宋体" w:cs="Times New Roman"/>
                      <w:color w:val="0D0D0D"/>
                      <w:kern w:val="0"/>
                      <w:sz w:val="21"/>
                      <w:szCs w:val="21"/>
                      <w:lang w:val="en-US" w:eastAsia="zh-CN" w:bidi="ar-SA"/>
                    </w:rPr>
                  </w:pPr>
                  <w:r>
                    <w:t>3</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合金熔融炉</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100</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eastAsia="宋体"/>
                      <w:lang w:val="en-US" w:eastAsia="zh-CN"/>
                    </w:rPr>
                  </w:pPr>
                  <w:r>
                    <w:rPr>
                      <w:rFonts w:hint="eastAsia"/>
                      <w:lang w:val="en-US" w:eastAsia="zh-CN"/>
                    </w:rPr>
                    <w:t>1</w:t>
                  </w:r>
                </w:p>
              </w:tc>
              <w:tc>
                <w:tcPr>
                  <w:tcW w:w="749" w:type="pct"/>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室内设置</w:t>
                  </w:r>
                  <w:r>
                    <w:rPr>
                      <w:rFonts w:hint="eastAsia"/>
                    </w:rPr>
                    <w:t>、加隔声罩、消声器</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ascii="Times New Roman" w:hAnsi="Times New Roman" w:eastAsia="宋体" w:cs="Times New Roman"/>
                      <w:color w:val="0D0D0D"/>
                      <w:kern w:val="0"/>
                      <w:sz w:val="21"/>
                      <w:szCs w:val="21"/>
                      <w:lang w:val="en-US" w:eastAsia="zh-CN" w:bidi="ar-SA"/>
                    </w:rPr>
                  </w:pPr>
                  <w:r>
                    <w:t>4</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ascii="Times New Roman" w:hAnsi="Times New Roman" w:eastAsia="宋体" w:cs="Times New Roman"/>
                      <w:color w:val="0D0D0D"/>
                      <w:kern w:val="0"/>
                      <w:sz w:val="21"/>
                      <w:szCs w:val="21"/>
                      <w:lang w:val="en-US" w:eastAsia="zh-CN" w:bidi="ar-SA"/>
                    </w:rPr>
                  </w:pPr>
                  <w:r>
                    <w:t>LF炉</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ascii="Times New Roman" w:hAnsi="Times New Roman" w:eastAsia="宋体" w:cs="Times New Roman"/>
                      <w:color w:val="0D0D0D"/>
                      <w:kern w:val="0"/>
                      <w:sz w:val="21"/>
                      <w:szCs w:val="21"/>
                      <w:lang w:val="en-US" w:eastAsia="zh-CN" w:bidi="ar-SA"/>
                    </w:rPr>
                  </w:pPr>
                  <w:r>
                    <w:rPr>
                      <w:rFonts w:hint="eastAsia"/>
                    </w:rPr>
                    <w:t>100</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ascii="Times New Roman" w:hAnsi="Times New Roman" w:eastAsia="宋体" w:cs="Times New Roman"/>
                      <w:color w:val="0D0D0D"/>
                      <w:kern w:val="0"/>
                      <w:sz w:val="21"/>
                      <w:szCs w:val="21"/>
                      <w:lang w:val="en-US" w:eastAsia="zh-CN" w:bidi="ar-SA"/>
                    </w:rPr>
                  </w:pPr>
                  <w:r>
                    <w:t>1</w:t>
                  </w:r>
                </w:p>
              </w:tc>
              <w:tc>
                <w:tcPr>
                  <w:tcW w:w="749" w:type="pct"/>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室内设置</w:t>
                  </w:r>
                  <w:r>
                    <w:rPr>
                      <w:rFonts w:hint="eastAsia"/>
                    </w:rPr>
                    <w:t>、加隔声罩、消声器</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2</w:t>
                  </w: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ascii="Times New Roman" w:hAnsi="Times New Roman" w:eastAsia="宋体" w:cs="Times New Roman"/>
                      <w:color w:val="0D0D0D"/>
                      <w:kern w:val="0"/>
                      <w:sz w:val="21"/>
                      <w:szCs w:val="21"/>
                      <w:lang w:val="en-US" w:eastAsia="zh-CN" w:bidi="ar-SA"/>
                    </w:rPr>
                  </w:pPr>
                  <w:r>
                    <w:t>5</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VOD炉</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100</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1</w:t>
                  </w:r>
                </w:p>
              </w:tc>
              <w:tc>
                <w:tcPr>
                  <w:tcW w:w="749" w:type="pct"/>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t>室内设置</w:t>
                  </w:r>
                  <w:r>
                    <w:rPr>
                      <w:rFonts w:hint="eastAsia"/>
                    </w:rPr>
                    <w:t>、加隔声罩、消声器</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2</w:t>
                  </w:r>
                  <w:r>
                    <w:t xml:space="preserve">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lang w:val="en-US" w:eastAsia="zh-CN"/>
                    </w:rPr>
                    <w:t>6</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lang w:val="en-US" w:eastAsia="zh-CN"/>
                    </w:rPr>
                    <w:t>锻压机</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90</w:t>
                  </w:r>
                  <w:r>
                    <w:t xml:space="preserve"> </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eastAsia="宋体"/>
                      <w:lang w:val="en-US" w:eastAsia="zh-CN"/>
                    </w:rPr>
                  </w:pPr>
                  <w:r>
                    <w:rPr>
                      <w:rFonts w:hint="eastAsia"/>
                      <w:lang w:val="en-US" w:eastAsia="zh-CN"/>
                    </w:rPr>
                    <w:t>1</w:t>
                  </w:r>
                </w:p>
              </w:tc>
              <w:tc>
                <w:tcPr>
                  <w:tcW w:w="749" w:type="pct"/>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厂房封闭、加减震器</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20</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lang w:val="en-US" w:eastAsia="zh-CN"/>
                    </w:rPr>
                    <w:t>7</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快锻机</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90</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eastAsia="宋体"/>
                      <w:lang w:val="en-US" w:eastAsia="zh-CN"/>
                    </w:rPr>
                  </w:pPr>
                  <w:r>
                    <w:rPr>
                      <w:rFonts w:hint="eastAsia"/>
                      <w:lang w:val="en-US" w:eastAsia="zh-CN"/>
                    </w:rPr>
                    <w:t>1</w:t>
                  </w:r>
                </w:p>
              </w:tc>
              <w:tc>
                <w:tcPr>
                  <w:tcW w:w="749" w:type="pct"/>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rPr>
                    <w:t>厂房封闭、加减震器</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rPr>
                    <w:t>20</w:t>
                  </w:r>
                  <w: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lang w:val="en-US" w:eastAsia="zh-CN"/>
                    </w:rPr>
                    <w:t>8</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t>风机</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rPr>
                    <w:t>90</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rPr>
                    <w:t>6</w:t>
                  </w:r>
                </w:p>
              </w:tc>
              <w:tc>
                <w:tcPr>
                  <w:tcW w:w="749" w:type="pct"/>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lang w:val="en-US" w:eastAsia="zh-CN"/>
                    </w:rPr>
                    <w:t>基础减振</w:t>
                  </w:r>
                  <w:r>
                    <w:rPr>
                      <w:rFonts w:hint="eastAsia"/>
                    </w:rPr>
                    <w:t>、消声器、隔声罩</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hAnsi="Times New Roman" w:eastAsia="宋体" w:cs="Times New Roman"/>
                      <w:color w:val="0D0D0D"/>
                      <w:kern w:val="0"/>
                      <w:sz w:val="21"/>
                      <w:szCs w:val="21"/>
                      <w:lang w:val="en-US" w:eastAsia="zh-CN" w:bidi="ar-SA"/>
                    </w:rPr>
                  </w:pPr>
                  <w:r>
                    <w:rPr>
                      <w:rFonts w:hint="eastAsia"/>
                    </w:rPr>
                    <w:t>2</w:t>
                  </w:r>
                  <w: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9</w:t>
                  </w:r>
                </w:p>
              </w:tc>
              <w:tc>
                <w:tcPr>
                  <w:tcW w:w="749"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泵类</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90</w:t>
                  </w:r>
                </w:p>
              </w:tc>
              <w:tc>
                <w:tcPr>
                  <w:tcW w:w="376"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eastAsia="宋体"/>
                      <w:lang w:val="en-US" w:eastAsia="zh-CN"/>
                    </w:rPr>
                  </w:pPr>
                  <w:r>
                    <w:rPr>
                      <w:rFonts w:hint="eastAsia"/>
                      <w:lang w:val="en-US" w:eastAsia="zh-CN"/>
                    </w:rPr>
                    <w:t>2</w:t>
                  </w:r>
                </w:p>
              </w:tc>
              <w:tc>
                <w:tcPr>
                  <w:tcW w:w="749" w:type="pct"/>
                  <w:vMerge w:val="continue"/>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p>
              </w:tc>
              <w:tc>
                <w:tcPr>
                  <w:tcW w:w="1744"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pPr>
                  <w:r>
                    <w:rPr>
                      <w:rFonts w:hint="eastAsia"/>
                    </w:rPr>
                    <w:t>厂房隔声、减振、柔性连接</w:t>
                  </w:r>
                </w:p>
              </w:tc>
              <w:tc>
                <w:tcPr>
                  <w:tcW w:w="625" w:type="pct"/>
                  <w:tcBorders>
                    <w:tl2br w:val="nil"/>
                    <w:tr2bl w:val="nil"/>
                  </w:tcBorders>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25</w:t>
                  </w:r>
                </w:p>
              </w:tc>
            </w:tr>
          </w:tbl>
          <w:p>
            <w:pPr>
              <w:keepNext w:val="0"/>
              <w:keepLines w:val="0"/>
              <w:pageBreakBefore w:val="0"/>
              <w:kinsoku/>
              <w:wordWrap/>
              <w:overflowPunct/>
              <w:topLinePunct w:val="0"/>
              <w:autoSpaceDE/>
              <w:autoSpaceDN/>
              <w:bidi w:val="0"/>
              <w:adjustRightInd/>
              <w:snapToGrid/>
              <w:spacing w:line="480" w:lineRule="exact"/>
              <w:textAlignment w:val="auto"/>
              <w:rPr>
                <w:rFonts w:hint="default"/>
                <w:lang w:val="en-US" w:eastAsia="zh-CN"/>
              </w:rPr>
            </w:pP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eastAsia" w:eastAsia="宋体"/>
                <w:b/>
                <w:bCs/>
                <w:kern w:val="0"/>
                <w:lang w:eastAsia="zh-CN"/>
              </w:rPr>
            </w:pPr>
            <w:r>
              <w:rPr>
                <w:rFonts w:hint="eastAsia"/>
                <w:b/>
                <w:bCs/>
                <w:kern w:val="0"/>
                <w:lang w:eastAsia="zh-CN"/>
              </w:rPr>
              <w:t>(</w:t>
            </w:r>
            <w:r>
              <w:rPr>
                <w:rFonts w:hint="eastAsia"/>
                <w:b/>
                <w:bCs/>
                <w:kern w:val="0"/>
                <w:lang w:val="en-US" w:eastAsia="zh-CN"/>
              </w:rPr>
              <w:t>2</w:t>
            </w:r>
            <w:r>
              <w:rPr>
                <w:rFonts w:hint="eastAsia"/>
                <w:b/>
                <w:bCs/>
                <w:kern w:val="0"/>
                <w:lang w:eastAsia="zh-CN"/>
              </w:rPr>
              <w:t>)</w:t>
            </w:r>
            <w:r>
              <w:rPr>
                <w:rFonts w:hint="eastAsia"/>
                <w:b/>
                <w:bCs/>
                <w:kern w:val="0"/>
                <w:lang w:val="en-US" w:eastAsia="zh-CN"/>
              </w:rPr>
              <w:t xml:space="preserve"> </w:t>
            </w:r>
            <w:r>
              <w:rPr>
                <w:rFonts w:hint="eastAsia"/>
                <w:b/>
                <w:bCs/>
                <w:kern w:val="0"/>
                <w:lang w:eastAsia="zh-CN"/>
              </w:rPr>
              <w:t>噪声影响及达标分析</w:t>
            </w:r>
          </w:p>
          <w:p>
            <w:pPr>
              <w:keepNext w:val="0"/>
              <w:keepLines w:val="0"/>
              <w:pageBreakBefore w:val="0"/>
              <w:kinsoku/>
              <w:wordWrap/>
              <w:overflowPunct/>
              <w:topLinePunct w:val="0"/>
              <w:autoSpaceDE/>
              <w:autoSpaceDN/>
              <w:bidi w:val="0"/>
              <w:adjustRightInd/>
              <w:snapToGrid/>
              <w:spacing w:line="480" w:lineRule="exact"/>
              <w:textAlignment w:val="auto"/>
            </w:pPr>
            <w:r>
              <w:rPr>
                <w:rFonts w:hint="eastAsia"/>
              </w:rPr>
              <w:t>采用《环境影响评价技术导则 声环境》</w:t>
            </w:r>
            <w:r>
              <w:rPr>
                <w:rFonts w:hint="eastAsia"/>
                <w:lang w:eastAsia="zh-CN"/>
              </w:rPr>
              <w:t>(</w:t>
            </w:r>
            <w:r>
              <w:rPr>
                <w:rFonts w:hint="eastAsia"/>
              </w:rPr>
              <w:t>HJ</w:t>
            </w:r>
            <w:r>
              <w:rPr>
                <w:rFonts w:hint="eastAsia"/>
                <w:lang w:val="en-US" w:eastAsia="zh-CN"/>
              </w:rPr>
              <w:t xml:space="preserve"> </w:t>
            </w:r>
            <w:r>
              <w:rPr>
                <w:rFonts w:hint="eastAsia"/>
              </w:rPr>
              <w:t>2.4-2021</w:t>
            </w:r>
            <w:r>
              <w:rPr>
                <w:rFonts w:hint="eastAsia"/>
                <w:lang w:eastAsia="zh-CN"/>
              </w:rPr>
              <w:t>)</w:t>
            </w:r>
            <w:r>
              <w:rPr>
                <w:rFonts w:hint="eastAsia"/>
              </w:rPr>
              <w:t>中的工业噪声预测模型对厂界噪声进行预测，判断其达标情况。</w:t>
            </w:r>
          </w:p>
          <w:p>
            <w:pPr>
              <w:keepNext w:val="0"/>
              <w:keepLines w:val="0"/>
              <w:pageBreakBefore w:val="0"/>
              <w:kinsoku/>
              <w:wordWrap/>
              <w:overflowPunct/>
              <w:topLinePunct w:val="0"/>
              <w:autoSpaceDE/>
              <w:autoSpaceDN/>
              <w:bidi w:val="0"/>
              <w:adjustRightInd/>
              <w:snapToGrid/>
              <w:spacing w:line="480" w:lineRule="exact"/>
              <w:textAlignment w:val="auto"/>
              <w:rPr>
                <w:b/>
                <w:bCs/>
              </w:rPr>
            </w:pPr>
            <w:r>
              <w:rPr>
                <w:rFonts w:hint="eastAsia"/>
                <w:b/>
                <w:bCs/>
                <w:lang w:val="en-US" w:eastAsia="zh-CN"/>
              </w:rPr>
              <w:t>①</w:t>
            </w:r>
            <w:r>
              <w:rPr>
                <w:rFonts w:hint="eastAsia"/>
                <w:b/>
                <w:bCs/>
              </w:rPr>
              <w:t>室外噪声源</w:t>
            </w:r>
          </w:p>
          <w:p>
            <w:pPr>
              <w:keepNext w:val="0"/>
              <w:keepLines w:val="0"/>
              <w:pageBreakBefore w:val="0"/>
              <w:kinsoku/>
              <w:wordWrap/>
              <w:overflowPunct/>
              <w:topLinePunct w:val="0"/>
              <w:autoSpaceDE/>
              <w:autoSpaceDN/>
              <w:bidi w:val="0"/>
              <w:adjustRightInd/>
              <w:snapToGrid/>
              <w:spacing w:line="480" w:lineRule="exact"/>
              <w:ind w:left="0" w:leftChars="0" w:firstLine="480" w:firstLineChars="200"/>
              <w:textAlignment w:val="auto"/>
            </w:pPr>
            <w:r>
              <w:rPr>
                <w:rFonts w:hint="eastAsia"/>
                <w:lang w:val="en-US" w:eastAsia="zh-CN"/>
              </w:rPr>
              <w:t>a.</w:t>
            </w:r>
            <w:r>
              <w:rPr>
                <w:rFonts w:hint="eastAsia"/>
              </w:rPr>
              <w:t>根据声源声功率级或参考位置处的声压级、户外声传播衰减，计算预测点的声级，分别按式</w:t>
            </w:r>
            <w:r>
              <w:rPr>
                <w:rFonts w:hint="eastAsia"/>
                <w:lang w:eastAsia="zh-CN"/>
              </w:rPr>
              <w:t>(</w:t>
            </w:r>
            <w:r>
              <w:rPr>
                <w:rFonts w:hint="eastAsia"/>
              </w:rPr>
              <w:t>A.1</w:t>
            </w:r>
            <w:r>
              <w:rPr>
                <w:rFonts w:hint="eastAsia"/>
                <w:lang w:eastAsia="zh-CN"/>
              </w:rPr>
              <w:t>)</w:t>
            </w:r>
            <w:r>
              <w:rPr>
                <w:rFonts w:hint="eastAsia"/>
              </w:rPr>
              <w:t>或式</w:t>
            </w:r>
            <w:r>
              <w:rPr>
                <w:rFonts w:hint="eastAsia"/>
                <w:lang w:eastAsia="zh-CN"/>
              </w:rPr>
              <w:t>(</w:t>
            </w:r>
            <w:r>
              <w:rPr>
                <w:rFonts w:hint="eastAsia"/>
              </w:rPr>
              <w:t>A.2</w:t>
            </w:r>
            <w:r>
              <w:rPr>
                <w:rFonts w:hint="eastAsia"/>
                <w:lang w:eastAsia="zh-CN"/>
              </w:rPr>
              <w:t>)</w:t>
            </w:r>
            <w:r>
              <w:rPr>
                <w:rFonts w:hint="eastAsia"/>
              </w:rPr>
              <w:t>计算</w:t>
            </w:r>
          </w:p>
          <w:p>
            <w:pPr>
              <w:keepNext w:val="0"/>
              <w:keepLines w:val="0"/>
              <w:pageBreakBefore w:val="0"/>
              <w:kinsoku/>
              <w:wordWrap/>
              <w:overflowPunct/>
              <w:topLinePunct w:val="0"/>
              <w:autoSpaceDE/>
              <w:autoSpaceDN/>
              <w:bidi w:val="0"/>
              <w:adjustRightInd/>
              <w:snapToGrid/>
              <w:spacing w:line="480" w:lineRule="exact"/>
              <w:ind w:left="0" w:leftChars="0" w:firstLine="480" w:firstLineChars="200"/>
              <w:jc w:val="center"/>
              <w:textAlignment w:val="auto"/>
              <w:rPr>
                <w:rFonts w:cs="Times New Roman"/>
                <w:color w:val="000000"/>
                <w:spacing w:val="-2"/>
                <w:kern w:val="0"/>
                <w:sz w:val="24"/>
                <w:szCs w:val="24"/>
                <w:highlight w:val="none"/>
              </w:rPr>
            </w:pPr>
            <w:r>
              <w:rPr>
                <w:color w:val="000000"/>
                <w:highlight w:val="none"/>
              </w:rPr>
              <w:drawing>
                <wp:inline distT="0" distB="0" distL="114300" distR="114300">
                  <wp:extent cx="5302885" cy="189230"/>
                  <wp:effectExtent l="0" t="0" r="12065" b="127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23"/>
                          <a:stretch>
                            <a:fillRect/>
                          </a:stretch>
                        </pic:blipFill>
                        <pic:spPr>
                          <a:xfrm>
                            <a:off x="0" y="0"/>
                            <a:ext cx="5302885" cy="18923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exact"/>
              <w:ind w:left="0" w:leftChars="0" w:firstLine="472" w:firstLineChars="200"/>
              <w:textAlignment w:val="auto"/>
              <w:rPr>
                <w:rFonts w:cs="Times New Roman"/>
                <w:color w:val="000000"/>
                <w:spacing w:val="-2"/>
                <w:kern w:val="0"/>
                <w:sz w:val="24"/>
                <w:szCs w:val="24"/>
                <w:highlight w:val="none"/>
              </w:rPr>
            </w:pPr>
            <w:r>
              <w:rPr>
                <w:rFonts w:hint="eastAsia" w:cs="Times New Roman"/>
                <w:color w:val="000000"/>
                <w:spacing w:val="-2"/>
                <w:kern w:val="0"/>
                <w:sz w:val="24"/>
                <w:szCs w:val="24"/>
                <w:highlight w:val="none"/>
              </w:rPr>
              <w:t>式中</w:t>
            </w:r>
            <w:r>
              <w:rPr>
                <w:rFonts w:hint="eastAsia" w:cs="Times New Roman"/>
                <w:color w:val="000000"/>
                <w:spacing w:val="-2"/>
                <w:kern w:val="0"/>
                <w:sz w:val="24"/>
                <w:szCs w:val="24"/>
                <w:highlight w:val="none"/>
                <w:lang w:eastAsia="zh-CN"/>
              </w:rPr>
              <w:t>，</w:t>
            </w:r>
            <w:r>
              <w:rPr>
                <w:rFonts w:cs="Times New Roman"/>
                <w:color w:val="000000"/>
                <w:spacing w:val="-2"/>
                <w:kern w:val="0"/>
                <w:sz w:val="24"/>
                <w:szCs w:val="24"/>
                <w:highlight w:val="none"/>
              </w:rPr>
              <w:t>L</w:t>
            </w:r>
            <w:r>
              <w:rPr>
                <w:rFonts w:hint="eastAsia" w:cs="Times New Roman"/>
                <w:color w:val="000000"/>
                <w:spacing w:val="-2"/>
                <w:kern w:val="0"/>
                <w:sz w:val="24"/>
                <w:szCs w:val="24"/>
                <w:highlight w:val="none"/>
                <w:lang w:val="en-US" w:eastAsia="zh-CN"/>
              </w:rPr>
              <w:t>p</w:t>
            </w:r>
            <w:r>
              <w:rPr>
                <w:rFonts w:hint="eastAsia" w:cs="Times New Roman"/>
                <w:color w:val="000000"/>
                <w:spacing w:val="-2"/>
                <w:kern w:val="0"/>
                <w:sz w:val="24"/>
                <w:szCs w:val="24"/>
                <w:highlight w:val="none"/>
                <w:lang w:eastAsia="zh-CN"/>
              </w:rPr>
              <w:t>(</w:t>
            </w:r>
            <w:r>
              <w:rPr>
                <w:rFonts w:cs="Times New Roman"/>
                <w:color w:val="000000"/>
                <w:spacing w:val="-2"/>
                <w:kern w:val="0"/>
                <w:sz w:val="24"/>
                <w:szCs w:val="24"/>
                <w:highlight w:val="none"/>
              </w:rPr>
              <w:t>r</w:t>
            </w:r>
            <w:r>
              <w:rPr>
                <w:rFonts w:hint="eastAsia" w:cs="Times New Roman"/>
                <w:color w:val="000000"/>
                <w:spacing w:val="-2"/>
                <w:kern w:val="0"/>
                <w:sz w:val="24"/>
                <w:szCs w:val="24"/>
                <w:highlight w:val="none"/>
                <w:lang w:eastAsia="zh-CN"/>
              </w:rPr>
              <w:t>)</w:t>
            </w:r>
            <w:r>
              <w:rPr>
                <w:rFonts w:cs="Times New Roman"/>
                <w:color w:val="000000"/>
                <w:spacing w:val="-2"/>
                <w:kern w:val="0"/>
                <w:sz w:val="24"/>
                <w:szCs w:val="24"/>
                <w:highlight w:val="none"/>
              </w:rPr>
              <w:t>——</w:t>
            </w:r>
            <w:r>
              <w:rPr>
                <w:rFonts w:hint="eastAsia" w:cs="宋体"/>
                <w:color w:val="000000"/>
                <w:spacing w:val="-2"/>
                <w:kern w:val="0"/>
                <w:sz w:val="24"/>
                <w:szCs w:val="24"/>
                <w:highlight w:val="none"/>
                <w:lang w:val="en-US" w:eastAsia="zh-CN"/>
              </w:rPr>
              <w:t>预测点处声压级，dB；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olor w:val="000000"/>
                <w:spacing w:val="-2"/>
                <w:kern w:val="0"/>
                <w:sz w:val="24"/>
                <w:szCs w:val="24"/>
                <w:highlight w:val="none"/>
              </w:rPr>
            </w:pPr>
            <w:r>
              <w:rPr>
                <w:rFonts w:hint="eastAsia"/>
                <w:color w:val="000000"/>
                <w:spacing w:val="-2"/>
                <w:kern w:val="0"/>
                <w:sz w:val="24"/>
                <w:szCs w:val="24"/>
                <w:highlight w:val="none"/>
              </w:rPr>
              <w:t>Lw——由点声源产生的声功率级</w:t>
            </w:r>
            <w:r>
              <w:rPr>
                <w:rFonts w:hint="eastAsia"/>
                <w:color w:val="000000"/>
                <w:spacing w:val="-2"/>
                <w:kern w:val="0"/>
                <w:sz w:val="24"/>
                <w:szCs w:val="24"/>
                <w:highlight w:val="none"/>
                <w:lang w:eastAsia="zh-CN"/>
              </w:rPr>
              <w:t>(</w:t>
            </w:r>
            <w:r>
              <w:rPr>
                <w:rFonts w:hint="eastAsia"/>
                <w:color w:val="000000"/>
                <w:spacing w:val="-2"/>
                <w:kern w:val="0"/>
                <w:sz w:val="24"/>
                <w:szCs w:val="24"/>
                <w:highlight w:val="none"/>
              </w:rPr>
              <w:t>A计权或倍频带</w:t>
            </w:r>
            <w:r>
              <w:rPr>
                <w:rFonts w:hint="eastAsia"/>
                <w:color w:val="000000"/>
                <w:spacing w:val="-2"/>
                <w:kern w:val="0"/>
                <w:sz w:val="24"/>
                <w:szCs w:val="24"/>
                <w:highlight w:val="none"/>
                <w:lang w:eastAsia="zh-CN"/>
              </w:rPr>
              <w:t>)</w:t>
            </w:r>
            <w:r>
              <w:rPr>
                <w:rFonts w:hint="eastAsia"/>
                <w:color w:val="000000"/>
                <w:spacing w:val="-2"/>
                <w:kern w:val="0"/>
                <w:sz w:val="24"/>
                <w:szCs w:val="24"/>
                <w:highlight w:val="none"/>
              </w:rPr>
              <w:t>，dB；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olor w:val="000000"/>
                <w:spacing w:val="-2"/>
                <w:kern w:val="0"/>
                <w:sz w:val="24"/>
                <w:szCs w:val="24"/>
                <w:highlight w:val="none"/>
              </w:rPr>
            </w:pPr>
            <w:r>
              <w:rPr>
                <w:rFonts w:hint="eastAsia"/>
                <w:color w:val="000000"/>
                <w:spacing w:val="-2"/>
                <w:kern w:val="0"/>
                <w:sz w:val="24"/>
                <w:szCs w:val="24"/>
                <w:highlight w:val="none"/>
              </w:rPr>
              <w:t>D</w:t>
            </w:r>
            <w:r>
              <w:rPr>
                <w:rFonts w:hint="eastAsia"/>
                <w:color w:val="000000"/>
                <w:spacing w:val="-2"/>
                <w:kern w:val="0"/>
                <w:sz w:val="24"/>
                <w:szCs w:val="24"/>
                <w:highlight w:val="none"/>
                <w:vertAlign w:val="subscript"/>
              </w:rPr>
              <w:t>C</w:t>
            </w:r>
            <w:r>
              <w:rPr>
                <w:rFonts w:hint="eastAsia"/>
                <w:color w:val="000000"/>
                <w:spacing w:val="-2"/>
                <w:kern w:val="0"/>
                <w:sz w:val="24"/>
                <w:szCs w:val="24"/>
                <w:highlight w:val="none"/>
              </w:rPr>
              <w:t>——指向性校正，它描述点声源的等效连续声压级与产生声功率级Lw的全向点声源在规定方向的声级的偏差程度，dB；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olor w:val="000000"/>
                <w:spacing w:val="-2"/>
                <w:kern w:val="0"/>
                <w:sz w:val="24"/>
                <w:szCs w:val="24"/>
                <w:highlight w:val="none"/>
              </w:rPr>
            </w:pPr>
            <w:r>
              <w:rPr>
                <w:rFonts w:hint="eastAsia"/>
                <w:color w:val="000000"/>
                <w:spacing w:val="-2"/>
                <w:kern w:val="0"/>
                <w:sz w:val="24"/>
                <w:szCs w:val="24"/>
                <w:highlight w:val="none"/>
              </w:rPr>
              <w:t>Adiv——几何发散引起的衰减，dB；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olor w:val="000000"/>
                <w:spacing w:val="-2"/>
                <w:kern w:val="0"/>
                <w:sz w:val="24"/>
                <w:szCs w:val="24"/>
                <w:highlight w:val="none"/>
              </w:rPr>
            </w:pPr>
            <w:r>
              <w:rPr>
                <w:rFonts w:hint="eastAsia"/>
                <w:color w:val="000000"/>
                <w:spacing w:val="-2"/>
                <w:kern w:val="0"/>
                <w:sz w:val="24"/>
                <w:szCs w:val="24"/>
                <w:highlight w:val="none"/>
              </w:rPr>
              <w:t>Aatm——大气吸收引起的衰减，dB；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olor w:val="000000"/>
                <w:spacing w:val="-2"/>
                <w:kern w:val="0"/>
                <w:sz w:val="24"/>
                <w:szCs w:val="24"/>
                <w:highlight w:val="none"/>
              </w:rPr>
            </w:pPr>
            <w:r>
              <w:rPr>
                <w:rFonts w:hint="eastAsia"/>
                <w:color w:val="000000"/>
                <w:spacing w:val="-2"/>
                <w:kern w:val="0"/>
                <w:sz w:val="24"/>
                <w:szCs w:val="24"/>
                <w:highlight w:val="none"/>
              </w:rPr>
              <w:t>Agr——地面效应引起的衰减，dB；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olor w:val="000000"/>
                <w:spacing w:val="-2"/>
                <w:kern w:val="0"/>
                <w:sz w:val="24"/>
                <w:szCs w:val="24"/>
                <w:highlight w:val="none"/>
              </w:rPr>
            </w:pPr>
            <w:r>
              <w:rPr>
                <w:rFonts w:hint="eastAsia"/>
                <w:color w:val="000000"/>
                <w:spacing w:val="-2"/>
                <w:kern w:val="0"/>
                <w:sz w:val="24"/>
                <w:szCs w:val="24"/>
                <w:highlight w:val="none"/>
              </w:rPr>
              <w:t>Abar——障碍物屏蔽引起的衰减，dB；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olor w:val="000000"/>
                <w:spacing w:val="-2"/>
                <w:kern w:val="0"/>
                <w:sz w:val="24"/>
                <w:szCs w:val="24"/>
                <w:highlight w:val="none"/>
              </w:rPr>
            </w:pPr>
            <w:r>
              <w:rPr>
                <w:rFonts w:hint="eastAsia"/>
                <w:color w:val="000000"/>
                <w:spacing w:val="-2"/>
                <w:kern w:val="0"/>
                <w:sz w:val="24"/>
                <w:szCs w:val="24"/>
                <w:highlight w:val="none"/>
              </w:rPr>
              <w:t>Amisc——其他多方面效应引起的衰减，dB。</w:t>
            </w:r>
          </w:p>
          <w:p>
            <w:pPr>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cs="Times New Roman"/>
                <w:color w:val="000000"/>
                <w:spacing w:val="-2"/>
                <w:kern w:val="0"/>
                <w:sz w:val="24"/>
                <w:szCs w:val="24"/>
                <w:highlight w:val="none"/>
              </w:rPr>
            </w:pPr>
            <w:r>
              <w:rPr>
                <w:color w:val="000000"/>
                <w:highlight w:val="none"/>
              </w:rPr>
              <w:drawing>
                <wp:inline distT="0" distB="0" distL="114300" distR="114300">
                  <wp:extent cx="5290185" cy="208280"/>
                  <wp:effectExtent l="0" t="0" r="5715" b="127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24"/>
                          <a:stretch>
                            <a:fillRect/>
                          </a:stretch>
                        </pic:blipFill>
                        <pic:spPr>
                          <a:xfrm>
                            <a:off x="0" y="0"/>
                            <a:ext cx="5290185" cy="20828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exact"/>
              <w:ind w:left="0" w:leftChars="0" w:firstLine="472" w:firstLineChars="2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式中，Lp(r)——预测点处声压级，dB；</w:t>
            </w:r>
          </w:p>
          <w:p>
            <w:pPr>
              <w:keepNext w:val="0"/>
              <w:keepLines w:val="0"/>
              <w:pageBreakBefore w:val="0"/>
              <w:widowControl w:val="0"/>
              <w:kinsoku/>
              <w:wordWrap/>
              <w:overflowPunct/>
              <w:topLinePunct w:val="0"/>
              <w:autoSpaceDE/>
              <w:autoSpaceDN/>
              <w:bidi w:val="0"/>
              <w:adjustRightInd/>
              <w:snapToGrid/>
              <w:spacing w:line="360" w:lineRule="auto"/>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Lp(r</w:t>
            </w:r>
            <w:r>
              <w:rPr>
                <w:rFonts w:hint="eastAsia" w:cs="宋体"/>
                <w:color w:val="000000"/>
                <w:spacing w:val="-2"/>
                <w:kern w:val="0"/>
                <w:sz w:val="24"/>
                <w:szCs w:val="24"/>
                <w:highlight w:val="none"/>
                <w:vertAlign w:val="subscript"/>
                <w:lang w:val="en-US" w:eastAsia="zh-CN"/>
              </w:rPr>
              <w:t>0</w:t>
            </w:r>
            <w:r>
              <w:rPr>
                <w:rFonts w:hint="eastAsia" w:cs="宋体"/>
                <w:color w:val="000000"/>
                <w:spacing w:val="-2"/>
                <w:kern w:val="0"/>
                <w:sz w:val="24"/>
                <w:szCs w:val="24"/>
                <w:highlight w:val="none"/>
                <w:lang w:val="en-US" w:eastAsia="zh-CN"/>
              </w:rPr>
              <w:t>)——参考位置r0处的声压级，dB；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D</w:t>
            </w:r>
            <w:r>
              <w:rPr>
                <w:rFonts w:hint="eastAsia" w:cs="宋体"/>
                <w:color w:val="000000"/>
                <w:spacing w:val="-2"/>
                <w:kern w:val="0"/>
                <w:sz w:val="24"/>
                <w:szCs w:val="24"/>
                <w:highlight w:val="none"/>
                <w:vertAlign w:val="subscript"/>
                <w:lang w:val="en-US" w:eastAsia="zh-CN"/>
              </w:rPr>
              <w:t>C</w:t>
            </w:r>
            <w:r>
              <w:rPr>
                <w:rFonts w:hint="eastAsia" w:cs="宋体"/>
                <w:color w:val="000000"/>
                <w:spacing w:val="-2"/>
                <w:kern w:val="0"/>
                <w:sz w:val="24"/>
                <w:szCs w:val="24"/>
                <w:highlight w:val="none"/>
                <w:lang w:val="en-US" w:eastAsia="zh-CN"/>
              </w:rPr>
              <w:t>——指向性校正，它描述点声源的等效连续声压级与产生声功率级Lw的全向点声源在规定方向的声级的偏差程度，dB；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Adiv——几何发散引起的衰减，dB；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Aatm——大气吸收引起的衰减，dB；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Agr——地面效应引起的衰减，dB；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Abar——障碍物屏蔽引起的衰减，dB；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Amisc——其他多方面效应引起的衰减，dB。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472" w:firstLineChars="200"/>
              <w:textAlignment w:val="auto"/>
              <w:rPr>
                <w:rFonts w:hint="default"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b.预测点的A声级LA(r)可按式(A.3)计算，即将8个倍频带声压级合成，计算出预测点的A声级[LA(r)]。</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cs="宋体"/>
                <w:color w:val="000000"/>
                <w:spacing w:val="-2"/>
                <w:kern w:val="0"/>
                <w:sz w:val="24"/>
                <w:szCs w:val="24"/>
                <w:highlight w:val="none"/>
                <w:lang w:val="en-US" w:eastAsia="zh-CN"/>
              </w:rPr>
            </w:pPr>
            <w:r>
              <w:rPr>
                <w:color w:val="000000"/>
                <w:highlight w:val="none"/>
              </w:rPr>
              <w:drawing>
                <wp:inline distT="0" distB="0" distL="114300" distR="114300">
                  <wp:extent cx="5295900" cy="463550"/>
                  <wp:effectExtent l="0" t="0" r="0" b="1270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25"/>
                          <a:stretch>
                            <a:fillRect/>
                          </a:stretch>
                        </pic:blipFill>
                        <pic:spPr>
                          <a:xfrm>
                            <a:off x="0" y="0"/>
                            <a:ext cx="5295900" cy="4635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ind w:left="0" w:leftChars="0" w:firstLine="472" w:firstLineChars="2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式中，LA(r)——距声源r处的A声级，dB(A)；</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Lpi(r)——预测点(r)处，第i倍频带声压级，dB；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宋体"/>
                <w:color w:val="000000"/>
                <w:spacing w:val="-2"/>
                <w:kern w:val="0"/>
                <w:sz w:val="24"/>
                <w:szCs w:val="24"/>
                <w:highlight w:val="none"/>
                <w:lang w:val="en-US" w:eastAsia="zh-CN"/>
              </w:rPr>
            </w:pPr>
            <w:r>
              <w:rPr>
                <w:rFonts w:hint="eastAsia" w:cs="宋体"/>
                <w:color w:val="000000"/>
                <w:spacing w:val="-2"/>
                <w:kern w:val="0"/>
                <w:sz w:val="24"/>
                <w:szCs w:val="24"/>
                <w:highlight w:val="none"/>
                <w:lang w:val="en-US" w:eastAsia="zh-CN"/>
              </w:rPr>
              <w:t>ΔLi——第i倍频带的A计权网络修正值，dB。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474" w:firstLineChars="200"/>
              <w:textAlignment w:val="auto"/>
              <w:rPr>
                <w:rFonts w:cs="Times New Roman"/>
                <w:b/>
                <w:bCs/>
                <w:color w:val="000000"/>
                <w:spacing w:val="-2"/>
                <w:kern w:val="0"/>
                <w:sz w:val="24"/>
                <w:szCs w:val="24"/>
                <w:highlight w:val="none"/>
              </w:rPr>
            </w:pPr>
            <w:r>
              <w:rPr>
                <w:rFonts w:hint="eastAsia" w:cs="宋体"/>
                <w:b/>
                <w:bCs/>
                <w:color w:val="000000"/>
                <w:spacing w:val="-2"/>
                <w:kern w:val="0"/>
                <w:sz w:val="24"/>
                <w:szCs w:val="24"/>
                <w:highlight w:val="none"/>
                <w:lang w:val="en-US" w:eastAsia="zh-CN"/>
              </w:rPr>
              <w:t>②</w:t>
            </w:r>
            <w:r>
              <w:rPr>
                <w:rFonts w:hint="eastAsia" w:cs="Times New Roman"/>
                <w:b/>
                <w:bCs/>
                <w:color w:val="000000"/>
                <w:spacing w:val="-2"/>
                <w:kern w:val="0"/>
                <w:sz w:val="24"/>
                <w:szCs w:val="24"/>
                <w:highlight w:val="none"/>
              </w:rPr>
              <w:t>室内声源</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472" w:firstLineChars="200"/>
              <w:textAlignment w:val="auto"/>
              <w:rPr>
                <w:rFonts w:cs="Times New Roman"/>
                <w:color w:val="000000"/>
                <w:spacing w:val="-2"/>
                <w:kern w:val="0"/>
                <w:sz w:val="24"/>
                <w:szCs w:val="24"/>
                <w:highlight w:val="none"/>
              </w:rPr>
            </w:pPr>
            <w:r>
              <w:rPr>
                <w:rFonts w:hint="eastAsia" w:cs="Times New Roman"/>
                <w:color w:val="000000"/>
                <w:spacing w:val="-2"/>
                <w:kern w:val="0"/>
                <w:sz w:val="24"/>
                <w:szCs w:val="24"/>
                <w:highlight w:val="none"/>
              </w:rPr>
              <w:t>声源位于室内，室内声源可采用等效室外声源声功率级法进行计算。设靠近开口处</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或窗户</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室内、室外某倍频带的声压级或A声级分别为Lp1和</w:t>
            </w:r>
            <w:r>
              <w:rPr>
                <w:rFonts w:hint="eastAsia" w:cs="Times New Roman"/>
                <w:color w:val="000000"/>
                <w:spacing w:val="-2"/>
                <w:kern w:val="0"/>
                <w:sz w:val="24"/>
                <w:szCs w:val="24"/>
                <w:highlight w:val="none"/>
                <w:lang w:val="en-US" w:eastAsia="zh-CN"/>
              </w:rPr>
              <w:t>L</w:t>
            </w:r>
            <w:r>
              <w:rPr>
                <w:rFonts w:hint="eastAsia" w:cs="Times New Roman"/>
                <w:color w:val="000000"/>
                <w:spacing w:val="-2"/>
                <w:kern w:val="0"/>
                <w:sz w:val="24"/>
                <w:szCs w:val="24"/>
                <w:highlight w:val="none"/>
              </w:rPr>
              <w:t>p2 。若声源所在室内声场为近似扩散声场，则室外的倍频带声压级可按式</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B.1</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近似求出：</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480" w:firstLineChars="200"/>
              <w:jc w:val="center"/>
              <w:textAlignment w:val="auto"/>
              <w:rPr>
                <w:rFonts w:cs="Times New Roman"/>
                <w:color w:val="000000"/>
                <w:spacing w:val="-2"/>
                <w:kern w:val="0"/>
                <w:sz w:val="24"/>
                <w:szCs w:val="24"/>
                <w:highlight w:val="none"/>
              </w:rPr>
            </w:pPr>
            <w:r>
              <w:rPr>
                <w:color w:val="000000"/>
                <w:highlight w:val="none"/>
              </w:rPr>
              <w:drawing>
                <wp:inline distT="0" distB="0" distL="114300" distR="114300">
                  <wp:extent cx="5301615" cy="196215"/>
                  <wp:effectExtent l="0" t="0" r="13335" b="13335"/>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26"/>
                          <a:stretch>
                            <a:fillRect/>
                          </a:stretch>
                        </pic:blipFill>
                        <pic:spPr>
                          <a:xfrm>
                            <a:off x="0" y="0"/>
                            <a:ext cx="5301615" cy="1962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ind w:left="0" w:leftChars="0" w:firstLine="472" w:firstLineChars="200"/>
              <w:textAlignment w:val="auto"/>
              <w:rPr>
                <w:rFonts w:hint="eastAsia" w:cs="Times New Roman"/>
                <w:color w:val="000000"/>
                <w:spacing w:val="-2"/>
                <w:kern w:val="0"/>
                <w:sz w:val="24"/>
                <w:szCs w:val="24"/>
                <w:highlight w:val="none"/>
              </w:rPr>
            </w:pPr>
            <w:r>
              <w:rPr>
                <w:rFonts w:hint="eastAsia" w:cs="Times New Roman"/>
                <w:color w:val="000000"/>
                <w:spacing w:val="-2"/>
                <w:kern w:val="0"/>
                <w:sz w:val="24"/>
                <w:szCs w:val="24"/>
                <w:highlight w:val="none"/>
              </w:rPr>
              <w:t>式中</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Lp1——靠近开口处</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或窗户</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室内某倍频带的声压级或A声级，dB；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hint="eastAsia" w:cs="Times New Roman"/>
                <w:color w:val="000000"/>
                <w:spacing w:val="-2"/>
                <w:kern w:val="0"/>
                <w:sz w:val="24"/>
                <w:szCs w:val="24"/>
                <w:highlight w:val="none"/>
              </w:rPr>
            </w:pPr>
            <w:r>
              <w:rPr>
                <w:rFonts w:hint="eastAsia" w:cs="Times New Roman"/>
                <w:color w:val="000000"/>
                <w:spacing w:val="-2"/>
                <w:kern w:val="0"/>
                <w:sz w:val="24"/>
                <w:szCs w:val="24"/>
                <w:highlight w:val="none"/>
              </w:rPr>
              <w:t>Lp2——靠近开口处</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或窗户</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室外某倍频带的声压级或A声级，dB；</w:t>
            </w:r>
          </w:p>
          <w:p>
            <w:pPr>
              <w:keepNext w:val="0"/>
              <w:keepLines w:val="0"/>
              <w:pageBreakBefore w:val="0"/>
              <w:widowControl w:val="0"/>
              <w:kinsoku/>
              <w:wordWrap/>
              <w:overflowPunct/>
              <w:topLinePunct w:val="0"/>
              <w:autoSpaceDE/>
              <w:autoSpaceDN/>
              <w:bidi w:val="0"/>
              <w:adjustRightInd/>
              <w:snapToGrid/>
              <w:spacing w:line="480" w:lineRule="exact"/>
              <w:ind w:left="0" w:leftChars="0" w:firstLine="1180" w:firstLineChars="500"/>
              <w:textAlignment w:val="auto"/>
              <w:rPr>
                <w:rFonts w:cs="Times New Roman"/>
                <w:color w:val="000000"/>
                <w:spacing w:val="-2"/>
                <w:kern w:val="0"/>
                <w:sz w:val="24"/>
                <w:szCs w:val="24"/>
                <w:highlight w:val="none"/>
              </w:rPr>
            </w:pPr>
            <w:r>
              <w:rPr>
                <w:rFonts w:hint="eastAsia" w:cs="Times New Roman"/>
                <w:color w:val="000000"/>
                <w:spacing w:val="-2"/>
                <w:kern w:val="0"/>
                <w:sz w:val="24"/>
                <w:szCs w:val="24"/>
                <w:highlight w:val="none"/>
              </w:rPr>
              <w:t>TL——隔墙</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或窗户</w:t>
            </w:r>
            <w:r>
              <w:rPr>
                <w:rFonts w:hint="eastAsia" w:cs="Times New Roman"/>
                <w:color w:val="000000"/>
                <w:spacing w:val="-2"/>
                <w:kern w:val="0"/>
                <w:sz w:val="24"/>
                <w:szCs w:val="24"/>
                <w:highlight w:val="none"/>
                <w:lang w:eastAsia="zh-CN"/>
              </w:rPr>
              <w:t>)</w:t>
            </w:r>
            <w:r>
              <w:rPr>
                <w:rFonts w:hint="eastAsia" w:cs="Times New Roman"/>
                <w:color w:val="000000"/>
                <w:spacing w:val="-2"/>
                <w:kern w:val="0"/>
                <w:sz w:val="24"/>
                <w:szCs w:val="24"/>
                <w:highlight w:val="none"/>
              </w:rPr>
              <w:t>倍频带或A声级的隔声量，dB。</w:t>
            </w:r>
          </w:p>
          <w:p>
            <w:pPr>
              <w:pStyle w:val="21"/>
              <w:bidi w:val="0"/>
              <w:spacing w:line="360" w:lineRule="auto"/>
            </w:pPr>
            <w:r>
              <w:drawing>
                <wp:inline distT="0" distB="0" distL="114300" distR="114300">
                  <wp:extent cx="3467735" cy="1524635"/>
                  <wp:effectExtent l="0" t="0" r="18415" b="18415"/>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27"/>
                          <a:stretch>
                            <a:fillRect/>
                          </a:stretch>
                        </pic:blipFill>
                        <pic:spPr>
                          <a:xfrm>
                            <a:off x="0" y="0"/>
                            <a:ext cx="3467735" cy="152463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480" w:lineRule="exact"/>
              <w:ind w:left="0" w:leftChars="0" w:firstLine="480" w:firstLineChars="200"/>
              <w:textAlignment w:val="auto"/>
              <w:rPr>
                <w:color w:val="000000"/>
                <w:sz w:val="24"/>
                <w:szCs w:val="24"/>
                <w:highlight w:val="none"/>
              </w:rPr>
            </w:pPr>
            <w:r>
              <w:rPr>
                <w:rFonts w:hint="eastAsia"/>
                <w:color w:val="000000"/>
                <w:sz w:val="24"/>
                <w:szCs w:val="24"/>
                <w:highlight w:val="none"/>
              </w:rPr>
              <w:t>也可按式</w:t>
            </w:r>
            <w:r>
              <w:rPr>
                <w:rFonts w:hint="eastAsia"/>
                <w:color w:val="000000"/>
                <w:sz w:val="24"/>
                <w:szCs w:val="24"/>
                <w:highlight w:val="none"/>
                <w:lang w:eastAsia="zh-CN"/>
              </w:rPr>
              <w:t>(</w:t>
            </w:r>
            <w:r>
              <w:rPr>
                <w:rFonts w:hint="eastAsia"/>
                <w:color w:val="000000"/>
                <w:sz w:val="24"/>
                <w:szCs w:val="24"/>
                <w:highlight w:val="none"/>
              </w:rPr>
              <w:t>B.2</w:t>
            </w:r>
            <w:r>
              <w:rPr>
                <w:rFonts w:hint="eastAsia"/>
                <w:color w:val="000000"/>
                <w:sz w:val="24"/>
                <w:szCs w:val="24"/>
                <w:highlight w:val="none"/>
                <w:lang w:eastAsia="zh-CN"/>
              </w:rPr>
              <w:t>)</w:t>
            </w:r>
            <w:r>
              <w:rPr>
                <w:rFonts w:hint="eastAsia"/>
                <w:color w:val="000000"/>
                <w:sz w:val="24"/>
                <w:szCs w:val="24"/>
                <w:highlight w:val="none"/>
              </w:rPr>
              <w:t>计算某一室内声源靠近围护结构处产生的倍频带声压级或A 声级：</w:t>
            </w:r>
          </w:p>
          <w:p>
            <w:pPr>
              <w:pStyle w:val="57"/>
              <w:keepNext w:val="0"/>
              <w:keepLines w:val="0"/>
              <w:pageBreakBefore w:val="0"/>
              <w:kinsoku/>
              <w:wordWrap/>
              <w:overflowPunct/>
              <w:topLinePunct w:val="0"/>
              <w:autoSpaceDE/>
              <w:autoSpaceDN/>
              <w:bidi w:val="0"/>
              <w:adjustRightInd/>
              <w:snapToGrid/>
              <w:spacing w:line="360" w:lineRule="auto"/>
              <w:ind w:left="0" w:leftChars="0" w:firstLine="480" w:firstLineChars="200"/>
              <w:jc w:val="both"/>
              <w:textAlignment w:val="auto"/>
              <w:rPr>
                <w:rFonts w:cs="Times New Roman"/>
                <w:color w:val="000000"/>
                <w:highlight w:val="none"/>
              </w:rPr>
            </w:pPr>
            <w:r>
              <w:rPr>
                <w:color w:val="000000"/>
                <w:highlight w:val="none"/>
              </w:rPr>
              <w:drawing>
                <wp:inline distT="0" distB="0" distL="114300" distR="114300">
                  <wp:extent cx="5294630" cy="374650"/>
                  <wp:effectExtent l="0" t="0" r="1270" b="635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28"/>
                          <a:stretch>
                            <a:fillRect/>
                          </a:stretch>
                        </pic:blipFill>
                        <pic:spPr>
                          <a:xfrm>
                            <a:off x="0" y="0"/>
                            <a:ext cx="5294630" cy="374650"/>
                          </a:xfrm>
                          <a:prstGeom prst="rect">
                            <a:avLst/>
                          </a:prstGeom>
                          <a:noFill/>
                          <a:ln>
                            <a:noFill/>
                          </a:ln>
                        </pic:spPr>
                      </pic:pic>
                    </a:graphicData>
                  </a:graphic>
                </wp:inline>
              </w:drawing>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hint="eastAsia" w:cs="Times New Roman"/>
                <w:color w:val="000000"/>
                <w:highlight w:val="none"/>
              </w:rPr>
            </w:pPr>
            <w:r>
              <w:rPr>
                <w:rFonts w:hint="eastAsia" w:cs="Times New Roman"/>
                <w:color w:val="000000"/>
                <w:highlight w:val="none"/>
              </w:rPr>
              <w:t>式中</w:t>
            </w:r>
            <w:r>
              <w:rPr>
                <w:rFonts w:hint="eastAsia" w:cs="Times New Roman"/>
                <w:color w:val="000000"/>
                <w:highlight w:val="none"/>
                <w:lang w:eastAsia="zh-CN"/>
              </w:rPr>
              <w:t>，</w:t>
            </w:r>
            <w:r>
              <w:rPr>
                <w:rFonts w:hint="eastAsia" w:cs="Times New Roman"/>
                <w:color w:val="000000"/>
                <w:highlight w:val="none"/>
              </w:rPr>
              <w:t>Lp1——靠近开口处</w:t>
            </w:r>
            <w:r>
              <w:rPr>
                <w:rFonts w:hint="eastAsia" w:cs="Times New Roman"/>
                <w:color w:val="000000"/>
                <w:highlight w:val="none"/>
                <w:lang w:eastAsia="zh-CN"/>
              </w:rPr>
              <w:t>(</w:t>
            </w:r>
            <w:r>
              <w:rPr>
                <w:rFonts w:hint="eastAsia" w:cs="Times New Roman"/>
                <w:color w:val="000000"/>
                <w:highlight w:val="none"/>
              </w:rPr>
              <w:t>或窗户</w:t>
            </w:r>
            <w:r>
              <w:rPr>
                <w:rFonts w:hint="eastAsia" w:cs="Times New Roman"/>
                <w:color w:val="000000"/>
                <w:highlight w:val="none"/>
                <w:lang w:eastAsia="zh-CN"/>
              </w:rPr>
              <w:t>)</w:t>
            </w:r>
            <w:r>
              <w:rPr>
                <w:rFonts w:hint="eastAsia" w:cs="Times New Roman"/>
                <w:color w:val="000000"/>
                <w:highlight w:val="none"/>
              </w:rPr>
              <w:t>室内某倍频带的声压级或A声级，dB；</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Lw——点声源声功率级</w:t>
            </w:r>
            <w:r>
              <w:rPr>
                <w:rFonts w:hint="eastAsia" w:cs="Times New Roman"/>
                <w:color w:val="000000"/>
                <w:highlight w:val="none"/>
                <w:lang w:eastAsia="zh-CN"/>
              </w:rPr>
              <w:t>(</w:t>
            </w:r>
            <w:r>
              <w:rPr>
                <w:rFonts w:hint="eastAsia" w:cs="Times New Roman"/>
                <w:color w:val="000000"/>
                <w:highlight w:val="none"/>
              </w:rPr>
              <w:t>A计权或倍频带</w:t>
            </w:r>
            <w:r>
              <w:rPr>
                <w:rFonts w:hint="eastAsia" w:cs="Times New Roman"/>
                <w:color w:val="000000"/>
                <w:highlight w:val="none"/>
                <w:lang w:eastAsia="zh-CN"/>
              </w:rPr>
              <w:t>)</w:t>
            </w:r>
            <w:r>
              <w:rPr>
                <w:rFonts w:hint="eastAsia" w:cs="Times New Roman"/>
                <w:color w:val="000000"/>
                <w:highlight w:val="none"/>
              </w:rPr>
              <w:t>，dB；</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Q——指向性因数；通常对无指向性声源，当声源放在房间中心时，Q=1；当放在一面墙的中心时，Q=2；当放在两面墙夹角处时，Q=4；当放在三面墙夹角处时，Q=8；</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eastAsia="宋体" w:cs="Times New Roman"/>
                <w:color w:val="000000"/>
                <w:highlight w:val="none"/>
                <w:lang w:eastAsia="zh-CN"/>
              </w:rPr>
            </w:pPr>
            <w:r>
              <w:rPr>
                <w:rFonts w:hint="eastAsia" w:cs="Times New Roman"/>
                <w:color w:val="000000"/>
                <w:highlight w:val="none"/>
              </w:rPr>
              <w:t>R——房间常数；R</w:t>
            </w:r>
            <w:r>
              <w:rPr>
                <w:rFonts w:hint="eastAsia" w:cs="Times New Roman"/>
                <w:color w:val="000000"/>
                <w:highlight w:val="none"/>
                <w:lang w:val="en-US" w:eastAsia="zh-CN"/>
              </w:rPr>
              <w:t>=S</w:t>
            </w:r>
            <w:r>
              <w:rPr>
                <w:rFonts w:hint="default" w:ascii="Times New Roman" w:hAnsi="Times New Roman" w:cs="Times New Roman"/>
                <w:color w:val="000000"/>
                <w:highlight w:val="none"/>
                <w:lang w:val="en-US" w:eastAsia="zh-CN"/>
              </w:rPr>
              <w:t>α</w:t>
            </w:r>
            <w:r>
              <w:rPr>
                <w:rFonts w:hint="eastAsia" w:cs="Times New Roman"/>
                <w:color w:val="000000"/>
                <w:highlight w:val="none"/>
              </w:rPr>
              <w:t>/</w:t>
            </w:r>
            <w:r>
              <w:rPr>
                <w:rFonts w:hint="eastAsia" w:cs="Times New Roman"/>
                <w:color w:val="000000"/>
                <w:highlight w:val="none"/>
                <w:lang w:eastAsia="zh-CN"/>
              </w:rPr>
              <w:t>(</w:t>
            </w:r>
            <w:r>
              <w:rPr>
                <w:rFonts w:hint="eastAsia" w:cs="Times New Roman"/>
                <w:color w:val="000000"/>
                <w:highlight w:val="none"/>
                <w:lang w:val="en-US" w:eastAsia="zh-CN"/>
              </w:rPr>
              <w:t>1-</w:t>
            </w:r>
            <w:r>
              <w:rPr>
                <w:rFonts w:hint="default" w:ascii="Times New Roman" w:hAnsi="Times New Roman" w:cs="Times New Roman"/>
                <w:color w:val="000000"/>
                <w:highlight w:val="none"/>
                <w:lang w:val="en-US" w:eastAsia="zh-CN"/>
              </w:rPr>
              <w:t>α</w:t>
            </w:r>
            <w:r>
              <w:rPr>
                <w:rFonts w:hint="eastAsia" w:cs="Times New Roman"/>
                <w:color w:val="000000"/>
                <w:highlight w:val="none"/>
                <w:lang w:eastAsia="zh-CN"/>
              </w:rPr>
              <w:t>)</w:t>
            </w:r>
            <w:r>
              <w:rPr>
                <w:rFonts w:hint="eastAsia" w:cs="Times New Roman"/>
                <w:color w:val="000000"/>
                <w:highlight w:val="none"/>
              </w:rPr>
              <w:t>，S为房间内表面面积，m</w:t>
            </w:r>
            <w:r>
              <w:rPr>
                <w:rFonts w:hint="eastAsia" w:cs="Times New Roman"/>
                <w:color w:val="000000"/>
                <w:highlight w:val="none"/>
                <w:vertAlign w:val="superscript"/>
              </w:rPr>
              <w:t>2</w:t>
            </w:r>
            <w:r>
              <w:rPr>
                <w:rFonts w:hint="eastAsia" w:cs="Times New Roman"/>
                <w:color w:val="000000"/>
                <w:highlight w:val="none"/>
              </w:rPr>
              <w:t>；</w:t>
            </w:r>
            <w:r>
              <w:rPr>
                <w:rFonts w:hint="default" w:ascii="Times New Roman" w:hAnsi="Times New Roman" w:cs="Times New Roman"/>
                <w:color w:val="000000"/>
                <w:highlight w:val="none"/>
              </w:rPr>
              <w:t>α</w:t>
            </w:r>
            <w:r>
              <w:rPr>
                <w:rFonts w:hint="eastAsia" w:cs="Times New Roman"/>
                <w:color w:val="000000"/>
                <w:highlight w:val="none"/>
              </w:rPr>
              <w:t>为平均吸声系数</w:t>
            </w:r>
            <w:r>
              <w:rPr>
                <w:rFonts w:hint="eastAsia" w:cs="Times New Roman"/>
                <w:color w:val="000000"/>
                <w:highlight w:val="none"/>
                <w:lang w:eastAsia="zh-CN"/>
              </w:rPr>
              <w:t>。</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r——声源到靠近围护结构某点处的距离，m。</w:t>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cs="Times New Roman"/>
                <w:color w:val="000000"/>
                <w:highlight w:val="none"/>
              </w:rPr>
            </w:pPr>
            <w:r>
              <w:rPr>
                <w:rFonts w:hint="eastAsia" w:cs="Times New Roman"/>
                <w:color w:val="000000"/>
                <w:highlight w:val="none"/>
              </w:rPr>
              <w:t>然后按式</w:t>
            </w:r>
            <w:r>
              <w:rPr>
                <w:rFonts w:hint="eastAsia" w:cs="Times New Roman"/>
                <w:color w:val="000000"/>
                <w:highlight w:val="none"/>
                <w:lang w:eastAsia="zh-CN"/>
              </w:rPr>
              <w:t>(</w:t>
            </w:r>
            <w:r>
              <w:rPr>
                <w:rFonts w:hint="eastAsia" w:cs="Times New Roman"/>
                <w:color w:val="000000"/>
                <w:highlight w:val="none"/>
              </w:rPr>
              <w:t>B.3</w:t>
            </w:r>
            <w:r>
              <w:rPr>
                <w:rFonts w:hint="eastAsia" w:cs="Times New Roman"/>
                <w:color w:val="000000"/>
                <w:highlight w:val="none"/>
                <w:lang w:eastAsia="zh-CN"/>
              </w:rPr>
              <w:t>)</w:t>
            </w:r>
            <w:r>
              <w:rPr>
                <w:rFonts w:hint="eastAsia" w:cs="Times New Roman"/>
                <w:color w:val="000000"/>
                <w:highlight w:val="none"/>
              </w:rPr>
              <w:t>计算出所有室内声源在围护结构处产生的i倍频带叠加声压级：</w:t>
            </w:r>
          </w:p>
          <w:p>
            <w:pPr>
              <w:pStyle w:val="57"/>
              <w:keepNext w:val="0"/>
              <w:keepLines w:val="0"/>
              <w:pageBreakBefore w:val="0"/>
              <w:widowControl/>
              <w:kinsoku/>
              <w:wordWrap/>
              <w:overflowPunct/>
              <w:topLinePunct w:val="0"/>
              <w:autoSpaceDE/>
              <w:autoSpaceDN/>
              <w:bidi w:val="0"/>
              <w:adjustRightInd/>
              <w:snapToGrid/>
              <w:spacing w:line="240" w:lineRule="auto"/>
              <w:ind w:left="0" w:leftChars="0" w:firstLine="480" w:firstLineChars="200"/>
              <w:jc w:val="both"/>
              <w:textAlignment w:val="auto"/>
              <w:rPr>
                <w:rFonts w:cs="Times New Roman"/>
                <w:color w:val="000000"/>
                <w:highlight w:val="none"/>
              </w:rPr>
            </w:pPr>
            <w:r>
              <w:rPr>
                <w:color w:val="000000"/>
                <w:highlight w:val="none"/>
              </w:rPr>
              <w:drawing>
                <wp:inline distT="0" distB="0" distL="114300" distR="114300">
                  <wp:extent cx="5300345" cy="401320"/>
                  <wp:effectExtent l="0" t="0" r="14605" b="1778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29"/>
                          <a:stretch>
                            <a:fillRect/>
                          </a:stretch>
                        </pic:blipFill>
                        <pic:spPr>
                          <a:xfrm>
                            <a:off x="0" y="0"/>
                            <a:ext cx="5300345" cy="401320"/>
                          </a:xfrm>
                          <a:prstGeom prst="rect">
                            <a:avLst/>
                          </a:prstGeom>
                          <a:noFill/>
                          <a:ln>
                            <a:noFill/>
                          </a:ln>
                        </pic:spPr>
                      </pic:pic>
                    </a:graphicData>
                  </a:graphic>
                </wp:inline>
              </w:drawing>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hint="eastAsia" w:cs="Times New Roman"/>
                <w:color w:val="000000"/>
                <w:highlight w:val="none"/>
              </w:rPr>
            </w:pPr>
            <w:r>
              <w:rPr>
                <w:rFonts w:hint="eastAsia" w:cs="Times New Roman"/>
                <w:color w:val="000000"/>
                <w:highlight w:val="none"/>
              </w:rPr>
              <w:t>式中</w:t>
            </w:r>
            <w:r>
              <w:rPr>
                <w:rFonts w:hint="eastAsia" w:cs="Times New Roman"/>
                <w:color w:val="000000"/>
                <w:highlight w:val="none"/>
                <w:lang w:eastAsia="zh-CN"/>
              </w:rPr>
              <w:t>，</w:t>
            </w:r>
            <w:r>
              <w:rPr>
                <w:rFonts w:hint="eastAsia" w:cs="Times New Roman"/>
                <w:color w:val="000000"/>
                <w:highlight w:val="none"/>
                <w:lang w:val="en-US" w:eastAsia="zh-CN"/>
              </w:rPr>
              <w:t>L</w:t>
            </w:r>
            <w:r>
              <w:rPr>
                <w:rFonts w:hint="eastAsia" w:cs="Times New Roman"/>
                <w:color w:val="000000"/>
                <w:highlight w:val="none"/>
              </w:rPr>
              <w:t>pi</w:t>
            </w:r>
            <w:r>
              <w:rPr>
                <w:rFonts w:hint="eastAsia" w:cs="Times New Roman"/>
                <w:color w:val="000000"/>
                <w:highlight w:val="none"/>
                <w:lang w:eastAsia="zh-CN"/>
              </w:rPr>
              <w:t>(</w:t>
            </w:r>
            <w:r>
              <w:rPr>
                <w:rFonts w:hint="eastAsia" w:cs="Times New Roman"/>
                <w:color w:val="000000"/>
                <w:highlight w:val="none"/>
                <w:lang w:val="en-US" w:eastAsia="zh-CN"/>
              </w:rPr>
              <w:t>T</w:t>
            </w:r>
            <w:r>
              <w:rPr>
                <w:rFonts w:hint="eastAsia" w:cs="Times New Roman"/>
                <w:color w:val="000000"/>
                <w:highlight w:val="none"/>
                <w:lang w:eastAsia="zh-CN"/>
              </w:rPr>
              <w:t>)</w:t>
            </w:r>
            <w:r>
              <w:rPr>
                <w:rFonts w:hint="eastAsia" w:cs="Times New Roman"/>
                <w:color w:val="000000"/>
                <w:highlight w:val="none"/>
              </w:rPr>
              <w:t>——靠近围护结构处室内N个声源i倍频带的叠加声压级，dB；</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L</w:t>
            </w:r>
            <w:r>
              <w:rPr>
                <w:rFonts w:hint="eastAsia" w:cs="Times New Roman"/>
                <w:color w:val="000000"/>
                <w:highlight w:val="none"/>
                <w:vertAlign w:val="subscript"/>
              </w:rPr>
              <w:t>1pij</w:t>
            </w:r>
            <w:r>
              <w:rPr>
                <w:rFonts w:hint="eastAsia" w:cs="Times New Roman"/>
                <w:color w:val="000000"/>
                <w:highlight w:val="none"/>
              </w:rPr>
              <w:t>——室内j声源i倍频带的声压级，dB；</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N——室内声源总数。</w:t>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cs="Times New Roman"/>
                <w:color w:val="000000"/>
                <w:highlight w:val="none"/>
              </w:rPr>
            </w:pPr>
            <w:r>
              <w:rPr>
                <w:rFonts w:hint="eastAsia" w:cs="Times New Roman"/>
                <w:color w:val="000000"/>
                <w:highlight w:val="none"/>
              </w:rPr>
              <w:t>在室内近似为扩散声场时，按式</w:t>
            </w:r>
            <w:r>
              <w:rPr>
                <w:rFonts w:hint="eastAsia" w:cs="Times New Roman"/>
                <w:color w:val="000000"/>
                <w:highlight w:val="none"/>
                <w:lang w:eastAsia="zh-CN"/>
              </w:rPr>
              <w:t>(</w:t>
            </w:r>
            <w:r>
              <w:rPr>
                <w:rFonts w:hint="eastAsia" w:cs="Times New Roman"/>
                <w:color w:val="000000"/>
                <w:highlight w:val="none"/>
              </w:rPr>
              <w:t>B.4</w:t>
            </w:r>
            <w:r>
              <w:rPr>
                <w:rFonts w:hint="eastAsia" w:cs="Times New Roman"/>
                <w:color w:val="000000"/>
                <w:highlight w:val="none"/>
                <w:lang w:eastAsia="zh-CN"/>
              </w:rPr>
              <w:t>)</w:t>
            </w:r>
            <w:r>
              <w:rPr>
                <w:rFonts w:hint="eastAsia" w:cs="Times New Roman"/>
                <w:color w:val="000000"/>
                <w:highlight w:val="none"/>
              </w:rPr>
              <w:t>计算出靠近室外围护结构处的声压级：</w:t>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cs="Times New Roman"/>
                <w:color w:val="000000"/>
                <w:highlight w:val="none"/>
              </w:rPr>
            </w:pPr>
            <w:r>
              <w:rPr>
                <w:color w:val="000000"/>
                <w:highlight w:val="none"/>
              </w:rPr>
              <w:drawing>
                <wp:inline distT="0" distB="0" distL="114300" distR="114300">
                  <wp:extent cx="5299075" cy="222250"/>
                  <wp:effectExtent l="0" t="0" r="15875" b="635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30"/>
                          <a:stretch>
                            <a:fillRect/>
                          </a:stretch>
                        </pic:blipFill>
                        <pic:spPr>
                          <a:xfrm>
                            <a:off x="0" y="0"/>
                            <a:ext cx="5299075" cy="222250"/>
                          </a:xfrm>
                          <a:prstGeom prst="rect">
                            <a:avLst/>
                          </a:prstGeom>
                          <a:noFill/>
                          <a:ln>
                            <a:noFill/>
                          </a:ln>
                        </pic:spPr>
                      </pic:pic>
                    </a:graphicData>
                  </a:graphic>
                </wp:inline>
              </w:drawing>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hint="eastAsia" w:cs="Times New Roman"/>
                <w:color w:val="000000"/>
                <w:highlight w:val="none"/>
              </w:rPr>
            </w:pPr>
            <w:r>
              <w:rPr>
                <w:rFonts w:hint="eastAsia" w:cs="Times New Roman"/>
                <w:color w:val="000000"/>
                <w:highlight w:val="none"/>
              </w:rPr>
              <w:t>式中</w:t>
            </w:r>
            <w:r>
              <w:rPr>
                <w:rFonts w:hint="eastAsia" w:cs="Times New Roman"/>
                <w:color w:val="000000"/>
                <w:highlight w:val="none"/>
                <w:lang w:eastAsia="zh-CN"/>
              </w:rPr>
              <w:t>，</w:t>
            </w:r>
            <w:r>
              <w:rPr>
                <w:rFonts w:hint="eastAsia" w:cs="Times New Roman"/>
                <w:color w:val="000000"/>
                <w:highlight w:val="none"/>
              </w:rPr>
              <w:t>L</w:t>
            </w:r>
            <w:r>
              <w:rPr>
                <w:rFonts w:hint="eastAsia" w:cs="Times New Roman"/>
                <w:color w:val="000000"/>
                <w:highlight w:val="none"/>
                <w:vertAlign w:val="subscript"/>
              </w:rPr>
              <w:t>p2i</w:t>
            </w:r>
            <w:r>
              <w:rPr>
                <w:rFonts w:hint="eastAsia" w:cs="Times New Roman"/>
                <w:color w:val="000000"/>
                <w:highlight w:val="none"/>
              </w:rPr>
              <w:t>(T)——靠近围护结构处室外N个声源i倍频带的叠加声压级，dB；</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L</w:t>
            </w:r>
            <w:r>
              <w:rPr>
                <w:rFonts w:hint="eastAsia" w:cs="Times New Roman"/>
                <w:color w:val="000000"/>
                <w:highlight w:val="none"/>
                <w:vertAlign w:val="subscript"/>
              </w:rPr>
              <w:t xml:space="preserve"> p1i</w:t>
            </w:r>
            <w:r>
              <w:rPr>
                <w:rFonts w:hint="eastAsia" w:cs="Times New Roman"/>
                <w:color w:val="000000"/>
                <w:highlight w:val="none"/>
              </w:rPr>
              <w:t>(T)——靠近围护结构处室内N个声源i倍频带的叠加声压级，dB；</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TL</w:t>
            </w:r>
            <w:r>
              <w:rPr>
                <w:rFonts w:hint="eastAsia" w:cs="Times New Roman"/>
                <w:color w:val="000000"/>
                <w:highlight w:val="none"/>
                <w:vertAlign w:val="subscript"/>
              </w:rPr>
              <w:t>i</w:t>
            </w:r>
            <w:r>
              <w:rPr>
                <w:rFonts w:hint="eastAsia" w:cs="Times New Roman"/>
                <w:color w:val="000000"/>
                <w:highlight w:val="none"/>
              </w:rPr>
              <w:t>——围护结构i倍频带的隔声量，dB。</w:t>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cs="Times New Roman"/>
                <w:color w:val="000000"/>
                <w:highlight w:val="none"/>
              </w:rPr>
            </w:pPr>
            <w:r>
              <w:rPr>
                <w:rFonts w:hint="eastAsia" w:cs="Times New Roman"/>
                <w:color w:val="000000"/>
                <w:highlight w:val="none"/>
              </w:rPr>
              <w:t>然后按式</w:t>
            </w:r>
            <w:r>
              <w:rPr>
                <w:rFonts w:hint="eastAsia" w:cs="Times New Roman"/>
                <w:color w:val="000000"/>
                <w:highlight w:val="none"/>
                <w:lang w:eastAsia="zh-CN"/>
              </w:rPr>
              <w:t>(</w:t>
            </w:r>
            <w:r>
              <w:rPr>
                <w:rFonts w:hint="eastAsia" w:cs="Times New Roman"/>
                <w:color w:val="000000"/>
                <w:highlight w:val="none"/>
              </w:rPr>
              <w:t>B.5</w:t>
            </w:r>
            <w:r>
              <w:rPr>
                <w:rFonts w:hint="eastAsia" w:cs="Times New Roman"/>
                <w:color w:val="000000"/>
                <w:highlight w:val="none"/>
                <w:lang w:eastAsia="zh-CN"/>
              </w:rPr>
              <w:t>)</w:t>
            </w:r>
            <w:r>
              <w:rPr>
                <w:rFonts w:hint="eastAsia" w:cs="Times New Roman"/>
                <w:color w:val="000000"/>
                <w:highlight w:val="none"/>
              </w:rPr>
              <w:t>将室外声源的声压级和透过面积换算成等效的室外声源，计算出中心位置位于透声面积</w:t>
            </w:r>
            <w:r>
              <w:rPr>
                <w:rFonts w:hint="eastAsia" w:cs="Times New Roman"/>
                <w:color w:val="000000"/>
                <w:highlight w:val="none"/>
                <w:lang w:eastAsia="zh-CN"/>
              </w:rPr>
              <w:t>(</w:t>
            </w:r>
            <w:r>
              <w:rPr>
                <w:rFonts w:hint="eastAsia" w:cs="Times New Roman"/>
                <w:color w:val="000000"/>
                <w:highlight w:val="none"/>
              </w:rPr>
              <w:t>S</w:t>
            </w:r>
            <w:r>
              <w:rPr>
                <w:rFonts w:hint="eastAsia" w:cs="Times New Roman"/>
                <w:color w:val="000000"/>
                <w:highlight w:val="none"/>
                <w:lang w:eastAsia="zh-CN"/>
              </w:rPr>
              <w:t>)</w:t>
            </w:r>
            <w:r>
              <w:rPr>
                <w:rFonts w:hint="eastAsia" w:cs="Times New Roman"/>
                <w:color w:val="000000"/>
                <w:highlight w:val="none"/>
              </w:rPr>
              <w:t>处的等效声源的倍频带声功率级。</w:t>
            </w:r>
          </w:p>
          <w:p>
            <w:pPr>
              <w:pStyle w:val="57"/>
              <w:keepNext w:val="0"/>
              <w:keepLines w:val="0"/>
              <w:pageBreakBefore w:val="0"/>
              <w:kinsoku/>
              <w:wordWrap/>
              <w:overflowPunct/>
              <w:topLinePunct w:val="0"/>
              <w:autoSpaceDE/>
              <w:autoSpaceDN/>
              <w:bidi w:val="0"/>
              <w:adjustRightInd/>
              <w:snapToGrid/>
              <w:spacing w:line="360" w:lineRule="auto"/>
              <w:ind w:left="0" w:leftChars="0" w:firstLine="480" w:firstLineChars="200"/>
              <w:jc w:val="both"/>
              <w:textAlignment w:val="auto"/>
              <w:rPr>
                <w:rFonts w:cs="Times New Roman"/>
                <w:color w:val="000000"/>
                <w:highlight w:val="none"/>
              </w:rPr>
            </w:pPr>
            <w:r>
              <w:rPr>
                <w:color w:val="000000"/>
                <w:highlight w:val="none"/>
              </w:rPr>
              <w:drawing>
                <wp:inline distT="0" distB="0" distL="114300" distR="114300">
                  <wp:extent cx="5301615" cy="155575"/>
                  <wp:effectExtent l="0" t="0" r="13335" b="15875"/>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31"/>
                          <a:stretch>
                            <a:fillRect/>
                          </a:stretch>
                        </pic:blipFill>
                        <pic:spPr>
                          <a:xfrm>
                            <a:off x="0" y="0"/>
                            <a:ext cx="5301615" cy="155575"/>
                          </a:xfrm>
                          <a:prstGeom prst="rect">
                            <a:avLst/>
                          </a:prstGeom>
                          <a:noFill/>
                          <a:ln>
                            <a:noFill/>
                          </a:ln>
                        </pic:spPr>
                      </pic:pic>
                    </a:graphicData>
                  </a:graphic>
                </wp:inline>
              </w:drawing>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hint="eastAsia" w:cs="Times New Roman"/>
                <w:color w:val="000000"/>
                <w:highlight w:val="none"/>
              </w:rPr>
            </w:pPr>
            <w:r>
              <w:rPr>
                <w:rFonts w:hint="eastAsia" w:cs="Times New Roman"/>
                <w:color w:val="000000"/>
                <w:highlight w:val="none"/>
              </w:rPr>
              <w:t>式中</w:t>
            </w:r>
            <w:r>
              <w:rPr>
                <w:rFonts w:hint="eastAsia" w:cs="Times New Roman"/>
                <w:color w:val="000000"/>
                <w:highlight w:val="none"/>
                <w:lang w:val="en-US" w:eastAsia="zh-CN"/>
              </w:rPr>
              <w:t>，</w:t>
            </w:r>
            <w:r>
              <w:rPr>
                <w:rFonts w:hint="eastAsia" w:cs="Times New Roman"/>
                <w:color w:val="000000"/>
                <w:highlight w:val="none"/>
              </w:rPr>
              <w:t>Lw——中心位置位于透声面积</w:t>
            </w:r>
            <w:r>
              <w:rPr>
                <w:rFonts w:hint="eastAsia" w:cs="Times New Roman"/>
                <w:color w:val="000000"/>
                <w:highlight w:val="none"/>
                <w:lang w:eastAsia="zh-CN"/>
              </w:rPr>
              <w:t>(</w:t>
            </w:r>
            <w:r>
              <w:rPr>
                <w:rFonts w:hint="eastAsia" w:cs="Times New Roman"/>
                <w:color w:val="000000"/>
                <w:highlight w:val="none"/>
              </w:rPr>
              <w:t>S</w:t>
            </w:r>
            <w:r>
              <w:rPr>
                <w:rFonts w:hint="eastAsia" w:cs="Times New Roman"/>
                <w:color w:val="000000"/>
                <w:highlight w:val="none"/>
                <w:lang w:eastAsia="zh-CN"/>
              </w:rPr>
              <w:t>)</w:t>
            </w:r>
            <w:r>
              <w:rPr>
                <w:rFonts w:hint="eastAsia" w:cs="Times New Roman"/>
                <w:color w:val="000000"/>
                <w:highlight w:val="none"/>
              </w:rPr>
              <w:t>处的等效声源的倍频带声功率级，dB；</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Lp2(T)——靠近围护结构处室外声源的声压级，dB；</w:t>
            </w:r>
          </w:p>
          <w:p>
            <w:pPr>
              <w:pStyle w:val="57"/>
              <w:keepNext w:val="0"/>
              <w:keepLines w:val="0"/>
              <w:pageBreakBefore w:val="0"/>
              <w:widowControl/>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S——透声面积，m</w:t>
            </w:r>
            <w:r>
              <w:rPr>
                <w:rFonts w:hint="eastAsia" w:cs="Times New Roman"/>
                <w:color w:val="000000"/>
                <w:highlight w:val="none"/>
                <w:vertAlign w:val="superscript"/>
              </w:rPr>
              <w:t>2</w:t>
            </w:r>
            <w:r>
              <w:rPr>
                <w:rFonts w:hint="eastAsia" w:cs="Times New Roman"/>
                <w:color w:val="000000"/>
                <w:highlight w:val="none"/>
              </w:rPr>
              <w:t>。</w:t>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hint="eastAsia" w:cs="Times New Roman"/>
                <w:color w:val="000000"/>
                <w:highlight w:val="none"/>
                <w:lang w:eastAsia="zh-CN"/>
              </w:rPr>
            </w:pPr>
            <w:r>
              <w:rPr>
                <w:rFonts w:hint="eastAsia" w:cs="Times New Roman"/>
                <w:color w:val="000000"/>
                <w:highlight w:val="none"/>
              </w:rPr>
              <w:t>然后按室外声源预测方法计算预测点处的A声级</w:t>
            </w:r>
            <w:r>
              <w:rPr>
                <w:rFonts w:hint="eastAsia" w:cs="Times New Roman"/>
                <w:color w:val="000000"/>
                <w:highlight w:val="none"/>
                <w:lang w:eastAsia="zh-CN"/>
              </w:rPr>
              <w:t>。</w:t>
            </w:r>
          </w:p>
          <w:p>
            <w:pPr>
              <w:pStyle w:val="57"/>
              <w:keepNext w:val="0"/>
              <w:keepLines w:val="0"/>
              <w:pageBreakBefore w:val="0"/>
              <w:kinsoku/>
              <w:wordWrap/>
              <w:overflowPunct/>
              <w:topLinePunct w:val="0"/>
              <w:autoSpaceDE/>
              <w:autoSpaceDN/>
              <w:bidi w:val="0"/>
              <w:adjustRightInd/>
              <w:snapToGrid/>
              <w:spacing w:line="480" w:lineRule="exact"/>
              <w:ind w:left="0" w:leftChars="0" w:firstLine="482" w:firstLineChars="200"/>
              <w:jc w:val="both"/>
              <w:textAlignment w:val="auto"/>
              <w:rPr>
                <w:rFonts w:hint="default" w:eastAsia="宋体" w:cs="Times New Roman"/>
                <w:b/>
                <w:bCs/>
                <w:color w:val="000000"/>
                <w:highlight w:val="none"/>
                <w:lang w:val="en-US" w:eastAsia="zh-CN"/>
              </w:rPr>
            </w:pPr>
            <w:r>
              <w:rPr>
                <w:rFonts w:hint="eastAsia" w:cs="Times New Roman"/>
                <w:b/>
                <w:bCs/>
                <w:color w:val="000000"/>
                <w:highlight w:val="none"/>
                <w:lang w:val="en-US" w:eastAsia="zh-CN"/>
              </w:rPr>
              <w:t>③噪声叠加计算</w:t>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cs="Times New Roman"/>
                <w:color w:val="000000"/>
                <w:highlight w:val="none"/>
              </w:rPr>
            </w:pPr>
            <w:r>
              <w:rPr>
                <w:rFonts w:hint="eastAsia" w:cs="Times New Roman"/>
                <w:color w:val="000000"/>
                <w:highlight w:val="none"/>
              </w:rPr>
              <w:t>设第i个室外声源在预测点产生的A声级为</w:t>
            </w:r>
            <w:r>
              <w:rPr>
                <w:rFonts w:hint="eastAsia" w:cs="Times New Roman"/>
                <w:color w:val="000000"/>
                <w:highlight w:val="none"/>
                <w:lang w:val="en-US" w:eastAsia="zh-CN"/>
              </w:rPr>
              <w:t>L</w:t>
            </w:r>
            <w:r>
              <w:rPr>
                <w:rFonts w:hint="eastAsia" w:cs="Times New Roman"/>
                <w:color w:val="000000"/>
                <w:highlight w:val="none"/>
                <w:vertAlign w:val="subscript"/>
              </w:rPr>
              <w:t>Ai</w:t>
            </w:r>
            <w:r>
              <w:rPr>
                <w:rFonts w:hint="eastAsia" w:cs="Times New Roman"/>
                <w:color w:val="000000"/>
                <w:highlight w:val="none"/>
              </w:rPr>
              <w:t>，在T时间内该声源工作时间为t</w:t>
            </w:r>
            <w:r>
              <w:rPr>
                <w:rFonts w:hint="eastAsia" w:cs="Times New Roman"/>
                <w:color w:val="000000"/>
                <w:highlight w:val="none"/>
                <w:vertAlign w:val="subscript"/>
              </w:rPr>
              <w:t>i</w:t>
            </w:r>
            <w:r>
              <w:rPr>
                <w:rFonts w:hint="eastAsia" w:cs="Times New Roman"/>
                <w:color w:val="000000"/>
                <w:highlight w:val="none"/>
              </w:rPr>
              <w:t>；第j个等效室外声源在预测点产生的A声级为L</w:t>
            </w:r>
            <w:r>
              <w:rPr>
                <w:rFonts w:hint="eastAsia" w:cs="Times New Roman"/>
                <w:color w:val="000000"/>
                <w:highlight w:val="none"/>
                <w:vertAlign w:val="subscript"/>
              </w:rPr>
              <w:t>Aj</w:t>
            </w:r>
            <w:r>
              <w:rPr>
                <w:rFonts w:hint="eastAsia" w:cs="Times New Roman"/>
                <w:color w:val="000000"/>
                <w:highlight w:val="none"/>
              </w:rPr>
              <w:t>，在T时间内该声源工作时间为t</w:t>
            </w:r>
            <w:r>
              <w:rPr>
                <w:rFonts w:hint="eastAsia" w:cs="Times New Roman"/>
                <w:color w:val="000000"/>
                <w:highlight w:val="none"/>
                <w:vertAlign w:val="subscript"/>
              </w:rPr>
              <w:t>j</w:t>
            </w:r>
            <w:r>
              <w:rPr>
                <w:rFonts w:hint="eastAsia" w:cs="Times New Roman"/>
                <w:color w:val="000000"/>
                <w:highlight w:val="none"/>
              </w:rPr>
              <w:t>，则拟建工程声源对预测点产生的贡献值</w:t>
            </w:r>
            <w:r>
              <w:rPr>
                <w:rFonts w:hint="eastAsia" w:cs="Times New Roman"/>
                <w:color w:val="000000"/>
                <w:highlight w:val="none"/>
                <w:lang w:eastAsia="zh-CN"/>
              </w:rPr>
              <w:t>(</w:t>
            </w:r>
            <w:r>
              <w:rPr>
                <w:rFonts w:hint="eastAsia" w:cs="Times New Roman"/>
                <w:color w:val="000000"/>
                <w:highlight w:val="none"/>
              </w:rPr>
              <w:t>Leqg</w:t>
            </w:r>
            <w:r>
              <w:rPr>
                <w:rFonts w:hint="eastAsia" w:cs="Times New Roman"/>
                <w:color w:val="000000"/>
                <w:highlight w:val="none"/>
                <w:lang w:eastAsia="zh-CN"/>
              </w:rPr>
              <w:t>)</w:t>
            </w:r>
            <w:r>
              <w:rPr>
                <w:rFonts w:hint="eastAsia" w:cs="Times New Roman"/>
                <w:color w:val="000000"/>
                <w:highlight w:val="none"/>
              </w:rPr>
              <w:t>为：</w:t>
            </w:r>
          </w:p>
          <w:p>
            <w:pPr>
              <w:pStyle w:val="57"/>
              <w:keepNext w:val="0"/>
              <w:keepLines w:val="0"/>
              <w:pageBreakBefore w:val="0"/>
              <w:kinsoku/>
              <w:wordWrap/>
              <w:overflowPunct/>
              <w:topLinePunct w:val="0"/>
              <w:autoSpaceDE/>
              <w:autoSpaceDN/>
              <w:bidi w:val="0"/>
              <w:adjustRightInd/>
              <w:snapToGrid/>
              <w:spacing w:line="240" w:lineRule="auto"/>
              <w:ind w:left="0" w:leftChars="0" w:firstLine="480" w:firstLineChars="200"/>
              <w:jc w:val="center"/>
              <w:textAlignment w:val="auto"/>
              <w:rPr>
                <w:rFonts w:cs="Times New Roman"/>
                <w:color w:val="000000"/>
                <w:highlight w:val="none"/>
              </w:rPr>
            </w:pPr>
            <w:r>
              <w:rPr>
                <w:color w:val="000000"/>
                <w:highlight w:val="none"/>
              </w:rPr>
              <w:drawing>
                <wp:inline distT="0" distB="0" distL="114300" distR="114300">
                  <wp:extent cx="2593975" cy="453390"/>
                  <wp:effectExtent l="0" t="0" r="15875" b="381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32"/>
                          <a:stretch>
                            <a:fillRect/>
                          </a:stretch>
                        </pic:blipFill>
                        <pic:spPr>
                          <a:xfrm>
                            <a:off x="0" y="0"/>
                            <a:ext cx="2593975" cy="453390"/>
                          </a:xfrm>
                          <a:prstGeom prst="rect">
                            <a:avLst/>
                          </a:prstGeom>
                          <a:noFill/>
                          <a:ln>
                            <a:noFill/>
                          </a:ln>
                        </pic:spPr>
                      </pic:pic>
                    </a:graphicData>
                  </a:graphic>
                </wp:inline>
              </w:drawing>
            </w:r>
          </w:p>
          <w:p>
            <w:pPr>
              <w:pStyle w:val="57"/>
              <w:keepNext w:val="0"/>
              <w:keepLines w:val="0"/>
              <w:pageBreakBefore w:val="0"/>
              <w:kinsoku/>
              <w:wordWrap/>
              <w:overflowPunct/>
              <w:topLinePunct w:val="0"/>
              <w:autoSpaceDE/>
              <w:autoSpaceDN/>
              <w:bidi w:val="0"/>
              <w:adjustRightInd/>
              <w:snapToGrid/>
              <w:spacing w:line="480" w:lineRule="exact"/>
              <w:ind w:left="0" w:leftChars="0" w:firstLine="480" w:firstLineChars="200"/>
              <w:jc w:val="both"/>
              <w:textAlignment w:val="auto"/>
              <w:rPr>
                <w:rFonts w:hint="eastAsia" w:cs="Times New Roman"/>
                <w:color w:val="000000"/>
                <w:highlight w:val="none"/>
              </w:rPr>
            </w:pPr>
            <w:r>
              <w:rPr>
                <w:rFonts w:hint="eastAsia" w:cs="Times New Roman"/>
                <w:color w:val="000000"/>
                <w:highlight w:val="none"/>
              </w:rPr>
              <w:t>式中</w:t>
            </w:r>
            <w:r>
              <w:rPr>
                <w:rFonts w:hint="eastAsia" w:cs="Times New Roman"/>
                <w:color w:val="000000"/>
                <w:highlight w:val="none"/>
                <w:lang w:eastAsia="zh-CN"/>
              </w:rPr>
              <w:t>，</w:t>
            </w:r>
            <w:r>
              <w:rPr>
                <w:rFonts w:hint="eastAsia" w:cs="Times New Roman"/>
                <w:color w:val="000000"/>
                <w:highlight w:val="none"/>
              </w:rPr>
              <w:t>Leqg——建设项目声源在预测点产生的噪声贡献值，dB；</w:t>
            </w:r>
          </w:p>
          <w:p>
            <w:pPr>
              <w:pStyle w:val="57"/>
              <w:keepNext w:val="0"/>
              <w:keepLines w:val="0"/>
              <w:pageBreakBefore w:val="0"/>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T——用于计算等效声级的时间，s；</w:t>
            </w:r>
          </w:p>
          <w:p>
            <w:pPr>
              <w:pStyle w:val="57"/>
              <w:keepNext w:val="0"/>
              <w:keepLines w:val="0"/>
              <w:pageBreakBefore w:val="0"/>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N——室外声源个数；</w:t>
            </w:r>
          </w:p>
          <w:p>
            <w:pPr>
              <w:pStyle w:val="57"/>
              <w:keepNext w:val="0"/>
              <w:keepLines w:val="0"/>
              <w:pageBreakBefore w:val="0"/>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lang w:val="en-US" w:eastAsia="zh-CN"/>
              </w:rPr>
              <w:t>t</w:t>
            </w:r>
            <w:r>
              <w:rPr>
                <w:rFonts w:hint="eastAsia" w:cs="Times New Roman"/>
                <w:color w:val="000000"/>
                <w:highlight w:val="none"/>
                <w:vertAlign w:val="subscript"/>
              </w:rPr>
              <w:t>i</w:t>
            </w:r>
            <w:r>
              <w:rPr>
                <w:rFonts w:hint="eastAsia" w:cs="Times New Roman"/>
                <w:color w:val="000000"/>
                <w:highlight w:val="none"/>
              </w:rPr>
              <w:t>——在T时间内i声源工作时间，s；</w:t>
            </w:r>
          </w:p>
          <w:p>
            <w:pPr>
              <w:pStyle w:val="57"/>
              <w:keepNext w:val="0"/>
              <w:keepLines w:val="0"/>
              <w:pageBreakBefore w:val="0"/>
              <w:kinsoku/>
              <w:wordWrap/>
              <w:overflowPunct/>
              <w:topLinePunct w:val="0"/>
              <w:autoSpaceDE/>
              <w:autoSpaceDN/>
              <w:bidi w:val="0"/>
              <w:adjustRightInd/>
              <w:snapToGrid/>
              <w:spacing w:line="480" w:lineRule="exact"/>
              <w:ind w:left="0" w:leftChars="0" w:firstLine="1200" w:firstLineChars="500"/>
              <w:jc w:val="both"/>
              <w:textAlignment w:val="auto"/>
              <w:rPr>
                <w:rFonts w:hint="eastAsia" w:cs="Times New Roman"/>
                <w:color w:val="000000"/>
                <w:highlight w:val="none"/>
              </w:rPr>
            </w:pPr>
            <w:r>
              <w:rPr>
                <w:rFonts w:hint="eastAsia" w:cs="Times New Roman"/>
                <w:color w:val="000000"/>
                <w:highlight w:val="none"/>
              </w:rPr>
              <w:t>M——等效室外声源个数；</w:t>
            </w:r>
          </w:p>
          <w:p>
            <w:pPr>
              <w:keepNext w:val="0"/>
              <w:keepLines w:val="0"/>
              <w:pageBreakBefore w:val="0"/>
              <w:kinsoku/>
              <w:wordWrap/>
              <w:overflowPunct/>
              <w:topLinePunct w:val="0"/>
              <w:autoSpaceDE/>
              <w:autoSpaceDN/>
              <w:bidi w:val="0"/>
              <w:adjustRightInd/>
              <w:snapToGrid/>
              <w:spacing w:line="480" w:lineRule="exact"/>
              <w:ind w:left="0" w:leftChars="0" w:firstLine="1200" w:firstLineChars="500"/>
              <w:textAlignment w:val="auto"/>
            </w:pPr>
            <w:r>
              <w:rPr>
                <w:rFonts w:hint="eastAsia" w:cs="Times New Roman"/>
                <w:color w:val="000000"/>
                <w:highlight w:val="none"/>
              </w:rPr>
              <w:t>t</w:t>
            </w:r>
            <w:r>
              <w:rPr>
                <w:rFonts w:hint="eastAsia" w:cs="Times New Roman"/>
                <w:color w:val="000000"/>
                <w:highlight w:val="none"/>
                <w:vertAlign w:val="subscript"/>
              </w:rPr>
              <w:t>j</w:t>
            </w:r>
            <w:r>
              <w:rPr>
                <w:rFonts w:hint="eastAsia" w:cs="Times New Roman"/>
                <w:color w:val="000000"/>
                <w:highlight w:val="none"/>
              </w:rPr>
              <w:t>——在T时间内j声源工作时间，s。</w:t>
            </w:r>
          </w:p>
          <w:p>
            <w:pPr>
              <w:keepNext w:val="0"/>
              <w:keepLines w:val="0"/>
              <w:pageBreakBefore w:val="0"/>
              <w:kinsoku/>
              <w:wordWrap/>
              <w:overflowPunct/>
              <w:topLinePunct w:val="0"/>
              <w:autoSpaceDE/>
              <w:autoSpaceDN/>
              <w:bidi w:val="0"/>
              <w:adjustRightInd/>
              <w:snapToGrid/>
              <w:spacing w:line="480" w:lineRule="exact"/>
              <w:textAlignment w:val="auto"/>
              <w:rPr>
                <w:rFonts w:hint="eastAsia"/>
                <w:b/>
                <w:bCs/>
                <w:lang w:val="en-US" w:eastAsia="zh-CN"/>
              </w:rPr>
            </w:pPr>
            <w:r>
              <w:rPr>
                <w:rFonts w:hint="eastAsia"/>
                <w:b/>
                <w:bCs/>
              </w:rPr>
              <w:fldChar w:fldCharType="begin"/>
            </w:r>
            <w:r>
              <w:rPr>
                <w:rFonts w:hint="eastAsia"/>
                <w:b/>
                <w:bCs/>
              </w:rPr>
              <w:instrText xml:space="preserve"> = 4 \* GB3 \* MERGEFORMAT </w:instrText>
            </w:r>
            <w:r>
              <w:rPr>
                <w:rFonts w:hint="eastAsia"/>
                <w:b/>
                <w:bCs/>
              </w:rPr>
              <w:fldChar w:fldCharType="separate"/>
            </w:r>
            <w:r>
              <w:rPr>
                <w:b/>
                <w:bCs/>
              </w:rPr>
              <w:t>④</w:t>
            </w:r>
            <w:r>
              <w:rPr>
                <w:rFonts w:hint="eastAsia"/>
                <w:b/>
                <w:bCs/>
              </w:rPr>
              <w:fldChar w:fldCharType="end"/>
            </w:r>
            <w:r>
              <w:rPr>
                <w:rFonts w:hint="eastAsia"/>
                <w:b/>
                <w:bCs/>
                <w:lang w:val="en-US" w:eastAsia="zh-CN"/>
              </w:rPr>
              <w:t>预测结果</w:t>
            </w:r>
          </w:p>
          <w:p>
            <w:pPr>
              <w:keepNext w:val="0"/>
              <w:keepLines w:val="0"/>
              <w:pageBreakBefore w:val="0"/>
              <w:kinsoku/>
              <w:wordWrap/>
              <w:overflowPunct/>
              <w:topLinePunct w:val="0"/>
              <w:autoSpaceDE/>
              <w:autoSpaceDN/>
              <w:bidi w:val="0"/>
              <w:adjustRightInd/>
              <w:snapToGrid/>
              <w:spacing w:line="480" w:lineRule="exact"/>
              <w:textAlignment w:val="auto"/>
              <w:rPr>
                <w:rFonts w:hint="eastAsia"/>
                <w:lang w:val="en-US" w:eastAsia="zh-CN"/>
              </w:rPr>
            </w:pPr>
            <w:r>
              <w:rPr>
                <w:rFonts w:hint="eastAsia"/>
                <w:lang w:val="en-US" w:eastAsia="zh-CN"/>
              </w:rPr>
              <w:t>利用上述预测模型，将参数带入公式计算，预测项目噪声源对各厂界的影响如下表4-4。由表可知，项目实施后，各厂界昼夜间噪声预测值均能满足《工业企业厂界环境噪声排放标准》(GB 12348-2008)中3类标准要求</w:t>
            </w:r>
          </w:p>
          <w:p>
            <w:pPr>
              <w:pStyle w:val="21"/>
              <w:bidi w:val="0"/>
              <w:rPr>
                <w:rFonts w:hint="default"/>
                <w:lang w:val="en-US" w:eastAsia="zh-CN"/>
              </w:rPr>
            </w:pPr>
            <w:r>
              <w:rPr>
                <w:rFonts w:hint="eastAsia"/>
                <w:lang w:val="en-US" w:eastAsia="zh-CN"/>
              </w:rPr>
              <w:t>表4-4  项目厂界噪声预测结果  单位：dB(A)</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914"/>
              <w:gridCol w:w="915"/>
              <w:gridCol w:w="915"/>
              <w:gridCol w:w="915"/>
              <w:gridCol w:w="915"/>
              <w:gridCol w:w="915"/>
              <w:gridCol w:w="1138"/>
              <w:gridCol w:w="686"/>
              <w:gridCol w:w="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restart"/>
                  <w:shd w:val="clear" w:color="auto" w:fill="auto"/>
                  <w:vAlign w:val="center"/>
                </w:tcPr>
                <w:p>
                  <w:pPr>
                    <w:pStyle w:val="19"/>
                    <w:bidi w:val="0"/>
                    <w:rPr>
                      <w:rFonts w:hint="default" w:eastAsia="宋体"/>
                      <w:b/>
                      <w:bCs/>
                      <w:vertAlign w:val="baseline"/>
                      <w:lang w:val="en-US" w:eastAsia="zh-CN"/>
                    </w:rPr>
                  </w:pPr>
                  <w:r>
                    <w:rPr>
                      <w:rFonts w:hint="eastAsia"/>
                      <w:b/>
                      <w:bCs/>
                      <w:vertAlign w:val="baseline"/>
                      <w:lang w:val="en-US" w:eastAsia="zh-CN"/>
                    </w:rPr>
                    <w:t>厂界</w:t>
                  </w:r>
                </w:p>
              </w:tc>
              <w:tc>
                <w:tcPr>
                  <w:tcW w:w="1539" w:type="pct"/>
                  <w:gridSpan w:val="3"/>
                  <w:shd w:val="clear" w:color="auto" w:fill="auto"/>
                  <w:vAlign w:val="center"/>
                </w:tcPr>
                <w:p>
                  <w:pPr>
                    <w:pStyle w:val="19"/>
                    <w:bidi w:val="0"/>
                    <w:rPr>
                      <w:rFonts w:hint="default" w:eastAsia="宋体"/>
                      <w:b/>
                      <w:bCs/>
                      <w:vertAlign w:val="baseline"/>
                      <w:lang w:val="en-US" w:eastAsia="zh-CN"/>
                    </w:rPr>
                  </w:pPr>
                  <w:r>
                    <w:rPr>
                      <w:rFonts w:hint="eastAsia"/>
                      <w:b/>
                      <w:bCs/>
                      <w:vertAlign w:val="baseline"/>
                      <w:lang w:val="en-US" w:eastAsia="zh-CN"/>
                    </w:rPr>
                    <w:t>昼间</w:t>
                  </w:r>
                </w:p>
              </w:tc>
              <w:tc>
                <w:tcPr>
                  <w:tcW w:w="1539" w:type="pct"/>
                  <w:gridSpan w:val="3"/>
                  <w:shd w:val="clear" w:color="auto" w:fill="auto"/>
                  <w:vAlign w:val="center"/>
                </w:tcPr>
                <w:p>
                  <w:pPr>
                    <w:pStyle w:val="19"/>
                    <w:bidi w:val="0"/>
                    <w:rPr>
                      <w:rFonts w:hint="default" w:eastAsia="宋体"/>
                      <w:b/>
                      <w:bCs/>
                      <w:vertAlign w:val="baseline"/>
                      <w:lang w:val="en-US" w:eastAsia="zh-CN"/>
                    </w:rPr>
                  </w:pPr>
                  <w:r>
                    <w:rPr>
                      <w:rFonts w:hint="eastAsia"/>
                      <w:b/>
                      <w:bCs/>
                      <w:vertAlign w:val="baseline"/>
                      <w:lang w:val="en-US" w:eastAsia="zh-CN"/>
                    </w:rPr>
                    <w:t>夜间</w:t>
                  </w:r>
                </w:p>
              </w:tc>
              <w:tc>
                <w:tcPr>
                  <w:tcW w:w="638" w:type="pct"/>
                  <w:vMerge w:val="restart"/>
                  <w:shd w:val="clear" w:color="auto" w:fill="auto"/>
                  <w:vAlign w:val="center"/>
                </w:tcPr>
                <w:p>
                  <w:pPr>
                    <w:pStyle w:val="19"/>
                    <w:bidi w:val="0"/>
                    <w:rPr>
                      <w:rFonts w:hint="eastAsia" w:eastAsia="宋体"/>
                      <w:b/>
                      <w:bCs/>
                      <w:vertAlign w:val="baseline"/>
                      <w:lang w:val="en-US" w:eastAsia="zh-CN"/>
                    </w:rPr>
                  </w:pPr>
                  <w:r>
                    <w:rPr>
                      <w:rFonts w:hint="eastAsia"/>
                      <w:b/>
                      <w:bCs/>
                      <w:vertAlign w:val="baseline"/>
                      <w:lang w:val="en-US" w:eastAsia="zh-CN"/>
                    </w:rPr>
                    <w:t>标准值</w:t>
                  </w:r>
                </w:p>
              </w:tc>
              <w:tc>
                <w:tcPr>
                  <w:tcW w:w="771" w:type="pct"/>
                  <w:gridSpan w:val="2"/>
                  <w:shd w:val="clear" w:color="auto" w:fill="auto"/>
                  <w:vAlign w:val="center"/>
                </w:tcPr>
                <w:p>
                  <w:pPr>
                    <w:pStyle w:val="19"/>
                    <w:bidi w:val="0"/>
                    <w:rPr>
                      <w:rFonts w:hint="default" w:eastAsia="宋体"/>
                      <w:b/>
                      <w:bCs/>
                      <w:vertAlign w:val="baseline"/>
                      <w:lang w:val="en-US" w:eastAsia="zh-CN"/>
                    </w:rPr>
                  </w:pPr>
                  <w:r>
                    <w:rPr>
                      <w:rFonts w:hint="eastAsia"/>
                      <w:b/>
                      <w:bCs/>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vMerge w:val="continue"/>
                  <w:shd w:val="clear" w:color="auto" w:fill="auto"/>
                  <w:vAlign w:val="center"/>
                </w:tcPr>
                <w:p>
                  <w:pPr>
                    <w:pStyle w:val="19"/>
                    <w:bidi w:val="0"/>
                    <w:rPr>
                      <w:b/>
                      <w:bCs/>
                      <w:vertAlign w:val="baseline"/>
                    </w:rPr>
                  </w:pPr>
                </w:p>
              </w:tc>
              <w:tc>
                <w:tcPr>
                  <w:tcW w:w="513" w:type="pct"/>
                  <w:shd w:val="clear" w:color="auto" w:fill="auto"/>
                  <w:vAlign w:val="center"/>
                </w:tcPr>
                <w:p>
                  <w:pPr>
                    <w:pStyle w:val="19"/>
                    <w:bidi w:val="0"/>
                    <w:rPr>
                      <w:rFonts w:hint="default" w:eastAsia="宋体"/>
                      <w:b/>
                      <w:bCs/>
                      <w:vertAlign w:val="baseline"/>
                      <w:lang w:val="en-US" w:eastAsia="zh-CN"/>
                    </w:rPr>
                  </w:pPr>
                  <w:r>
                    <w:rPr>
                      <w:rFonts w:hint="eastAsia"/>
                      <w:b/>
                      <w:bCs/>
                      <w:vertAlign w:val="baseline"/>
                      <w:lang w:val="en-US" w:eastAsia="zh-CN"/>
                    </w:rPr>
                    <w:t>贡献值</w:t>
                  </w:r>
                </w:p>
              </w:tc>
              <w:tc>
                <w:tcPr>
                  <w:tcW w:w="513" w:type="pct"/>
                  <w:shd w:val="clear" w:color="auto" w:fill="auto"/>
                  <w:vAlign w:val="center"/>
                </w:tcPr>
                <w:p>
                  <w:pPr>
                    <w:pStyle w:val="19"/>
                    <w:bidi w:val="0"/>
                    <w:rPr>
                      <w:rFonts w:hint="eastAsia" w:eastAsia="宋体"/>
                      <w:b/>
                      <w:bCs/>
                      <w:vertAlign w:val="baseline"/>
                      <w:lang w:val="en-US" w:eastAsia="zh-CN"/>
                    </w:rPr>
                  </w:pPr>
                  <w:r>
                    <w:rPr>
                      <w:rFonts w:hint="eastAsia"/>
                      <w:b/>
                      <w:bCs/>
                      <w:vertAlign w:val="baseline"/>
                      <w:lang w:val="en-US" w:eastAsia="zh-CN"/>
                    </w:rPr>
                    <w:t>背景值</w:t>
                  </w:r>
                </w:p>
              </w:tc>
              <w:tc>
                <w:tcPr>
                  <w:tcW w:w="513" w:type="pct"/>
                  <w:shd w:val="clear" w:color="auto" w:fill="auto"/>
                  <w:vAlign w:val="center"/>
                </w:tcPr>
                <w:p>
                  <w:pPr>
                    <w:pStyle w:val="19"/>
                    <w:bidi w:val="0"/>
                    <w:rPr>
                      <w:rFonts w:hint="eastAsia" w:eastAsia="宋体"/>
                      <w:b/>
                      <w:bCs/>
                      <w:vertAlign w:val="baseline"/>
                      <w:lang w:val="en-US" w:eastAsia="zh-CN"/>
                    </w:rPr>
                  </w:pPr>
                  <w:r>
                    <w:rPr>
                      <w:rFonts w:hint="eastAsia"/>
                      <w:b/>
                      <w:bCs/>
                      <w:vertAlign w:val="baseline"/>
                      <w:lang w:val="en-US" w:eastAsia="zh-CN"/>
                    </w:rPr>
                    <w:t>预测值</w:t>
                  </w:r>
                </w:p>
              </w:tc>
              <w:tc>
                <w:tcPr>
                  <w:tcW w:w="513" w:type="pct"/>
                  <w:shd w:val="clear" w:color="auto" w:fill="auto"/>
                  <w:vAlign w:val="top"/>
                </w:tcPr>
                <w:p>
                  <w:pPr>
                    <w:pStyle w:val="19"/>
                    <w:bidi w:val="0"/>
                    <w:ind w:firstLine="0" w:firstLineChars="0"/>
                    <w:rPr>
                      <w:b/>
                      <w:bCs/>
                      <w:vertAlign w:val="baseline"/>
                    </w:rPr>
                  </w:pPr>
                  <w:r>
                    <w:rPr>
                      <w:rFonts w:hint="eastAsia"/>
                      <w:b/>
                      <w:bCs/>
                      <w:vertAlign w:val="baseline"/>
                      <w:lang w:val="en-US" w:eastAsia="zh-CN"/>
                    </w:rPr>
                    <w:t>贡献值</w:t>
                  </w:r>
                </w:p>
              </w:tc>
              <w:tc>
                <w:tcPr>
                  <w:tcW w:w="513" w:type="pct"/>
                  <w:shd w:val="clear" w:color="auto" w:fill="auto"/>
                  <w:vAlign w:val="top"/>
                </w:tcPr>
                <w:p>
                  <w:pPr>
                    <w:pStyle w:val="19"/>
                    <w:bidi w:val="0"/>
                    <w:ind w:firstLine="0" w:firstLineChars="0"/>
                    <w:rPr>
                      <w:b/>
                      <w:bCs/>
                      <w:vertAlign w:val="baseline"/>
                    </w:rPr>
                  </w:pPr>
                  <w:r>
                    <w:rPr>
                      <w:rFonts w:hint="eastAsia"/>
                      <w:b/>
                      <w:bCs/>
                      <w:vertAlign w:val="baseline"/>
                      <w:lang w:val="en-US" w:eastAsia="zh-CN"/>
                    </w:rPr>
                    <w:t>背景值</w:t>
                  </w:r>
                </w:p>
              </w:tc>
              <w:tc>
                <w:tcPr>
                  <w:tcW w:w="513" w:type="pct"/>
                  <w:shd w:val="clear" w:color="auto" w:fill="auto"/>
                  <w:vAlign w:val="top"/>
                </w:tcPr>
                <w:p>
                  <w:pPr>
                    <w:pStyle w:val="19"/>
                    <w:bidi w:val="0"/>
                    <w:ind w:firstLine="0" w:firstLineChars="0"/>
                    <w:rPr>
                      <w:b/>
                      <w:bCs/>
                      <w:vertAlign w:val="baseline"/>
                    </w:rPr>
                  </w:pPr>
                  <w:r>
                    <w:rPr>
                      <w:rFonts w:hint="eastAsia"/>
                      <w:b/>
                      <w:bCs/>
                      <w:vertAlign w:val="baseline"/>
                      <w:lang w:val="en-US" w:eastAsia="zh-CN"/>
                    </w:rPr>
                    <w:t>预测值</w:t>
                  </w:r>
                </w:p>
              </w:tc>
              <w:tc>
                <w:tcPr>
                  <w:tcW w:w="638" w:type="pct"/>
                  <w:vMerge w:val="continue"/>
                  <w:shd w:val="clear" w:color="auto" w:fill="auto"/>
                  <w:vAlign w:val="center"/>
                </w:tcPr>
                <w:p>
                  <w:pPr>
                    <w:pStyle w:val="19"/>
                    <w:bidi w:val="0"/>
                    <w:rPr>
                      <w:b/>
                      <w:bCs/>
                      <w:vertAlign w:val="baseline"/>
                    </w:rPr>
                  </w:pPr>
                </w:p>
              </w:tc>
              <w:tc>
                <w:tcPr>
                  <w:tcW w:w="385" w:type="pct"/>
                  <w:shd w:val="clear" w:color="auto" w:fill="auto"/>
                  <w:vAlign w:val="center"/>
                </w:tcPr>
                <w:p>
                  <w:pPr>
                    <w:pStyle w:val="19"/>
                    <w:bidi w:val="0"/>
                    <w:rPr>
                      <w:rFonts w:hint="eastAsia" w:eastAsia="宋体"/>
                      <w:b/>
                      <w:bCs/>
                      <w:vertAlign w:val="baseline"/>
                      <w:lang w:val="en-US" w:eastAsia="zh-CN"/>
                    </w:rPr>
                  </w:pPr>
                  <w:r>
                    <w:rPr>
                      <w:rFonts w:hint="eastAsia"/>
                      <w:b/>
                      <w:bCs/>
                      <w:vertAlign w:val="baseline"/>
                      <w:lang w:val="en-US" w:eastAsia="zh-CN"/>
                    </w:rPr>
                    <w:t>昼间</w:t>
                  </w:r>
                </w:p>
              </w:tc>
              <w:tc>
                <w:tcPr>
                  <w:tcW w:w="386" w:type="pct"/>
                  <w:shd w:val="clear" w:color="auto" w:fill="auto"/>
                  <w:vAlign w:val="center"/>
                </w:tcPr>
                <w:p>
                  <w:pPr>
                    <w:pStyle w:val="19"/>
                    <w:bidi w:val="0"/>
                    <w:rPr>
                      <w:rFonts w:hint="eastAsia" w:eastAsia="宋体"/>
                      <w:b/>
                      <w:bCs/>
                      <w:vertAlign w:val="baseline"/>
                      <w:lang w:val="en-US" w:eastAsia="zh-CN"/>
                    </w:rPr>
                  </w:pPr>
                  <w:r>
                    <w:rPr>
                      <w:rFonts w:hint="eastAsia"/>
                      <w:b/>
                      <w:bCs/>
                      <w:vertAlign w:val="baseline"/>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10" w:type="pct"/>
                  <w:shd w:val="clear" w:color="auto" w:fill="auto"/>
                  <w:vAlign w:val="center"/>
                </w:tcPr>
                <w:p>
                  <w:pPr>
                    <w:pStyle w:val="19"/>
                    <w:bidi w:val="0"/>
                    <w:ind w:firstLine="0" w:firstLineChars="0"/>
                    <w:rPr>
                      <w:rFonts w:hint="default" w:eastAsia="宋体"/>
                      <w:vertAlign w:val="baseline"/>
                      <w:lang w:val="en-US" w:eastAsia="zh-CN"/>
                    </w:rPr>
                  </w:pPr>
                  <w:r>
                    <w:rPr>
                      <w:rFonts w:hint="eastAsia"/>
                      <w:lang w:val="en-US" w:eastAsia="zh-CN"/>
                    </w:rPr>
                    <w:t>东厂界</w:t>
                  </w:r>
                </w:p>
              </w:tc>
              <w:tc>
                <w:tcPr>
                  <w:tcW w:w="513" w:type="pct"/>
                  <w:shd w:val="clear" w:color="auto" w:fill="auto"/>
                  <w:vAlign w:val="center"/>
                </w:tcPr>
                <w:p>
                  <w:pPr>
                    <w:pStyle w:val="19"/>
                    <w:bidi w:val="0"/>
                    <w:rPr>
                      <w:rFonts w:hint="default" w:eastAsia="宋体"/>
                      <w:vertAlign w:val="baseline"/>
                      <w:lang w:val="en-US" w:eastAsia="zh-CN"/>
                    </w:rPr>
                  </w:pPr>
                  <w:r>
                    <w:rPr>
                      <w:rFonts w:hint="eastAsia"/>
                      <w:vertAlign w:val="baseline"/>
                      <w:lang w:val="en-US" w:eastAsia="zh-CN"/>
                    </w:rPr>
                    <w:t>48</w:t>
                  </w:r>
                </w:p>
              </w:tc>
              <w:tc>
                <w:tcPr>
                  <w:tcW w:w="513" w:type="pct"/>
                  <w:shd w:val="clear" w:color="auto" w:fill="auto"/>
                  <w:vAlign w:val="center"/>
                </w:tcPr>
                <w:p>
                  <w:pPr>
                    <w:pStyle w:val="19"/>
                    <w:bidi w:val="0"/>
                  </w:pPr>
                  <w:r>
                    <w:rPr>
                      <w:rFonts w:hint="eastAsia"/>
                      <w:lang w:val="en-US" w:eastAsia="zh-CN"/>
                    </w:rPr>
                    <w:t xml:space="preserve">55 </w:t>
                  </w:r>
                </w:p>
              </w:tc>
              <w:tc>
                <w:tcPr>
                  <w:tcW w:w="513" w:type="pct"/>
                  <w:shd w:val="clear" w:color="auto" w:fill="auto"/>
                  <w:vAlign w:val="center"/>
                </w:tcPr>
                <w:p>
                  <w:pPr>
                    <w:pStyle w:val="19"/>
                    <w:bidi w:val="0"/>
                  </w:pPr>
                  <w:r>
                    <w:rPr>
                      <w:rFonts w:hint="default"/>
                      <w:lang w:val="en-US" w:eastAsia="zh-CN"/>
                    </w:rPr>
                    <w:t xml:space="preserve">56 </w:t>
                  </w:r>
                </w:p>
              </w:tc>
              <w:tc>
                <w:tcPr>
                  <w:tcW w:w="513" w:type="pct"/>
                  <w:shd w:val="clear" w:color="auto" w:fill="auto"/>
                  <w:vAlign w:val="center"/>
                </w:tcPr>
                <w:p>
                  <w:pPr>
                    <w:pStyle w:val="19"/>
                    <w:bidi w:val="0"/>
                    <w:rPr>
                      <w:rFonts w:hint="default"/>
                      <w:lang w:val="en-US" w:eastAsia="zh-CN"/>
                    </w:rPr>
                  </w:pPr>
                  <w:r>
                    <w:rPr>
                      <w:rFonts w:hint="default"/>
                      <w:lang w:val="en-US" w:eastAsia="zh-CN"/>
                    </w:rPr>
                    <w:t>48</w:t>
                  </w:r>
                </w:p>
              </w:tc>
              <w:tc>
                <w:tcPr>
                  <w:tcW w:w="513" w:type="pct"/>
                  <w:shd w:val="clear" w:color="auto" w:fill="auto"/>
                  <w:vAlign w:val="center"/>
                </w:tcPr>
                <w:p>
                  <w:pPr>
                    <w:pStyle w:val="19"/>
                    <w:bidi w:val="0"/>
                  </w:pPr>
                  <w:r>
                    <w:rPr>
                      <w:rFonts w:hint="default"/>
                      <w:lang w:val="en-US" w:eastAsia="zh-CN"/>
                    </w:rPr>
                    <w:t>46</w:t>
                  </w:r>
                </w:p>
              </w:tc>
              <w:tc>
                <w:tcPr>
                  <w:tcW w:w="513" w:type="pct"/>
                  <w:shd w:val="clear" w:color="auto" w:fill="auto"/>
                  <w:vAlign w:val="center"/>
                </w:tcPr>
                <w:p>
                  <w:pPr>
                    <w:pStyle w:val="19"/>
                    <w:bidi w:val="0"/>
                  </w:pPr>
                  <w:r>
                    <w:rPr>
                      <w:rFonts w:hint="default"/>
                      <w:lang w:val="en-US" w:eastAsia="zh-CN"/>
                    </w:rPr>
                    <w:t xml:space="preserve">50 </w:t>
                  </w:r>
                </w:p>
              </w:tc>
              <w:tc>
                <w:tcPr>
                  <w:tcW w:w="638" w:type="pct"/>
                  <w:vMerge w:val="restart"/>
                  <w:shd w:val="clear" w:color="auto" w:fill="auto"/>
                  <w:vAlign w:val="center"/>
                </w:tcPr>
                <w:p>
                  <w:pPr>
                    <w:pStyle w:val="19"/>
                    <w:bidi w:val="0"/>
                    <w:rPr>
                      <w:rFonts w:hint="eastAsia"/>
                      <w:vertAlign w:val="baseline"/>
                      <w:lang w:val="en-US" w:eastAsia="zh-CN"/>
                    </w:rPr>
                  </w:pPr>
                  <w:r>
                    <w:rPr>
                      <w:rFonts w:hint="eastAsia"/>
                      <w:vertAlign w:val="baseline"/>
                      <w:lang w:val="en-US" w:eastAsia="zh-CN"/>
                    </w:rPr>
                    <w:t>昼间：65</w:t>
                  </w:r>
                </w:p>
                <w:p>
                  <w:pPr>
                    <w:pStyle w:val="19"/>
                    <w:bidi w:val="0"/>
                    <w:rPr>
                      <w:rFonts w:hint="default"/>
                      <w:lang w:val="en-US" w:eastAsia="zh-CN"/>
                    </w:rPr>
                  </w:pPr>
                  <w:r>
                    <w:rPr>
                      <w:rFonts w:hint="eastAsia"/>
                      <w:lang w:val="en-US" w:eastAsia="zh-CN"/>
                    </w:rPr>
                    <w:t>夜间：55</w:t>
                  </w:r>
                </w:p>
              </w:tc>
              <w:tc>
                <w:tcPr>
                  <w:tcW w:w="385" w:type="pct"/>
                  <w:shd w:val="clear" w:color="auto" w:fill="auto"/>
                  <w:vAlign w:val="center"/>
                </w:tcPr>
                <w:p>
                  <w:pPr>
                    <w:pStyle w:val="19"/>
                    <w:bidi w:val="0"/>
                    <w:rPr>
                      <w:rFonts w:hint="eastAsia" w:eastAsia="宋体"/>
                      <w:vertAlign w:val="baseline"/>
                      <w:lang w:val="en-US" w:eastAsia="zh-CN"/>
                    </w:rPr>
                  </w:pPr>
                  <w:r>
                    <w:rPr>
                      <w:rFonts w:hint="eastAsia"/>
                      <w:vertAlign w:val="baseline"/>
                      <w:lang w:val="en-US" w:eastAsia="zh-CN"/>
                    </w:rPr>
                    <w:t>达标</w:t>
                  </w:r>
                </w:p>
              </w:tc>
              <w:tc>
                <w:tcPr>
                  <w:tcW w:w="386" w:type="pct"/>
                  <w:shd w:val="clear" w:color="auto" w:fill="auto"/>
                  <w:vAlign w:val="center"/>
                </w:tcPr>
                <w:p>
                  <w:pPr>
                    <w:pStyle w:val="19"/>
                    <w:bidi w:val="0"/>
                    <w:rPr>
                      <w:vertAlign w:val="baseline"/>
                    </w:rPr>
                  </w:pPr>
                  <w:r>
                    <w:rPr>
                      <w:rFonts w:hint="eastAsia"/>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shd w:val="clear" w:color="auto" w:fill="auto"/>
                  <w:vAlign w:val="center"/>
                </w:tcPr>
                <w:p>
                  <w:pPr>
                    <w:pStyle w:val="19"/>
                    <w:bidi w:val="0"/>
                    <w:ind w:firstLine="0" w:firstLineChars="0"/>
                    <w:rPr>
                      <w:rFonts w:hint="eastAsia" w:eastAsia="宋体"/>
                      <w:vertAlign w:val="baseline"/>
                      <w:lang w:val="en-US" w:eastAsia="zh-CN"/>
                    </w:rPr>
                  </w:pPr>
                  <w:r>
                    <w:rPr>
                      <w:rFonts w:hint="eastAsia"/>
                      <w:lang w:val="en-US" w:eastAsia="zh-CN"/>
                    </w:rPr>
                    <w:t>南厂界</w:t>
                  </w:r>
                </w:p>
              </w:tc>
              <w:tc>
                <w:tcPr>
                  <w:tcW w:w="513" w:type="pct"/>
                  <w:shd w:val="clear" w:color="auto" w:fill="auto"/>
                  <w:vAlign w:val="center"/>
                </w:tcPr>
                <w:p>
                  <w:pPr>
                    <w:pStyle w:val="19"/>
                    <w:bidi w:val="0"/>
                    <w:rPr>
                      <w:rFonts w:hint="default" w:eastAsia="宋体"/>
                      <w:vertAlign w:val="baseline"/>
                      <w:lang w:val="en-US" w:eastAsia="zh-CN"/>
                    </w:rPr>
                  </w:pPr>
                  <w:r>
                    <w:rPr>
                      <w:rFonts w:hint="eastAsia"/>
                      <w:vertAlign w:val="baseline"/>
                      <w:lang w:val="en-US" w:eastAsia="zh-CN"/>
                    </w:rPr>
                    <w:t>52</w:t>
                  </w:r>
                </w:p>
              </w:tc>
              <w:tc>
                <w:tcPr>
                  <w:tcW w:w="513" w:type="pct"/>
                  <w:shd w:val="clear" w:color="auto" w:fill="auto"/>
                  <w:vAlign w:val="center"/>
                </w:tcPr>
                <w:p>
                  <w:pPr>
                    <w:pStyle w:val="19"/>
                    <w:bidi w:val="0"/>
                  </w:pPr>
                  <w:r>
                    <w:rPr>
                      <w:rFonts w:hint="eastAsia"/>
                      <w:lang w:val="en-US" w:eastAsia="zh-CN"/>
                    </w:rPr>
                    <w:t xml:space="preserve">50 </w:t>
                  </w:r>
                </w:p>
              </w:tc>
              <w:tc>
                <w:tcPr>
                  <w:tcW w:w="513" w:type="pct"/>
                  <w:shd w:val="clear" w:color="auto" w:fill="auto"/>
                  <w:vAlign w:val="center"/>
                </w:tcPr>
                <w:p>
                  <w:pPr>
                    <w:pStyle w:val="19"/>
                    <w:bidi w:val="0"/>
                  </w:pPr>
                  <w:r>
                    <w:rPr>
                      <w:rFonts w:hint="default"/>
                      <w:lang w:val="en-US" w:eastAsia="zh-CN"/>
                    </w:rPr>
                    <w:t xml:space="preserve">54 </w:t>
                  </w:r>
                </w:p>
              </w:tc>
              <w:tc>
                <w:tcPr>
                  <w:tcW w:w="513" w:type="pct"/>
                  <w:shd w:val="clear" w:color="auto" w:fill="auto"/>
                  <w:vAlign w:val="center"/>
                </w:tcPr>
                <w:p>
                  <w:pPr>
                    <w:pStyle w:val="19"/>
                    <w:bidi w:val="0"/>
                    <w:rPr>
                      <w:rFonts w:hint="default"/>
                      <w:lang w:val="en-US" w:eastAsia="zh-CN"/>
                    </w:rPr>
                  </w:pPr>
                  <w:r>
                    <w:rPr>
                      <w:rFonts w:hint="default"/>
                      <w:lang w:val="en-US" w:eastAsia="zh-CN"/>
                    </w:rPr>
                    <w:t>52</w:t>
                  </w:r>
                </w:p>
              </w:tc>
              <w:tc>
                <w:tcPr>
                  <w:tcW w:w="513" w:type="pct"/>
                  <w:shd w:val="clear" w:color="auto" w:fill="auto"/>
                  <w:vAlign w:val="center"/>
                </w:tcPr>
                <w:p>
                  <w:pPr>
                    <w:pStyle w:val="19"/>
                    <w:bidi w:val="0"/>
                  </w:pPr>
                  <w:r>
                    <w:rPr>
                      <w:rFonts w:hint="default"/>
                      <w:lang w:val="en-US" w:eastAsia="zh-CN"/>
                    </w:rPr>
                    <w:t>45</w:t>
                  </w:r>
                </w:p>
              </w:tc>
              <w:tc>
                <w:tcPr>
                  <w:tcW w:w="513" w:type="pct"/>
                  <w:shd w:val="clear" w:color="auto" w:fill="auto"/>
                  <w:vAlign w:val="center"/>
                </w:tcPr>
                <w:p>
                  <w:pPr>
                    <w:pStyle w:val="19"/>
                    <w:bidi w:val="0"/>
                  </w:pPr>
                  <w:r>
                    <w:rPr>
                      <w:rFonts w:hint="default"/>
                      <w:lang w:val="en-US" w:eastAsia="zh-CN"/>
                    </w:rPr>
                    <w:t xml:space="preserve">53 </w:t>
                  </w:r>
                </w:p>
              </w:tc>
              <w:tc>
                <w:tcPr>
                  <w:tcW w:w="638" w:type="pct"/>
                  <w:vMerge w:val="continue"/>
                  <w:shd w:val="clear" w:color="auto" w:fill="auto"/>
                  <w:vAlign w:val="center"/>
                </w:tcPr>
                <w:p>
                  <w:pPr>
                    <w:pStyle w:val="19"/>
                    <w:bidi w:val="0"/>
                    <w:rPr>
                      <w:vertAlign w:val="baseline"/>
                    </w:rPr>
                  </w:pPr>
                </w:p>
              </w:tc>
              <w:tc>
                <w:tcPr>
                  <w:tcW w:w="385" w:type="pct"/>
                  <w:shd w:val="clear" w:color="auto" w:fill="auto"/>
                  <w:vAlign w:val="center"/>
                </w:tcPr>
                <w:p>
                  <w:pPr>
                    <w:pStyle w:val="19"/>
                    <w:bidi w:val="0"/>
                    <w:rPr>
                      <w:vertAlign w:val="baseline"/>
                    </w:rPr>
                  </w:pPr>
                  <w:r>
                    <w:rPr>
                      <w:rFonts w:hint="eastAsia"/>
                      <w:vertAlign w:val="baseline"/>
                      <w:lang w:val="en-US" w:eastAsia="zh-CN"/>
                    </w:rPr>
                    <w:t>达标</w:t>
                  </w:r>
                </w:p>
              </w:tc>
              <w:tc>
                <w:tcPr>
                  <w:tcW w:w="386" w:type="pct"/>
                  <w:shd w:val="clear" w:color="auto" w:fill="auto"/>
                  <w:vAlign w:val="center"/>
                </w:tcPr>
                <w:p>
                  <w:pPr>
                    <w:pStyle w:val="19"/>
                    <w:bidi w:val="0"/>
                    <w:rPr>
                      <w:vertAlign w:val="baseline"/>
                    </w:rPr>
                  </w:pPr>
                  <w:r>
                    <w:rPr>
                      <w:rFonts w:hint="eastAsia"/>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shd w:val="clear" w:color="auto" w:fill="auto"/>
                  <w:vAlign w:val="center"/>
                </w:tcPr>
                <w:p>
                  <w:pPr>
                    <w:pStyle w:val="19"/>
                    <w:bidi w:val="0"/>
                    <w:ind w:firstLine="0" w:firstLineChars="0"/>
                    <w:rPr>
                      <w:rFonts w:hint="eastAsia" w:eastAsia="宋体"/>
                      <w:vertAlign w:val="baseline"/>
                      <w:lang w:val="en-US" w:eastAsia="zh-CN"/>
                    </w:rPr>
                  </w:pPr>
                  <w:r>
                    <w:rPr>
                      <w:rFonts w:hint="eastAsia"/>
                      <w:lang w:val="en-US" w:eastAsia="zh-CN"/>
                    </w:rPr>
                    <w:t>西厂界</w:t>
                  </w:r>
                </w:p>
              </w:tc>
              <w:tc>
                <w:tcPr>
                  <w:tcW w:w="513" w:type="pct"/>
                  <w:shd w:val="clear" w:color="auto" w:fill="auto"/>
                  <w:vAlign w:val="center"/>
                </w:tcPr>
                <w:p>
                  <w:pPr>
                    <w:pStyle w:val="19"/>
                    <w:bidi w:val="0"/>
                    <w:rPr>
                      <w:rFonts w:hint="default" w:eastAsia="宋体"/>
                      <w:vertAlign w:val="baseline"/>
                      <w:lang w:val="en-US" w:eastAsia="zh-CN"/>
                    </w:rPr>
                  </w:pPr>
                  <w:r>
                    <w:rPr>
                      <w:rFonts w:hint="eastAsia"/>
                      <w:vertAlign w:val="baseline"/>
                      <w:lang w:val="en-US" w:eastAsia="zh-CN"/>
                    </w:rPr>
                    <w:t>38</w:t>
                  </w:r>
                </w:p>
              </w:tc>
              <w:tc>
                <w:tcPr>
                  <w:tcW w:w="513" w:type="pct"/>
                  <w:shd w:val="clear" w:color="auto" w:fill="auto"/>
                  <w:vAlign w:val="center"/>
                </w:tcPr>
                <w:p>
                  <w:pPr>
                    <w:pStyle w:val="19"/>
                    <w:bidi w:val="0"/>
                  </w:pPr>
                  <w:r>
                    <w:rPr>
                      <w:rFonts w:hint="eastAsia"/>
                      <w:lang w:val="en-US" w:eastAsia="zh-CN"/>
                    </w:rPr>
                    <w:t xml:space="preserve">51 </w:t>
                  </w:r>
                </w:p>
              </w:tc>
              <w:tc>
                <w:tcPr>
                  <w:tcW w:w="513" w:type="pct"/>
                  <w:shd w:val="clear" w:color="auto" w:fill="auto"/>
                  <w:vAlign w:val="center"/>
                </w:tcPr>
                <w:p>
                  <w:pPr>
                    <w:pStyle w:val="19"/>
                    <w:bidi w:val="0"/>
                  </w:pPr>
                  <w:r>
                    <w:rPr>
                      <w:rFonts w:hint="default"/>
                      <w:lang w:val="en-US" w:eastAsia="zh-CN"/>
                    </w:rPr>
                    <w:t xml:space="preserve">51 </w:t>
                  </w:r>
                </w:p>
              </w:tc>
              <w:tc>
                <w:tcPr>
                  <w:tcW w:w="513" w:type="pct"/>
                  <w:shd w:val="clear" w:color="auto" w:fill="auto"/>
                  <w:vAlign w:val="center"/>
                </w:tcPr>
                <w:p>
                  <w:pPr>
                    <w:pStyle w:val="19"/>
                    <w:bidi w:val="0"/>
                    <w:rPr>
                      <w:rFonts w:hint="default"/>
                      <w:lang w:val="en-US" w:eastAsia="zh-CN"/>
                    </w:rPr>
                  </w:pPr>
                  <w:r>
                    <w:rPr>
                      <w:rFonts w:hint="default"/>
                      <w:lang w:val="en-US" w:eastAsia="zh-CN"/>
                    </w:rPr>
                    <w:t>38</w:t>
                  </w:r>
                </w:p>
              </w:tc>
              <w:tc>
                <w:tcPr>
                  <w:tcW w:w="513" w:type="pct"/>
                  <w:shd w:val="clear" w:color="auto" w:fill="auto"/>
                  <w:vAlign w:val="center"/>
                </w:tcPr>
                <w:p>
                  <w:pPr>
                    <w:pStyle w:val="19"/>
                    <w:bidi w:val="0"/>
                  </w:pPr>
                  <w:r>
                    <w:rPr>
                      <w:rFonts w:hint="default"/>
                      <w:lang w:val="en-US" w:eastAsia="zh-CN"/>
                    </w:rPr>
                    <w:t>41</w:t>
                  </w:r>
                </w:p>
              </w:tc>
              <w:tc>
                <w:tcPr>
                  <w:tcW w:w="513" w:type="pct"/>
                  <w:shd w:val="clear" w:color="auto" w:fill="auto"/>
                  <w:vAlign w:val="center"/>
                </w:tcPr>
                <w:p>
                  <w:pPr>
                    <w:pStyle w:val="19"/>
                    <w:bidi w:val="0"/>
                  </w:pPr>
                  <w:r>
                    <w:rPr>
                      <w:rFonts w:hint="default"/>
                      <w:lang w:val="en-US" w:eastAsia="zh-CN"/>
                    </w:rPr>
                    <w:t xml:space="preserve">43 </w:t>
                  </w:r>
                </w:p>
              </w:tc>
              <w:tc>
                <w:tcPr>
                  <w:tcW w:w="638" w:type="pct"/>
                  <w:vMerge w:val="continue"/>
                  <w:shd w:val="clear" w:color="auto" w:fill="auto"/>
                  <w:vAlign w:val="center"/>
                </w:tcPr>
                <w:p>
                  <w:pPr>
                    <w:pStyle w:val="19"/>
                    <w:bidi w:val="0"/>
                    <w:rPr>
                      <w:vertAlign w:val="baseline"/>
                    </w:rPr>
                  </w:pPr>
                </w:p>
              </w:tc>
              <w:tc>
                <w:tcPr>
                  <w:tcW w:w="385" w:type="pct"/>
                  <w:shd w:val="clear" w:color="auto" w:fill="auto"/>
                  <w:vAlign w:val="center"/>
                </w:tcPr>
                <w:p>
                  <w:pPr>
                    <w:pStyle w:val="19"/>
                    <w:bidi w:val="0"/>
                    <w:rPr>
                      <w:vertAlign w:val="baseline"/>
                    </w:rPr>
                  </w:pPr>
                  <w:r>
                    <w:rPr>
                      <w:rFonts w:hint="eastAsia"/>
                      <w:vertAlign w:val="baseline"/>
                      <w:lang w:val="en-US" w:eastAsia="zh-CN"/>
                    </w:rPr>
                    <w:t>达标</w:t>
                  </w:r>
                </w:p>
              </w:tc>
              <w:tc>
                <w:tcPr>
                  <w:tcW w:w="386" w:type="pct"/>
                  <w:shd w:val="clear" w:color="auto" w:fill="auto"/>
                  <w:vAlign w:val="center"/>
                </w:tcPr>
                <w:p>
                  <w:pPr>
                    <w:pStyle w:val="19"/>
                    <w:bidi w:val="0"/>
                    <w:rPr>
                      <w:vertAlign w:val="baseline"/>
                    </w:rPr>
                  </w:pPr>
                  <w:r>
                    <w:rPr>
                      <w:rFonts w:hint="eastAsia"/>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shd w:val="clear" w:color="auto" w:fill="auto"/>
                  <w:vAlign w:val="center"/>
                </w:tcPr>
                <w:p>
                  <w:pPr>
                    <w:pStyle w:val="19"/>
                    <w:bidi w:val="0"/>
                    <w:ind w:firstLine="0" w:firstLineChars="0"/>
                    <w:rPr>
                      <w:rFonts w:hint="eastAsia"/>
                      <w:vertAlign w:val="baseline"/>
                      <w:lang w:val="en-US" w:eastAsia="zh-CN"/>
                    </w:rPr>
                  </w:pPr>
                  <w:r>
                    <w:rPr>
                      <w:rFonts w:hint="eastAsia"/>
                      <w:lang w:val="en-US" w:eastAsia="zh-CN"/>
                    </w:rPr>
                    <w:t>北厂界</w:t>
                  </w:r>
                </w:p>
              </w:tc>
              <w:tc>
                <w:tcPr>
                  <w:tcW w:w="513" w:type="pct"/>
                  <w:shd w:val="clear" w:color="auto" w:fill="auto"/>
                  <w:vAlign w:val="center"/>
                </w:tcPr>
                <w:p>
                  <w:pPr>
                    <w:pStyle w:val="19"/>
                    <w:bidi w:val="0"/>
                    <w:rPr>
                      <w:rFonts w:hint="default" w:eastAsia="宋体"/>
                      <w:vertAlign w:val="baseline"/>
                      <w:lang w:val="en-US" w:eastAsia="zh-CN"/>
                    </w:rPr>
                  </w:pPr>
                  <w:r>
                    <w:rPr>
                      <w:rFonts w:hint="eastAsia"/>
                      <w:vertAlign w:val="baseline"/>
                      <w:lang w:val="en-US" w:eastAsia="zh-CN"/>
                    </w:rPr>
                    <w:t>38</w:t>
                  </w:r>
                </w:p>
              </w:tc>
              <w:tc>
                <w:tcPr>
                  <w:tcW w:w="513" w:type="pct"/>
                  <w:shd w:val="clear" w:color="auto" w:fill="auto"/>
                  <w:vAlign w:val="center"/>
                </w:tcPr>
                <w:p>
                  <w:pPr>
                    <w:pStyle w:val="19"/>
                    <w:bidi w:val="0"/>
                  </w:pPr>
                  <w:r>
                    <w:rPr>
                      <w:rFonts w:hint="eastAsia"/>
                      <w:lang w:val="en-US" w:eastAsia="zh-CN"/>
                    </w:rPr>
                    <w:t xml:space="preserve">54 </w:t>
                  </w:r>
                </w:p>
              </w:tc>
              <w:tc>
                <w:tcPr>
                  <w:tcW w:w="513" w:type="pct"/>
                  <w:shd w:val="clear" w:color="auto" w:fill="auto"/>
                  <w:vAlign w:val="center"/>
                </w:tcPr>
                <w:p>
                  <w:pPr>
                    <w:pStyle w:val="19"/>
                    <w:bidi w:val="0"/>
                  </w:pPr>
                  <w:r>
                    <w:rPr>
                      <w:rFonts w:hint="default"/>
                      <w:lang w:val="en-US" w:eastAsia="zh-CN"/>
                    </w:rPr>
                    <w:t xml:space="preserve">54 </w:t>
                  </w:r>
                </w:p>
              </w:tc>
              <w:tc>
                <w:tcPr>
                  <w:tcW w:w="513" w:type="pct"/>
                  <w:shd w:val="clear" w:color="auto" w:fill="auto"/>
                  <w:vAlign w:val="center"/>
                </w:tcPr>
                <w:p>
                  <w:pPr>
                    <w:pStyle w:val="19"/>
                    <w:bidi w:val="0"/>
                    <w:rPr>
                      <w:rFonts w:hint="default"/>
                      <w:lang w:val="en-US" w:eastAsia="zh-CN"/>
                    </w:rPr>
                  </w:pPr>
                  <w:r>
                    <w:rPr>
                      <w:rFonts w:hint="default"/>
                      <w:lang w:val="en-US" w:eastAsia="zh-CN"/>
                    </w:rPr>
                    <w:t>38</w:t>
                  </w:r>
                </w:p>
              </w:tc>
              <w:tc>
                <w:tcPr>
                  <w:tcW w:w="513" w:type="pct"/>
                  <w:shd w:val="clear" w:color="auto" w:fill="auto"/>
                  <w:vAlign w:val="center"/>
                </w:tcPr>
                <w:p>
                  <w:pPr>
                    <w:pStyle w:val="19"/>
                    <w:bidi w:val="0"/>
                  </w:pPr>
                  <w:r>
                    <w:rPr>
                      <w:rFonts w:hint="default"/>
                      <w:lang w:val="en-US" w:eastAsia="zh-CN"/>
                    </w:rPr>
                    <w:t>46</w:t>
                  </w:r>
                </w:p>
              </w:tc>
              <w:tc>
                <w:tcPr>
                  <w:tcW w:w="513" w:type="pct"/>
                  <w:shd w:val="clear" w:color="auto" w:fill="auto"/>
                  <w:vAlign w:val="center"/>
                </w:tcPr>
                <w:p>
                  <w:pPr>
                    <w:pStyle w:val="19"/>
                    <w:bidi w:val="0"/>
                  </w:pPr>
                  <w:r>
                    <w:rPr>
                      <w:rFonts w:hint="default"/>
                      <w:lang w:val="en-US" w:eastAsia="zh-CN"/>
                    </w:rPr>
                    <w:t xml:space="preserve">47 </w:t>
                  </w:r>
                </w:p>
              </w:tc>
              <w:tc>
                <w:tcPr>
                  <w:tcW w:w="638" w:type="pct"/>
                  <w:vMerge w:val="continue"/>
                  <w:shd w:val="clear" w:color="auto" w:fill="auto"/>
                  <w:vAlign w:val="center"/>
                </w:tcPr>
                <w:p>
                  <w:pPr>
                    <w:pStyle w:val="19"/>
                    <w:bidi w:val="0"/>
                    <w:rPr>
                      <w:vertAlign w:val="baseline"/>
                    </w:rPr>
                  </w:pPr>
                </w:p>
              </w:tc>
              <w:tc>
                <w:tcPr>
                  <w:tcW w:w="385" w:type="pct"/>
                  <w:shd w:val="clear" w:color="auto" w:fill="auto"/>
                  <w:vAlign w:val="center"/>
                </w:tcPr>
                <w:p>
                  <w:pPr>
                    <w:pStyle w:val="19"/>
                    <w:bidi w:val="0"/>
                    <w:ind w:firstLine="0" w:firstLineChars="0"/>
                    <w:rPr>
                      <w:rFonts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达标</w:t>
                  </w:r>
                </w:p>
              </w:tc>
              <w:tc>
                <w:tcPr>
                  <w:tcW w:w="386" w:type="pct"/>
                  <w:shd w:val="clear" w:color="auto" w:fill="auto"/>
                  <w:vAlign w:val="center"/>
                </w:tcPr>
                <w:p>
                  <w:pPr>
                    <w:pStyle w:val="19"/>
                    <w:bidi w:val="0"/>
                    <w:ind w:firstLine="0" w:firstLineChars="0"/>
                    <w:rPr>
                      <w:rFonts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0"/>
                  <w:shd w:val="clear" w:color="auto" w:fill="auto"/>
                  <w:vAlign w:val="center"/>
                </w:tcPr>
                <w:p>
                  <w:pPr>
                    <w:pStyle w:val="19"/>
                    <w:bidi w:val="0"/>
                    <w:ind w:firstLine="0" w:firstLineChars="0"/>
                    <w:rPr>
                      <w:rFonts w:hint="eastAsia"/>
                      <w:vertAlign w:val="baseline"/>
                      <w:lang w:val="en-US" w:eastAsia="zh-CN"/>
                    </w:rPr>
                  </w:pPr>
                  <w:r>
                    <w:rPr>
                      <w:rFonts w:hint="eastAsia"/>
                      <w:color w:val="auto"/>
                      <w:sz w:val="21"/>
                      <w:szCs w:val="21"/>
                      <w:highlight w:val="none"/>
                      <w:lang w:val="en-US" w:eastAsia="zh-CN"/>
                    </w:rPr>
                    <w:t>注：预测结果修约至个位数。</w:t>
                  </w:r>
                </w:p>
              </w:tc>
            </w:tr>
          </w:tbl>
          <w:p>
            <w:pPr>
              <w:keepNext w:val="0"/>
              <w:keepLines w:val="0"/>
              <w:pageBreakBefore w:val="0"/>
              <w:widowControl w:val="0"/>
              <w:kinsoku/>
              <w:wordWrap/>
              <w:overflowPunct/>
              <w:topLinePunct w:val="0"/>
              <w:autoSpaceDE/>
              <w:autoSpaceDN/>
              <w:bidi w:val="0"/>
              <w:adjustRightInd/>
              <w:snapToGrid/>
              <w:spacing w:line="480" w:lineRule="exact"/>
              <w:textAlignment w:val="auto"/>
              <w:rPr>
                <w:b/>
                <w:bCs/>
              </w:rPr>
            </w:pPr>
            <w:r>
              <w:rPr>
                <w:rFonts w:hint="eastAsia"/>
                <w:b/>
                <w:bCs/>
                <w:lang w:eastAsia="zh-CN"/>
              </w:rPr>
              <w:t>(</w:t>
            </w:r>
            <w:r>
              <w:rPr>
                <w:rFonts w:hint="eastAsia"/>
                <w:b/>
                <w:bCs/>
                <w:lang w:val="en-US" w:eastAsia="zh-CN"/>
              </w:rPr>
              <w:t>3</w:t>
            </w:r>
            <w:r>
              <w:rPr>
                <w:rFonts w:hint="eastAsia"/>
                <w:b/>
                <w:bCs/>
                <w:lang w:eastAsia="zh-CN"/>
              </w:rPr>
              <w:t>)</w:t>
            </w:r>
            <w:r>
              <w:rPr>
                <w:rFonts w:hint="eastAsia"/>
                <w:b/>
                <w:bCs/>
                <w:lang w:val="en-US" w:eastAsia="zh-CN"/>
              </w:rPr>
              <w:t xml:space="preserve"> </w:t>
            </w:r>
            <w:r>
              <w:rPr>
                <w:rFonts w:hint="eastAsia"/>
                <w:b/>
                <w:bCs/>
              </w:rPr>
              <w:t>噪声污染防治措施可行性分析</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设计考虑在满足工艺要求的前提下，设备选型时优先选用低噪声设备，从源头控制噪声，同时加强日常维护和保养；</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rPr>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风机：对各类风机均设减振基础；电机</w:t>
            </w:r>
            <w:r>
              <w:rPr>
                <w:rFonts w:hint="eastAsia"/>
                <w:lang w:val="en-US" w:eastAsia="zh-CN"/>
              </w:rPr>
              <w:t>室内布置</w:t>
            </w:r>
            <w:r>
              <w:rPr>
                <w:rFonts w:hint="eastAsia"/>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rPr>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电炉、模铸等：对电炉、</w:t>
            </w:r>
            <w:r>
              <w:rPr>
                <w:rFonts w:hint="eastAsia"/>
                <w:lang w:val="en-US" w:eastAsia="zh-CN"/>
              </w:rPr>
              <w:t>浇</w:t>
            </w:r>
            <w:r>
              <w:rPr>
                <w:rFonts w:hint="eastAsia"/>
              </w:rPr>
              <w:t>铸等产生机械动力噪声的设施安装在厂房内，同时采取基础减振措施，通过厂房的隔声作用削减其对周边环境的影响。</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rPr>
            </w:pPr>
            <w:r>
              <w:rPr>
                <w:rFonts w:hint="eastAsia"/>
              </w:rPr>
              <w:fldChar w:fldCharType="begin"/>
            </w:r>
            <w:r>
              <w:rPr>
                <w:rFonts w:hint="eastAsia"/>
              </w:rPr>
              <w:instrText xml:space="preserve"> = 4 \* GB3 \* MERGEFORMAT </w:instrText>
            </w:r>
            <w:r>
              <w:rPr>
                <w:rFonts w:hint="eastAsia"/>
              </w:rPr>
              <w:fldChar w:fldCharType="separate"/>
            </w:r>
            <w:r>
              <w:t>④</w:t>
            </w:r>
            <w:r>
              <w:rPr>
                <w:rFonts w:hint="eastAsia"/>
              </w:rPr>
              <w:fldChar w:fldCharType="end"/>
            </w:r>
            <w:r>
              <w:rPr>
                <w:rFonts w:hint="eastAsia"/>
              </w:rPr>
              <w:t>水泵类：各类水泵安装在厂房内，通过厂房隔墙阻隔声传播，并安装基础减振设施，水泵等设备与管道连接时采用柔性方式，减轻由于振动导致的噪声。</w:t>
            </w:r>
          </w:p>
          <w:p>
            <w:pPr>
              <w:bidi w:val="0"/>
            </w:pPr>
            <w:r>
              <w:rPr>
                <w:rFonts w:hint="eastAsia"/>
              </w:rPr>
              <w:t>项目在落实以上消声、隔声、减振等措施后，厂界夜间噪声预测值</w:t>
            </w:r>
            <w:r>
              <w:rPr>
                <w:rFonts w:hint="eastAsia"/>
                <w:lang w:val="en-US" w:eastAsia="zh-CN"/>
              </w:rPr>
              <w:t>能够</w:t>
            </w:r>
            <w:r>
              <w:rPr>
                <w:rFonts w:hint="eastAsia"/>
              </w:rPr>
              <w:t>满足《工业企业厂界环境噪声排放标准》</w:t>
            </w:r>
            <w:r>
              <w:rPr>
                <w:rFonts w:hint="eastAsia"/>
                <w:lang w:eastAsia="zh-CN"/>
              </w:rPr>
              <w:t>(</w:t>
            </w:r>
            <w:r>
              <w:rPr>
                <w:rFonts w:hint="eastAsia"/>
              </w:rPr>
              <w:t>GB</w:t>
            </w:r>
            <w:r>
              <w:rPr>
                <w:rFonts w:hint="eastAsia"/>
                <w:lang w:val="en-US" w:eastAsia="zh-CN"/>
              </w:rPr>
              <w:t xml:space="preserve"> </w:t>
            </w:r>
            <w:r>
              <w:rPr>
                <w:rFonts w:hint="eastAsia"/>
              </w:rPr>
              <w:t>12348-2008</w:t>
            </w:r>
            <w:r>
              <w:rPr>
                <w:rFonts w:hint="eastAsia"/>
                <w:lang w:eastAsia="zh-CN"/>
              </w:rPr>
              <w:t>)</w:t>
            </w:r>
            <w:r>
              <w:rPr>
                <w:rFonts w:hint="eastAsia"/>
                <w:lang w:val="en-US" w:eastAsia="zh-CN"/>
              </w:rPr>
              <w:t>中</w:t>
            </w:r>
            <w:r>
              <w:rPr>
                <w:rFonts w:hint="eastAsia"/>
              </w:rPr>
              <w:t>3类</w:t>
            </w:r>
            <w:r>
              <w:rPr>
                <w:rFonts w:hint="eastAsia"/>
                <w:lang w:val="en-US" w:eastAsia="zh-CN"/>
              </w:rPr>
              <w:t>标准</w:t>
            </w:r>
            <w:r>
              <w:rPr>
                <w:rFonts w:hint="eastAsia"/>
              </w:rPr>
              <w:t>限值要求</w:t>
            </w:r>
            <w:r>
              <w:rPr>
                <w:rFonts w:hint="eastAsia"/>
                <w:lang w:eastAsia="zh-CN"/>
              </w:rPr>
              <w:t>，</w:t>
            </w:r>
            <w:r>
              <w:rPr>
                <w:rFonts w:hint="eastAsia"/>
                <w:lang w:val="en-US" w:eastAsia="zh-CN"/>
              </w:rPr>
              <w:t>且</w:t>
            </w:r>
            <w:r>
              <w:rPr>
                <w:rFonts w:hint="eastAsia"/>
              </w:rPr>
              <w:t>以上噪声治理措施容易实施，技术成熟可靠，投资费用较少，在经济上</w:t>
            </w:r>
            <w:r>
              <w:rPr>
                <w:rFonts w:hint="eastAsia"/>
                <w:lang w:val="en-US" w:eastAsia="zh-CN"/>
              </w:rPr>
              <w:t>也</w:t>
            </w:r>
            <w:r>
              <w:rPr>
                <w:rFonts w:hint="eastAsia"/>
              </w:rPr>
              <w:t>是可行的。</w:t>
            </w:r>
          </w:p>
          <w:p>
            <w:pPr>
              <w:bidi w:val="0"/>
              <w:rPr>
                <w:rFonts w:hint="default" w:eastAsia="宋体"/>
                <w:b/>
                <w:bCs/>
                <w:lang w:val="en-US" w:eastAsia="zh-CN"/>
              </w:rPr>
            </w:pPr>
            <w:r>
              <w:rPr>
                <w:rFonts w:hint="eastAsia"/>
                <w:b/>
                <w:bCs/>
                <w:lang w:eastAsia="zh-CN"/>
              </w:rPr>
              <w:t>(</w:t>
            </w:r>
            <w:r>
              <w:rPr>
                <w:rFonts w:hint="eastAsia"/>
                <w:b/>
                <w:bCs/>
                <w:lang w:val="en-US" w:eastAsia="zh-CN"/>
              </w:rPr>
              <w:t>4</w:t>
            </w:r>
            <w:r>
              <w:rPr>
                <w:rFonts w:hint="eastAsia"/>
                <w:b/>
                <w:bCs/>
                <w:lang w:eastAsia="zh-CN"/>
              </w:rPr>
              <w:t>)</w:t>
            </w:r>
            <w:r>
              <w:rPr>
                <w:rFonts w:hint="eastAsia"/>
                <w:b/>
                <w:bCs/>
                <w:lang w:val="en-US" w:eastAsia="zh-CN"/>
              </w:rPr>
              <w:t xml:space="preserve"> 自行监测</w:t>
            </w:r>
          </w:p>
          <w:p>
            <w:pPr>
              <w:bidi w:val="0"/>
              <w:rPr>
                <w:rFonts w:hint="eastAsia"/>
              </w:rPr>
            </w:pPr>
            <w:r>
              <w:rPr>
                <w:rFonts w:hint="eastAsia"/>
              </w:rPr>
              <w:t>项目噪声监测要求详见表</w:t>
            </w:r>
            <w:r>
              <w:rPr>
                <w:rFonts w:hint="eastAsia"/>
                <w:lang w:val="en-US" w:eastAsia="zh-CN"/>
              </w:rPr>
              <w:t>4-5</w:t>
            </w:r>
            <w:r>
              <w:rPr>
                <w:rFonts w:hint="eastAsia"/>
              </w:rPr>
              <w:t>。</w:t>
            </w:r>
          </w:p>
          <w:p>
            <w:pPr>
              <w:pStyle w:val="21"/>
              <w:bidi w:val="0"/>
            </w:pPr>
            <w:r>
              <w:rPr>
                <w:rFonts w:hint="eastAsia"/>
              </w:rPr>
              <w:t>表</w:t>
            </w:r>
            <w:r>
              <w:rPr>
                <w:rFonts w:hint="eastAsia"/>
                <w:lang w:val="en-US" w:eastAsia="zh-CN"/>
              </w:rPr>
              <w:t>4-5</w:t>
            </w:r>
            <w:r>
              <w:t xml:space="preserve">  </w:t>
            </w:r>
            <w:r>
              <w:rPr>
                <w:rFonts w:hint="eastAsia"/>
              </w:rPr>
              <w:t>项目噪声监测要求一览表</w:t>
            </w:r>
          </w:p>
          <w:tbl>
            <w:tblPr>
              <w:tblStyle w:val="1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1134"/>
              <w:gridCol w:w="1400"/>
              <w:gridCol w:w="1833"/>
              <w:gridCol w:w="3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5" w:type="pct"/>
                  <w:noWrap w:val="0"/>
                  <w:vAlign w:val="center"/>
                </w:tcPr>
                <w:p>
                  <w:pPr>
                    <w:pStyle w:val="19"/>
                    <w:bidi w:val="0"/>
                    <w:rPr>
                      <w:rFonts w:hint="eastAsia"/>
                      <w:b/>
                      <w:bCs/>
                    </w:rPr>
                  </w:pPr>
                  <w:r>
                    <w:rPr>
                      <w:rFonts w:hint="eastAsia"/>
                      <w:b/>
                      <w:bCs/>
                    </w:rPr>
                    <w:t>环境要素</w:t>
                  </w:r>
                </w:p>
              </w:tc>
              <w:tc>
                <w:tcPr>
                  <w:tcW w:w="636" w:type="pct"/>
                  <w:noWrap w:val="0"/>
                  <w:vAlign w:val="center"/>
                </w:tcPr>
                <w:p>
                  <w:pPr>
                    <w:pStyle w:val="19"/>
                    <w:bidi w:val="0"/>
                    <w:rPr>
                      <w:rFonts w:hint="eastAsia"/>
                      <w:b/>
                      <w:bCs/>
                    </w:rPr>
                  </w:pPr>
                  <w:r>
                    <w:rPr>
                      <w:rFonts w:hint="eastAsia"/>
                      <w:b/>
                      <w:bCs/>
                    </w:rPr>
                    <w:t>监测位置</w:t>
                  </w:r>
                </w:p>
              </w:tc>
              <w:tc>
                <w:tcPr>
                  <w:tcW w:w="785" w:type="pct"/>
                  <w:noWrap w:val="0"/>
                  <w:vAlign w:val="center"/>
                </w:tcPr>
                <w:p>
                  <w:pPr>
                    <w:pStyle w:val="19"/>
                    <w:bidi w:val="0"/>
                    <w:rPr>
                      <w:rFonts w:hint="eastAsia"/>
                      <w:b/>
                      <w:bCs/>
                    </w:rPr>
                  </w:pPr>
                  <w:r>
                    <w:rPr>
                      <w:rFonts w:hint="eastAsia"/>
                      <w:b/>
                      <w:bCs/>
                    </w:rPr>
                    <w:t>监测项目</w:t>
                  </w:r>
                </w:p>
              </w:tc>
              <w:tc>
                <w:tcPr>
                  <w:tcW w:w="1028" w:type="pct"/>
                  <w:noWrap w:val="0"/>
                  <w:vAlign w:val="center"/>
                </w:tcPr>
                <w:p>
                  <w:pPr>
                    <w:pStyle w:val="19"/>
                    <w:bidi w:val="0"/>
                    <w:rPr>
                      <w:rFonts w:hint="eastAsia"/>
                      <w:b/>
                      <w:bCs/>
                    </w:rPr>
                  </w:pPr>
                  <w:r>
                    <w:rPr>
                      <w:rFonts w:hint="eastAsia"/>
                      <w:b/>
                      <w:bCs/>
                      <w:lang w:val="en-US" w:eastAsia="zh-CN"/>
                    </w:rPr>
                    <w:t>监测</w:t>
                  </w:r>
                  <w:r>
                    <w:rPr>
                      <w:rFonts w:hint="eastAsia"/>
                      <w:b/>
                      <w:bCs/>
                    </w:rPr>
                    <w:t>频次</w:t>
                  </w:r>
                </w:p>
              </w:tc>
              <w:tc>
                <w:tcPr>
                  <w:tcW w:w="1895" w:type="pct"/>
                  <w:noWrap w:val="0"/>
                  <w:vAlign w:val="center"/>
                </w:tcPr>
                <w:p>
                  <w:pPr>
                    <w:pStyle w:val="19"/>
                    <w:bidi w:val="0"/>
                    <w:rPr>
                      <w:rFonts w:hint="eastAsia"/>
                      <w:b/>
                      <w:bCs/>
                    </w:rPr>
                  </w:pPr>
                  <w:r>
                    <w:rPr>
                      <w:rFonts w:hint="eastAsia"/>
                      <w:b/>
                      <w:bCs/>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5" w:type="pct"/>
                  <w:noWrap w:val="0"/>
                  <w:vAlign w:val="center"/>
                </w:tcPr>
                <w:p>
                  <w:pPr>
                    <w:pStyle w:val="19"/>
                    <w:bidi w:val="0"/>
                    <w:rPr>
                      <w:rFonts w:hint="eastAsia"/>
                    </w:rPr>
                  </w:pPr>
                  <w:r>
                    <w:rPr>
                      <w:rFonts w:hint="eastAsia"/>
                    </w:rPr>
                    <w:t>噪声</w:t>
                  </w:r>
                </w:p>
              </w:tc>
              <w:tc>
                <w:tcPr>
                  <w:tcW w:w="636" w:type="pct"/>
                  <w:noWrap w:val="0"/>
                  <w:vAlign w:val="center"/>
                </w:tcPr>
                <w:p>
                  <w:pPr>
                    <w:pStyle w:val="19"/>
                    <w:bidi w:val="0"/>
                    <w:rPr>
                      <w:rFonts w:hint="eastAsia"/>
                    </w:rPr>
                  </w:pPr>
                  <w:r>
                    <w:rPr>
                      <w:rFonts w:hint="eastAsia"/>
                    </w:rPr>
                    <w:t>四周厂界外1m处</w:t>
                  </w:r>
                </w:p>
              </w:tc>
              <w:tc>
                <w:tcPr>
                  <w:tcW w:w="785" w:type="pct"/>
                  <w:noWrap w:val="0"/>
                  <w:vAlign w:val="center"/>
                </w:tcPr>
                <w:p>
                  <w:pPr>
                    <w:pStyle w:val="19"/>
                    <w:bidi w:val="0"/>
                    <w:rPr>
                      <w:rFonts w:hint="eastAsia"/>
                    </w:rPr>
                  </w:pPr>
                  <w:r>
                    <w:rPr>
                      <w:rFonts w:hint="eastAsia"/>
                    </w:rPr>
                    <w:t>等效A声级</w:t>
                  </w:r>
                </w:p>
              </w:tc>
              <w:tc>
                <w:tcPr>
                  <w:tcW w:w="1028" w:type="pct"/>
                  <w:noWrap w:val="0"/>
                  <w:vAlign w:val="center"/>
                </w:tcPr>
                <w:p>
                  <w:pPr>
                    <w:pStyle w:val="19"/>
                    <w:bidi w:val="0"/>
                    <w:rPr>
                      <w:rFonts w:hint="eastAsia"/>
                    </w:rPr>
                  </w:pPr>
                  <w:r>
                    <w:rPr>
                      <w:rFonts w:hint="eastAsia"/>
                    </w:rPr>
                    <w:t>每季度至少开展一次昼夜监测</w:t>
                  </w:r>
                </w:p>
              </w:tc>
              <w:tc>
                <w:tcPr>
                  <w:tcW w:w="1895" w:type="pct"/>
                  <w:noWrap w:val="0"/>
                  <w:vAlign w:val="center"/>
                </w:tcPr>
                <w:p>
                  <w:pPr>
                    <w:pStyle w:val="19"/>
                    <w:bidi w:val="0"/>
                    <w:rPr>
                      <w:rFonts w:hint="eastAsia"/>
                    </w:rPr>
                  </w:pPr>
                  <w:r>
                    <w:rPr>
                      <w:rFonts w:hint="eastAsia"/>
                    </w:rPr>
                    <w:t>《工业企业厂界环境噪声排放标准》(GB 12348-2008)中3类标准</w:t>
                  </w:r>
                </w:p>
              </w:tc>
            </w:tr>
          </w:tbl>
          <w:p>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auto"/>
              <w:rPr>
                <w:b/>
                <w:bCs/>
                <w:kern w:val="0"/>
              </w:rPr>
            </w:pPr>
            <w:r>
              <w:rPr>
                <w:b/>
                <w:bCs/>
                <w:kern w:val="0"/>
              </w:rPr>
              <w:t>4</w:t>
            </w:r>
            <w:r>
              <w:rPr>
                <w:rFonts w:hint="eastAsia"/>
                <w:b/>
                <w:bCs/>
                <w:kern w:val="0"/>
              </w:rPr>
              <w:t>、固体废物</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eastAsia="宋体"/>
                <w:b/>
                <w:bCs/>
                <w:kern w:val="0"/>
                <w:lang w:val="en-US" w:eastAsia="zh-CN"/>
              </w:rPr>
            </w:pPr>
            <w:r>
              <w:rPr>
                <w:rFonts w:hint="eastAsia"/>
                <w:b/>
                <w:bCs/>
                <w:kern w:val="0"/>
                <w:lang w:eastAsia="zh-CN"/>
              </w:rPr>
              <w:t>(</w:t>
            </w:r>
            <w:r>
              <w:rPr>
                <w:rFonts w:hint="eastAsia"/>
                <w:b/>
                <w:bCs/>
                <w:kern w:val="0"/>
                <w:lang w:val="en-US" w:eastAsia="zh-CN"/>
              </w:rPr>
              <w:t>1</w:t>
            </w:r>
            <w:r>
              <w:rPr>
                <w:rFonts w:hint="eastAsia"/>
                <w:b/>
                <w:bCs/>
                <w:kern w:val="0"/>
                <w:lang w:eastAsia="zh-CN"/>
              </w:rPr>
              <w:t>)</w:t>
            </w:r>
            <w:r>
              <w:rPr>
                <w:rFonts w:hint="eastAsia"/>
                <w:b/>
                <w:bCs/>
                <w:kern w:val="0"/>
                <w:lang w:val="en-US" w:eastAsia="zh-CN"/>
              </w:rPr>
              <w:t xml:space="preserve"> 固废污染源强</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color w:val="auto"/>
                <w:kern w:val="0"/>
              </w:rPr>
            </w:pPr>
            <w:r>
              <w:rPr>
                <w:rFonts w:hint="eastAsia"/>
                <w:color w:val="auto"/>
                <w:kern w:val="0"/>
                <w:lang w:val="en-US" w:eastAsia="zh-CN"/>
              </w:rPr>
              <w:t>项目固体废物主要包括：电弧炉冶炼、AOD炉精炼、LF炉精炼、VOD炉精炼等冶炼废渣(</w:t>
            </w:r>
            <w:r>
              <w:rPr>
                <w:rFonts w:hint="eastAsia"/>
                <w:color w:val="auto"/>
                <w:vertAlign w:val="baseline"/>
                <w:lang w:val="en-US" w:eastAsia="zh-CN"/>
              </w:rPr>
              <w:t>S1、S3、S4、S5</w:t>
            </w:r>
            <w:r>
              <w:rPr>
                <w:rFonts w:hint="eastAsia"/>
                <w:color w:val="auto"/>
                <w:kern w:val="0"/>
                <w:lang w:val="en-US" w:eastAsia="zh-CN"/>
              </w:rPr>
              <w:t>)；钢包车产生的</w:t>
            </w:r>
            <w:r>
              <w:rPr>
                <w:rFonts w:hint="eastAsia"/>
                <w:color w:val="auto"/>
                <w:lang w:val="en-US" w:eastAsia="zh-CN"/>
              </w:rPr>
              <w:t>废耐火材料(S2)；浇铸、修磨过程产生(S6、S7)；除尘系统产生的除尘灰(S8)；设备维修产生的废机油(S9)以及</w:t>
            </w:r>
            <w:r>
              <w:rPr>
                <w:rFonts w:hint="eastAsia"/>
                <w:color w:val="auto"/>
                <w:kern w:val="0"/>
                <w:lang w:val="en-US" w:eastAsia="zh-CN"/>
              </w:rPr>
              <w:t>员工办公产生的生活垃圾</w:t>
            </w:r>
            <w:r>
              <w:rPr>
                <w:rFonts w:hint="eastAsia"/>
                <w:color w:val="auto"/>
                <w:lang w:val="en-US" w:eastAsia="zh-CN"/>
              </w:rPr>
              <w:t>(S10)。</w:t>
            </w:r>
          </w:p>
          <w:p>
            <w:pPr>
              <w:keepNext w:val="0"/>
              <w:keepLines w:val="0"/>
              <w:pageBreakBefore w:val="0"/>
              <w:kinsoku/>
              <w:wordWrap/>
              <w:overflowPunct/>
              <w:topLinePunct w:val="0"/>
              <w:autoSpaceDE/>
              <w:autoSpaceDN/>
              <w:bidi w:val="0"/>
              <w:adjustRightInd/>
              <w:snapToGrid/>
              <w:spacing w:line="480" w:lineRule="exact"/>
              <w:textAlignment w:val="auto"/>
              <w:rPr>
                <w:rFonts w:hint="default" w:eastAsia="宋体"/>
                <w:b/>
                <w:bCs/>
                <w:color w:val="auto"/>
                <w:lang w:val="en-US" w:eastAsia="zh-CN"/>
              </w:rPr>
            </w:pPr>
            <w:r>
              <w:rPr>
                <w:rFonts w:hint="eastAsia"/>
                <w:b/>
                <w:bCs/>
                <w:color w:val="auto"/>
              </w:rPr>
              <w:fldChar w:fldCharType="begin"/>
            </w:r>
            <w:r>
              <w:rPr>
                <w:rFonts w:hint="eastAsia"/>
                <w:b/>
                <w:bCs/>
                <w:color w:val="auto"/>
              </w:rPr>
              <w:instrText xml:space="preserve"> = 1 \* GB3 \* MERGEFORMAT </w:instrText>
            </w:r>
            <w:r>
              <w:rPr>
                <w:rFonts w:hint="eastAsia"/>
                <w:b/>
                <w:bCs/>
                <w:color w:val="auto"/>
              </w:rPr>
              <w:fldChar w:fldCharType="separate"/>
            </w:r>
            <w:r>
              <w:rPr>
                <w:b/>
                <w:bCs/>
                <w:color w:val="auto"/>
              </w:rPr>
              <w:t>①</w:t>
            </w:r>
            <w:r>
              <w:rPr>
                <w:rFonts w:hint="eastAsia"/>
                <w:b/>
                <w:bCs/>
                <w:color w:val="auto"/>
              </w:rPr>
              <w:fldChar w:fldCharType="end"/>
            </w:r>
            <w:r>
              <w:rPr>
                <w:rFonts w:hint="eastAsia"/>
                <w:b/>
                <w:bCs/>
                <w:color w:val="auto"/>
                <w:lang w:val="en-US" w:eastAsia="zh-CN"/>
              </w:rPr>
              <w:t xml:space="preserve"> 一般固废</w:t>
            </w:r>
          </w:p>
          <w:p>
            <w:pPr>
              <w:keepNext w:val="0"/>
              <w:keepLines w:val="0"/>
              <w:pageBreakBefore w:val="0"/>
              <w:kinsoku/>
              <w:wordWrap/>
              <w:overflowPunct/>
              <w:topLinePunct w:val="0"/>
              <w:autoSpaceDE/>
              <w:autoSpaceDN/>
              <w:bidi w:val="0"/>
              <w:adjustRightInd/>
              <w:snapToGrid/>
              <w:spacing w:line="480" w:lineRule="exact"/>
              <w:textAlignment w:val="auto"/>
              <w:rPr>
                <w:rFonts w:hint="default"/>
                <w:color w:val="auto"/>
                <w:lang w:val="en-US" w:eastAsia="zh-CN"/>
              </w:rPr>
            </w:pPr>
            <w:r>
              <w:rPr>
                <w:rFonts w:hint="eastAsia"/>
                <w:color w:val="auto"/>
                <w:lang w:val="en-US" w:eastAsia="zh-CN"/>
              </w:rPr>
              <w:t>冶炼废渣：</w:t>
            </w:r>
            <w:r>
              <w:rPr>
                <w:rFonts w:hint="eastAsia"/>
                <w:color w:val="auto"/>
                <w:kern w:val="0"/>
                <w:lang w:val="en-US" w:eastAsia="zh-CN"/>
              </w:rPr>
              <w:t>电弧炉冶炼、AOD炉精炼、LF炉精炼、VOD炉精炼等过程产生，</w:t>
            </w:r>
            <w:r>
              <w:rPr>
                <w:rFonts w:hint="eastAsia"/>
                <w:color w:val="auto"/>
                <w:lang w:val="en-US" w:eastAsia="zh-CN"/>
              </w:rPr>
              <w:t>产生量约6278.63t/a，外售综合利用。</w:t>
            </w:r>
          </w:p>
          <w:p>
            <w:pPr>
              <w:pStyle w:val="15"/>
              <w:keepNext w:val="0"/>
              <w:keepLines w:val="0"/>
              <w:pageBreakBefore w:val="0"/>
              <w:kinsoku/>
              <w:wordWrap/>
              <w:overflowPunct/>
              <w:topLinePunct w:val="0"/>
              <w:autoSpaceDE/>
              <w:autoSpaceDN/>
              <w:bidi w:val="0"/>
              <w:adjustRightInd/>
              <w:snapToGrid/>
              <w:spacing w:line="480" w:lineRule="exact"/>
              <w:textAlignment w:val="auto"/>
              <w:rPr>
                <w:rFonts w:hint="default"/>
                <w:color w:val="auto"/>
                <w:lang w:val="en-US" w:eastAsia="zh-CN"/>
              </w:rPr>
            </w:pPr>
            <w:r>
              <w:rPr>
                <w:rFonts w:hint="eastAsia"/>
                <w:color w:val="auto"/>
                <w:lang w:val="en-US" w:eastAsia="zh-CN"/>
              </w:rPr>
              <w:t>钢渣：浇铸、修磨过程产生，产生量约646.16t/a，含铁量较高，返电弧炉冶炼。</w:t>
            </w:r>
          </w:p>
          <w:p>
            <w:pPr>
              <w:keepNext w:val="0"/>
              <w:keepLines w:val="0"/>
              <w:pageBreakBefore w:val="0"/>
              <w:kinsoku/>
              <w:wordWrap/>
              <w:overflowPunct/>
              <w:topLinePunct w:val="0"/>
              <w:autoSpaceDE/>
              <w:autoSpaceDN/>
              <w:bidi w:val="0"/>
              <w:adjustRightInd/>
              <w:snapToGrid/>
              <w:spacing w:line="480" w:lineRule="exact"/>
              <w:textAlignment w:val="auto"/>
              <w:rPr>
                <w:rFonts w:hint="eastAsia"/>
                <w:color w:val="auto"/>
                <w:lang w:val="en-US" w:eastAsia="zh-CN"/>
              </w:rPr>
            </w:pPr>
            <w:r>
              <w:rPr>
                <w:rFonts w:hint="eastAsia"/>
                <w:color w:val="auto"/>
                <w:lang w:val="en-US" w:eastAsia="zh-CN"/>
              </w:rPr>
              <w:t>废耐火材料：产生量约50t/a，回收其中可用部分，其它由耐火材料厂家回收。</w:t>
            </w:r>
          </w:p>
          <w:p>
            <w:pPr>
              <w:keepNext w:val="0"/>
              <w:keepLines w:val="0"/>
              <w:pageBreakBefore w:val="0"/>
              <w:kinsoku/>
              <w:wordWrap/>
              <w:overflowPunct/>
              <w:topLinePunct w:val="0"/>
              <w:autoSpaceDE/>
              <w:autoSpaceDN/>
              <w:bidi w:val="0"/>
              <w:adjustRightInd/>
              <w:snapToGrid/>
              <w:spacing w:line="480" w:lineRule="exact"/>
              <w:textAlignment w:val="auto"/>
              <w:rPr>
                <w:rFonts w:hint="eastAsia" w:eastAsia="宋体"/>
                <w:color w:val="auto"/>
                <w:lang w:val="en-US" w:eastAsia="zh-CN"/>
              </w:rPr>
            </w:pPr>
            <w:r>
              <w:rPr>
                <w:rFonts w:hint="eastAsia"/>
                <w:color w:val="auto"/>
                <w:lang w:val="en-US" w:eastAsia="zh-CN"/>
              </w:rPr>
              <w:t>生活垃圾：生活垃圾产生量按0.5kg/人·天计，企业职工人数50人，生活垃圾产生量约为7.5t/a，收集后由环卫部门定期清运处置。</w:t>
            </w:r>
          </w:p>
          <w:p>
            <w:pPr>
              <w:keepNext w:val="0"/>
              <w:keepLines w:val="0"/>
              <w:pageBreakBefore w:val="0"/>
              <w:kinsoku/>
              <w:wordWrap/>
              <w:overflowPunct/>
              <w:topLinePunct w:val="0"/>
              <w:autoSpaceDE/>
              <w:autoSpaceDN/>
              <w:bidi w:val="0"/>
              <w:adjustRightInd/>
              <w:snapToGrid/>
              <w:spacing w:line="480" w:lineRule="exact"/>
              <w:textAlignment w:val="auto"/>
              <w:rPr>
                <w:rFonts w:hint="default" w:eastAsia="宋体"/>
                <w:b/>
                <w:bCs/>
                <w:lang w:val="en-US" w:eastAsia="zh-CN"/>
              </w:rPr>
            </w:pPr>
            <w:r>
              <w:rPr>
                <w:rFonts w:hint="eastAsia"/>
                <w:b/>
                <w:bCs/>
              </w:rPr>
              <w:fldChar w:fldCharType="begin"/>
            </w:r>
            <w:r>
              <w:rPr>
                <w:rFonts w:hint="eastAsia"/>
                <w:b/>
                <w:bCs/>
              </w:rPr>
              <w:instrText xml:space="preserve"> = 2 \* GB3 \* MERGEFORMAT </w:instrText>
            </w:r>
            <w:r>
              <w:rPr>
                <w:rFonts w:hint="eastAsia"/>
                <w:b/>
                <w:bCs/>
              </w:rPr>
              <w:fldChar w:fldCharType="separate"/>
            </w:r>
            <w:r>
              <w:rPr>
                <w:b/>
                <w:bCs/>
              </w:rPr>
              <w:t>②</w:t>
            </w:r>
            <w:r>
              <w:rPr>
                <w:rFonts w:hint="eastAsia"/>
                <w:b/>
                <w:bCs/>
              </w:rPr>
              <w:fldChar w:fldCharType="end"/>
            </w:r>
            <w:r>
              <w:rPr>
                <w:rFonts w:hint="eastAsia"/>
                <w:b/>
                <w:bCs/>
                <w:lang w:val="en-US" w:eastAsia="zh-CN"/>
              </w:rPr>
              <w:t xml:space="preserve"> 危险废物</w:t>
            </w:r>
          </w:p>
          <w:p>
            <w:pPr>
              <w:keepNext w:val="0"/>
              <w:keepLines w:val="0"/>
              <w:pageBreakBefore w:val="0"/>
              <w:kinsoku/>
              <w:wordWrap/>
              <w:overflowPunct/>
              <w:topLinePunct w:val="0"/>
              <w:autoSpaceDE/>
              <w:autoSpaceDN/>
              <w:bidi w:val="0"/>
              <w:adjustRightInd/>
              <w:snapToGrid/>
              <w:spacing w:line="480" w:lineRule="exact"/>
              <w:textAlignment w:val="auto"/>
              <w:rPr>
                <w:rFonts w:hint="eastAsia"/>
                <w:lang w:eastAsia="zh-CN"/>
              </w:rPr>
            </w:pPr>
            <w:r>
              <w:rPr>
                <w:rFonts w:hint="eastAsia"/>
                <w:lang w:val="en-US" w:eastAsia="zh-CN"/>
              </w:rPr>
              <w:t>除尘灰：主要包括电弧炉、合金熔融炉、LF炉、VOD炉以及浇铸等环节收集去除的粉尘，产生量约392.69t/a。根据《国家危险废物名录》(2021)，废钢电炉炼钢除尘灰属于危险废物(编号：HW31 312-001-23)，委托</w:t>
            </w:r>
            <w:r>
              <w:rPr>
                <w:rFonts w:hint="eastAsia"/>
                <w:lang w:eastAsia="zh-CN"/>
              </w:rPr>
              <w:t>有资质单位处置。</w:t>
            </w:r>
          </w:p>
          <w:p>
            <w:pPr>
              <w:keepNext w:val="0"/>
              <w:keepLines w:val="0"/>
              <w:pageBreakBefore w:val="0"/>
              <w:kinsoku/>
              <w:wordWrap/>
              <w:overflowPunct/>
              <w:topLinePunct w:val="0"/>
              <w:autoSpaceDE/>
              <w:autoSpaceDN/>
              <w:bidi w:val="0"/>
              <w:adjustRightInd/>
              <w:snapToGrid/>
              <w:spacing w:line="480" w:lineRule="exact"/>
              <w:textAlignment w:val="auto"/>
              <w:rPr>
                <w:rFonts w:hint="default"/>
                <w:lang w:val="en-US" w:eastAsia="zh-CN"/>
              </w:rPr>
            </w:pPr>
            <w:r>
              <w:rPr>
                <w:rFonts w:hint="eastAsia"/>
              </w:rPr>
              <w:t>废机油</w:t>
            </w:r>
            <w:r>
              <w:rPr>
                <w:rFonts w:hint="eastAsia"/>
                <w:lang w:eastAsia="zh-CN"/>
              </w:rPr>
              <w:t>：设备维修过程中会产生</w:t>
            </w:r>
            <w:r>
              <w:rPr>
                <w:rFonts w:hint="eastAsia"/>
                <w:lang w:val="en-US" w:eastAsia="zh-CN"/>
              </w:rPr>
              <w:t>废机油</w:t>
            </w:r>
            <w:r>
              <w:rPr>
                <w:rFonts w:hint="eastAsia"/>
                <w:lang w:eastAsia="zh-CN"/>
              </w:rPr>
              <w:t>，</w:t>
            </w:r>
            <w:r>
              <w:rPr>
                <w:rFonts w:hint="eastAsia"/>
                <w:lang w:val="en-US" w:eastAsia="zh-CN"/>
              </w:rPr>
              <w:t>产生量约0.75t/a。</w:t>
            </w:r>
            <w:r>
              <w:rPr>
                <w:rFonts w:hint="eastAsia"/>
                <w:lang w:eastAsia="zh-CN"/>
              </w:rPr>
              <w:t>根据《国家危险废物名录》(2021)，废机油属于危险废物(编号：HW08</w:t>
            </w:r>
            <w:r>
              <w:rPr>
                <w:rFonts w:hint="eastAsia"/>
                <w:lang w:val="en-US" w:eastAsia="zh-CN"/>
              </w:rPr>
              <w:t xml:space="preserve"> </w:t>
            </w:r>
            <w:r>
              <w:rPr>
                <w:rFonts w:hint="eastAsia"/>
                <w:lang w:eastAsia="zh-CN"/>
              </w:rPr>
              <w:t>900-249-08)，</w:t>
            </w:r>
            <w:r>
              <w:rPr>
                <w:rFonts w:hint="eastAsia"/>
                <w:lang w:val="en-US" w:eastAsia="zh-CN"/>
              </w:rPr>
              <w:t>委托</w:t>
            </w:r>
            <w:r>
              <w:rPr>
                <w:rFonts w:hint="eastAsia"/>
                <w:lang w:eastAsia="zh-CN"/>
              </w:rPr>
              <w:t>有资质单位处置。</w:t>
            </w:r>
          </w:p>
          <w:p>
            <w:pPr>
              <w:bidi w:val="0"/>
              <w:rPr>
                <w:rFonts w:hint="default"/>
                <w:lang w:val="en-US"/>
              </w:rPr>
            </w:pPr>
            <w:r>
              <w:rPr>
                <w:rFonts w:hint="eastAsia"/>
                <w:lang w:val="en-US" w:eastAsia="zh-CN"/>
              </w:rPr>
              <w:t>项目固体废物产生及排放情况详见表4-6。</w:t>
            </w:r>
          </w:p>
        </w:tc>
      </w:tr>
    </w:tbl>
    <w:p>
      <w:pPr>
        <w:bidi w:val="0"/>
        <w:sectPr>
          <w:pgSz w:w="11906" w:h="16838"/>
          <w:pgMar w:top="1418" w:right="1418" w:bottom="1418" w:left="1418" w:header="851" w:footer="851" w:gutter="0"/>
          <w:cols w:space="425" w:num="1"/>
          <w:docGrid w:type="lines" w:linePitch="326" w:charSpace="0"/>
        </w:sectPr>
      </w:pPr>
    </w:p>
    <w:tbl>
      <w:tblPr>
        <w:tblStyle w:val="1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
        <w:gridCol w:w="13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1" w:type="pct"/>
            <w:shd w:val="clear" w:color="auto" w:fill="auto"/>
            <w:vAlign w:val="center"/>
          </w:tcPr>
          <w:p>
            <w:pPr>
              <w:widowControl/>
              <w:spacing w:line="480" w:lineRule="exact"/>
              <w:ind w:firstLine="0" w:firstLineChars="0"/>
              <w:jc w:val="center"/>
              <w:rPr>
                <w:b/>
                <w:bCs/>
                <w:kern w:val="0"/>
              </w:rPr>
            </w:pPr>
            <w:r>
              <w:rPr>
                <w:b/>
                <w:bCs/>
                <w:kern w:val="0"/>
              </w:rPr>
              <w:t>运营</w:t>
            </w:r>
          </w:p>
          <w:p>
            <w:pPr>
              <w:widowControl/>
              <w:spacing w:line="480" w:lineRule="exact"/>
              <w:ind w:firstLine="0" w:firstLineChars="0"/>
              <w:jc w:val="center"/>
              <w:rPr>
                <w:b/>
                <w:bCs/>
                <w:kern w:val="0"/>
              </w:rPr>
            </w:pPr>
            <w:r>
              <w:rPr>
                <w:b/>
                <w:bCs/>
                <w:kern w:val="0"/>
              </w:rPr>
              <w:t>期环</w:t>
            </w:r>
          </w:p>
          <w:p>
            <w:pPr>
              <w:widowControl/>
              <w:spacing w:line="480" w:lineRule="exact"/>
              <w:ind w:firstLine="0" w:firstLineChars="0"/>
              <w:jc w:val="center"/>
              <w:rPr>
                <w:b/>
                <w:bCs/>
                <w:kern w:val="0"/>
              </w:rPr>
            </w:pPr>
            <w:r>
              <w:rPr>
                <w:b/>
                <w:bCs/>
                <w:kern w:val="0"/>
              </w:rPr>
              <w:t>境影</w:t>
            </w:r>
          </w:p>
          <w:p>
            <w:pPr>
              <w:widowControl/>
              <w:spacing w:line="480" w:lineRule="exact"/>
              <w:ind w:firstLine="0" w:firstLineChars="0"/>
              <w:jc w:val="center"/>
              <w:rPr>
                <w:b/>
                <w:bCs/>
                <w:kern w:val="0"/>
              </w:rPr>
            </w:pPr>
            <w:r>
              <w:rPr>
                <w:b/>
                <w:bCs/>
                <w:kern w:val="0"/>
              </w:rPr>
              <w:t>响和</w:t>
            </w:r>
          </w:p>
          <w:p>
            <w:pPr>
              <w:widowControl/>
              <w:spacing w:line="480" w:lineRule="exact"/>
              <w:ind w:firstLine="0" w:firstLineChars="0"/>
              <w:jc w:val="center"/>
              <w:rPr>
                <w:b/>
                <w:bCs/>
                <w:kern w:val="0"/>
              </w:rPr>
            </w:pPr>
            <w:r>
              <w:rPr>
                <w:b/>
                <w:bCs/>
                <w:kern w:val="0"/>
              </w:rPr>
              <w:t>保护</w:t>
            </w:r>
          </w:p>
          <w:p>
            <w:pPr>
              <w:pStyle w:val="15"/>
              <w:ind w:left="0" w:leftChars="0" w:firstLine="0" w:firstLineChars="0"/>
              <w:rPr>
                <w:vertAlign w:val="baseline"/>
              </w:rPr>
            </w:pPr>
            <w:r>
              <w:rPr>
                <w:b/>
                <w:bCs/>
                <w:kern w:val="0"/>
              </w:rPr>
              <w:t>措施</w:t>
            </w:r>
          </w:p>
        </w:tc>
        <w:tc>
          <w:tcPr>
            <w:tcW w:w="4838" w:type="pct"/>
            <w:shd w:val="clear" w:color="auto" w:fill="auto"/>
            <w:vAlign w:val="center"/>
          </w:tcPr>
          <w:p>
            <w:pPr>
              <w:pStyle w:val="21"/>
              <w:bidi w:val="0"/>
              <w:rPr>
                <w:rFonts w:hint="default"/>
                <w:lang w:val="en-US" w:eastAsia="zh-CN"/>
              </w:rPr>
            </w:pPr>
            <w:r>
              <w:rPr>
                <w:rFonts w:hint="eastAsia"/>
                <w:lang w:val="en-US" w:eastAsia="zh-CN"/>
              </w:rPr>
              <w:t>表4-6  项目固体废物产生及排放情况一览表</w:t>
            </w:r>
          </w:p>
          <w:tbl>
            <w:tblPr>
              <w:tblStyle w:val="16"/>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404"/>
              <w:gridCol w:w="1063"/>
              <w:gridCol w:w="1063"/>
              <w:gridCol w:w="1196"/>
              <w:gridCol w:w="1063"/>
              <w:gridCol w:w="1063"/>
              <w:gridCol w:w="1063"/>
              <w:gridCol w:w="1374"/>
              <w:gridCol w:w="1063"/>
              <w:gridCol w:w="1063"/>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noWrap w:val="0"/>
                  <w:vAlign w:val="center"/>
                </w:tcPr>
                <w:p>
                  <w:pPr>
                    <w:pStyle w:val="19"/>
                    <w:bidi w:val="0"/>
                    <w:rPr>
                      <w:b/>
                      <w:bCs/>
                    </w:rPr>
                  </w:pPr>
                  <w:r>
                    <w:rPr>
                      <w:rFonts w:hint="eastAsia"/>
                      <w:b/>
                      <w:bCs/>
                    </w:rPr>
                    <w:t>序号</w:t>
                  </w:r>
                </w:p>
              </w:tc>
              <w:tc>
                <w:tcPr>
                  <w:tcW w:w="519" w:type="pct"/>
                  <w:noWrap w:val="0"/>
                  <w:vAlign w:val="center"/>
                </w:tcPr>
                <w:p>
                  <w:pPr>
                    <w:pStyle w:val="19"/>
                    <w:bidi w:val="0"/>
                    <w:rPr>
                      <w:b/>
                      <w:bCs/>
                    </w:rPr>
                  </w:pPr>
                  <w:r>
                    <w:rPr>
                      <w:rFonts w:hint="eastAsia"/>
                      <w:b/>
                      <w:bCs/>
                    </w:rPr>
                    <w:t>产生环节</w:t>
                  </w:r>
                </w:p>
              </w:tc>
              <w:tc>
                <w:tcPr>
                  <w:tcW w:w="393" w:type="pct"/>
                  <w:noWrap w:val="0"/>
                  <w:vAlign w:val="center"/>
                </w:tcPr>
                <w:p>
                  <w:pPr>
                    <w:pStyle w:val="19"/>
                    <w:bidi w:val="0"/>
                    <w:rPr>
                      <w:b/>
                      <w:bCs/>
                    </w:rPr>
                  </w:pPr>
                  <w:r>
                    <w:rPr>
                      <w:rFonts w:hint="eastAsia"/>
                      <w:b/>
                      <w:bCs/>
                    </w:rPr>
                    <w:t>固体废物名称</w:t>
                  </w:r>
                </w:p>
              </w:tc>
              <w:tc>
                <w:tcPr>
                  <w:tcW w:w="393" w:type="pct"/>
                  <w:noWrap w:val="0"/>
                  <w:vAlign w:val="center"/>
                </w:tcPr>
                <w:p>
                  <w:pPr>
                    <w:pStyle w:val="19"/>
                    <w:bidi w:val="0"/>
                    <w:rPr>
                      <w:b/>
                      <w:bCs/>
                    </w:rPr>
                  </w:pPr>
                  <w:r>
                    <w:rPr>
                      <w:rFonts w:hint="eastAsia"/>
                      <w:b/>
                      <w:bCs/>
                    </w:rPr>
                    <w:t>固体废物属性</w:t>
                  </w:r>
                </w:p>
              </w:tc>
              <w:tc>
                <w:tcPr>
                  <w:tcW w:w="442" w:type="pct"/>
                  <w:noWrap w:val="0"/>
                  <w:vAlign w:val="center"/>
                </w:tcPr>
                <w:p>
                  <w:pPr>
                    <w:pStyle w:val="19"/>
                    <w:bidi w:val="0"/>
                    <w:rPr>
                      <w:b/>
                      <w:bCs/>
                    </w:rPr>
                  </w:pPr>
                  <w:r>
                    <w:rPr>
                      <w:rFonts w:hint="eastAsia"/>
                      <w:b/>
                      <w:bCs/>
                    </w:rPr>
                    <w:t>固废代码</w:t>
                  </w:r>
                </w:p>
              </w:tc>
              <w:tc>
                <w:tcPr>
                  <w:tcW w:w="393" w:type="pct"/>
                  <w:noWrap w:val="0"/>
                  <w:vAlign w:val="center"/>
                </w:tcPr>
                <w:p>
                  <w:pPr>
                    <w:pStyle w:val="19"/>
                    <w:bidi w:val="0"/>
                    <w:rPr>
                      <w:b/>
                      <w:bCs/>
                    </w:rPr>
                  </w:pPr>
                  <w:r>
                    <w:rPr>
                      <w:rFonts w:hint="eastAsia"/>
                      <w:b/>
                      <w:bCs/>
                    </w:rPr>
                    <w:t>主要有毒有害物质</w:t>
                  </w:r>
                </w:p>
              </w:tc>
              <w:tc>
                <w:tcPr>
                  <w:tcW w:w="393" w:type="pct"/>
                  <w:noWrap w:val="0"/>
                  <w:vAlign w:val="center"/>
                </w:tcPr>
                <w:p>
                  <w:pPr>
                    <w:pStyle w:val="19"/>
                    <w:bidi w:val="0"/>
                    <w:rPr>
                      <w:b/>
                      <w:bCs/>
                    </w:rPr>
                  </w:pPr>
                  <w:r>
                    <w:rPr>
                      <w:rFonts w:hint="eastAsia"/>
                      <w:b/>
                      <w:bCs/>
                    </w:rPr>
                    <w:t>物理</w:t>
                  </w:r>
                </w:p>
                <w:p>
                  <w:pPr>
                    <w:pStyle w:val="19"/>
                    <w:bidi w:val="0"/>
                    <w:rPr>
                      <w:b/>
                      <w:bCs/>
                    </w:rPr>
                  </w:pPr>
                  <w:r>
                    <w:rPr>
                      <w:rFonts w:hint="eastAsia"/>
                      <w:b/>
                      <w:bCs/>
                    </w:rPr>
                    <w:t>性状</w:t>
                  </w:r>
                </w:p>
              </w:tc>
              <w:tc>
                <w:tcPr>
                  <w:tcW w:w="393" w:type="pct"/>
                  <w:noWrap w:val="0"/>
                  <w:vAlign w:val="center"/>
                </w:tcPr>
                <w:p>
                  <w:pPr>
                    <w:pStyle w:val="19"/>
                    <w:bidi w:val="0"/>
                    <w:rPr>
                      <w:b/>
                      <w:bCs/>
                    </w:rPr>
                  </w:pPr>
                  <w:r>
                    <w:rPr>
                      <w:rFonts w:hint="eastAsia"/>
                      <w:b/>
                      <w:bCs/>
                    </w:rPr>
                    <w:t>环境危险性</w:t>
                  </w:r>
                </w:p>
              </w:tc>
              <w:tc>
                <w:tcPr>
                  <w:tcW w:w="508" w:type="pct"/>
                  <w:noWrap w:val="0"/>
                  <w:vAlign w:val="center"/>
                </w:tcPr>
                <w:p>
                  <w:pPr>
                    <w:pStyle w:val="19"/>
                    <w:bidi w:val="0"/>
                    <w:rPr>
                      <w:rFonts w:hint="eastAsia" w:eastAsia="宋体"/>
                      <w:b/>
                      <w:bCs/>
                      <w:lang w:eastAsia="zh-CN"/>
                    </w:rPr>
                  </w:pPr>
                  <w:r>
                    <w:rPr>
                      <w:rFonts w:hint="eastAsia"/>
                      <w:b/>
                      <w:bCs/>
                    </w:rPr>
                    <w:t>年度产生量</w:t>
                  </w:r>
                  <w:r>
                    <w:rPr>
                      <w:rFonts w:hint="eastAsia"/>
                      <w:b/>
                      <w:bCs/>
                      <w:lang w:eastAsia="zh-CN"/>
                    </w:rPr>
                    <w:t>(</w:t>
                  </w:r>
                  <w:r>
                    <w:rPr>
                      <w:b/>
                      <w:bCs/>
                    </w:rPr>
                    <w:t>t/a</w:t>
                  </w:r>
                  <w:r>
                    <w:rPr>
                      <w:rFonts w:hint="eastAsia"/>
                      <w:b/>
                      <w:bCs/>
                      <w:lang w:eastAsia="zh-CN"/>
                    </w:rPr>
                    <w:t>)</w:t>
                  </w:r>
                </w:p>
              </w:tc>
              <w:tc>
                <w:tcPr>
                  <w:tcW w:w="393" w:type="pct"/>
                  <w:noWrap w:val="0"/>
                  <w:vAlign w:val="center"/>
                </w:tcPr>
                <w:p>
                  <w:pPr>
                    <w:pStyle w:val="19"/>
                    <w:bidi w:val="0"/>
                    <w:rPr>
                      <w:b/>
                      <w:bCs/>
                    </w:rPr>
                  </w:pPr>
                  <w:r>
                    <w:rPr>
                      <w:rFonts w:hint="eastAsia"/>
                      <w:b/>
                      <w:bCs/>
                    </w:rPr>
                    <w:t>贮存方式</w:t>
                  </w:r>
                </w:p>
              </w:tc>
              <w:tc>
                <w:tcPr>
                  <w:tcW w:w="393" w:type="pct"/>
                  <w:noWrap w:val="0"/>
                  <w:vAlign w:val="center"/>
                </w:tcPr>
                <w:p>
                  <w:pPr>
                    <w:pStyle w:val="19"/>
                    <w:bidi w:val="0"/>
                    <w:rPr>
                      <w:b/>
                      <w:bCs/>
                    </w:rPr>
                  </w:pPr>
                  <w:r>
                    <w:rPr>
                      <w:rFonts w:hint="eastAsia"/>
                      <w:b/>
                      <w:bCs/>
                    </w:rPr>
                    <w:t>处置</w:t>
                  </w:r>
                  <w:r>
                    <w:rPr>
                      <w:b/>
                      <w:bCs/>
                    </w:rPr>
                    <w:t>/</w:t>
                  </w:r>
                  <w:r>
                    <w:rPr>
                      <w:rFonts w:hint="eastAsia"/>
                      <w:b/>
                      <w:bCs/>
                    </w:rPr>
                    <w:t>利用方式</w:t>
                  </w:r>
                </w:p>
              </w:tc>
              <w:tc>
                <w:tcPr>
                  <w:tcW w:w="509" w:type="pct"/>
                  <w:noWrap w:val="0"/>
                  <w:vAlign w:val="center"/>
                </w:tcPr>
                <w:p>
                  <w:pPr>
                    <w:pStyle w:val="19"/>
                    <w:bidi w:val="0"/>
                    <w:rPr>
                      <w:rFonts w:hint="eastAsia" w:eastAsia="宋体"/>
                      <w:b/>
                      <w:bCs/>
                      <w:lang w:eastAsia="zh-CN"/>
                    </w:rPr>
                  </w:pPr>
                  <w:r>
                    <w:rPr>
                      <w:rFonts w:hint="eastAsia"/>
                      <w:b/>
                      <w:bCs/>
                    </w:rPr>
                    <w:t>利用</w:t>
                  </w:r>
                  <w:r>
                    <w:rPr>
                      <w:b/>
                      <w:bCs/>
                    </w:rPr>
                    <w:t>/</w:t>
                  </w:r>
                  <w:r>
                    <w:rPr>
                      <w:rFonts w:hint="eastAsia"/>
                      <w:b/>
                      <w:bCs/>
                    </w:rPr>
                    <w:t>处置量</w:t>
                  </w:r>
                  <w:r>
                    <w:rPr>
                      <w:rFonts w:hint="eastAsia"/>
                      <w:b/>
                      <w:bCs/>
                      <w:lang w:eastAsia="zh-CN"/>
                    </w:rPr>
                    <w:t>(</w:t>
                  </w:r>
                  <w:r>
                    <w:rPr>
                      <w:b/>
                      <w:bCs/>
                    </w:rPr>
                    <w:t>t/a</w:t>
                  </w:r>
                  <w:r>
                    <w:rPr>
                      <w:rFonts w:hint="eastAsia"/>
                      <w:b/>
                      <w:bCs/>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7" w:type="pct"/>
                  <w:noWrap w:val="0"/>
                  <w:vAlign w:val="center"/>
                </w:tcPr>
                <w:p>
                  <w:pPr>
                    <w:pStyle w:val="19"/>
                    <w:bidi w:val="0"/>
                  </w:pPr>
                  <w:r>
                    <w:rPr>
                      <w:rFonts w:hint="eastAsia"/>
                      <w:color w:val="auto"/>
                      <w:vertAlign w:val="baseline"/>
                      <w:lang w:val="en-US" w:eastAsia="zh-CN"/>
                    </w:rPr>
                    <w:t>S1</w:t>
                  </w:r>
                </w:p>
              </w:tc>
              <w:tc>
                <w:tcPr>
                  <w:tcW w:w="519" w:type="pct"/>
                  <w:noWrap w:val="0"/>
                  <w:vAlign w:val="center"/>
                </w:tcPr>
                <w:p>
                  <w:pPr>
                    <w:pStyle w:val="19"/>
                    <w:bidi w:val="0"/>
                  </w:pPr>
                  <w:r>
                    <w:rPr>
                      <w:rFonts w:hint="eastAsia"/>
                      <w:color w:val="auto"/>
                      <w:kern w:val="0"/>
                      <w:lang w:val="en-US" w:eastAsia="zh-CN"/>
                    </w:rPr>
                    <w:t>电弧炉冶炼</w:t>
                  </w:r>
                </w:p>
              </w:tc>
              <w:tc>
                <w:tcPr>
                  <w:tcW w:w="393" w:type="pct"/>
                  <w:noWrap w:val="0"/>
                  <w:vAlign w:val="center"/>
                </w:tcPr>
                <w:p>
                  <w:pPr>
                    <w:pStyle w:val="19"/>
                    <w:bidi w:val="0"/>
                    <w:rPr>
                      <w:rFonts w:hint="default" w:eastAsia="宋体"/>
                      <w:lang w:val="en-US" w:eastAsia="zh-CN"/>
                    </w:rPr>
                  </w:pPr>
                  <w:r>
                    <w:rPr>
                      <w:rFonts w:hint="eastAsia"/>
                      <w:lang w:val="en-US" w:eastAsia="zh-CN"/>
                    </w:rPr>
                    <w:t>冶炼废渣</w:t>
                  </w:r>
                </w:p>
              </w:tc>
              <w:tc>
                <w:tcPr>
                  <w:tcW w:w="393" w:type="pct"/>
                  <w:vMerge w:val="restart"/>
                  <w:noWrap w:val="0"/>
                  <w:vAlign w:val="center"/>
                </w:tcPr>
                <w:p>
                  <w:pPr>
                    <w:pStyle w:val="19"/>
                    <w:bidi w:val="0"/>
                  </w:pPr>
                  <w:r>
                    <w:rPr>
                      <w:rFonts w:hint="eastAsia"/>
                    </w:rPr>
                    <w:t>一般固废</w:t>
                  </w:r>
                </w:p>
              </w:tc>
              <w:tc>
                <w:tcPr>
                  <w:tcW w:w="442"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default" w:eastAsia="宋体"/>
                      <w:lang w:val="en-US" w:eastAsia="zh-CN"/>
                    </w:rPr>
                  </w:pPr>
                  <w:r>
                    <w:rPr>
                      <w:rFonts w:hint="eastAsia"/>
                      <w:lang w:val="en-US" w:eastAsia="zh-CN"/>
                    </w:rPr>
                    <w:t>固态</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508" w:type="pct"/>
                  <w:noWrap w:val="0"/>
                  <w:vAlign w:val="center"/>
                </w:tcPr>
                <w:p>
                  <w:pPr>
                    <w:pStyle w:val="19"/>
                    <w:bidi w:val="0"/>
                    <w:rPr>
                      <w:rFonts w:hint="default" w:eastAsia="宋体"/>
                      <w:lang w:val="en-US" w:eastAsia="zh-CN"/>
                    </w:rPr>
                  </w:pPr>
                  <w:r>
                    <w:rPr>
                      <w:rFonts w:hint="eastAsia"/>
                      <w:lang w:val="en-US" w:eastAsia="zh-CN"/>
                    </w:rPr>
                    <w:t>3357</w:t>
                  </w:r>
                </w:p>
              </w:tc>
              <w:tc>
                <w:tcPr>
                  <w:tcW w:w="393" w:type="pct"/>
                  <w:noWrap w:val="0"/>
                  <w:vAlign w:val="center"/>
                </w:tcPr>
                <w:p>
                  <w:pPr>
                    <w:pStyle w:val="19"/>
                    <w:bidi w:val="0"/>
                    <w:rPr>
                      <w:rFonts w:hint="eastAsia" w:eastAsia="宋体"/>
                      <w:lang w:val="en-US" w:eastAsia="zh-CN"/>
                    </w:rPr>
                  </w:pPr>
                  <w:r>
                    <w:rPr>
                      <w:rFonts w:hint="eastAsia"/>
                      <w:lang w:val="en-US" w:eastAsia="zh-CN"/>
                    </w:rPr>
                    <w:t>堆存</w:t>
                  </w:r>
                </w:p>
              </w:tc>
              <w:tc>
                <w:tcPr>
                  <w:tcW w:w="393" w:type="pct"/>
                  <w:vMerge w:val="restart"/>
                  <w:noWrap w:val="0"/>
                  <w:vAlign w:val="center"/>
                </w:tcPr>
                <w:p>
                  <w:pPr>
                    <w:pStyle w:val="19"/>
                    <w:bidi w:val="0"/>
                    <w:rPr>
                      <w:rFonts w:hint="default" w:eastAsia="宋体"/>
                      <w:lang w:val="en-US" w:eastAsia="zh-CN"/>
                    </w:rPr>
                  </w:pPr>
                  <w:r>
                    <w:rPr>
                      <w:rFonts w:hint="eastAsia"/>
                      <w:lang w:val="en-US" w:eastAsia="zh-CN"/>
                    </w:rPr>
                    <w:t>外售综合利用</w:t>
                  </w:r>
                </w:p>
              </w:tc>
              <w:tc>
                <w:tcPr>
                  <w:tcW w:w="509" w:type="pct"/>
                  <w:noWrap w:val="0"/>
                  <w:vAlign w:val="center"/>
                </w:tcPr>
                <w:p>
                  <w:pPr>
                    <w:pStyle w:val="19"/>
                    <w:bidi w:val="0"/>
                    <w:ind w:firstLine="0" w:firstLineChars="0"/>
                  </w:pPr>
                  <w:r>
                    <w:rPr>
                      <w:rFonts w:hint="eastAsia"/>
                      <w:lang w:val="en-US" w:eastAsia="zh-CN"/>
                    </w:rPr>
                    <w:t>3357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7" w:type="pct"/>
                  <w:noWrap w:val="0"/>
                  <w:vAlign w:val="center"/>
                </w:tcPr>
                <w:p>
                  <w:pPr>
                    <w:pStyle w:val="19"/>
                    <w:bidi w:val="0"/>
                    <w:rPr>
                      <w:rFonts w:hint="eastAsia"/>
                    </w:rPr>
                  </w:pPr>
                  <w:r>
                    <w:rPr>
                      <w:rFonts w:hint="eastAsia"/>
                      <w:color w:val="auto"/>
                      <w:lang w:val="en-US" w:eastAsia="zh-CN"/>
                    </w:rPr>
                    <w:t>S2</w:t>
                  </w:r>
                </w:p>
              </w:tc>
              <w:tc>
                <w:tcPr>
                  <w:tcW w:w="519" w:type="pct"/>
                  <w:noWrap w:val="0"/>
                  <w:vAlign w:val="center"/>
                </w:tcPr>
                <w:p>
                  <w:pPr>
                    <w:pStyle w:val="19"/>
                    <w:bidi w:val="0"/>
                    <w:rPr>
                      <w:rFonts w:hint="default" w:eastAsia="宋体"/>
                      <w:lang w:val="en-US" w:eastAsia="zh-CN"/>
                    </w:rPr>
                  </w:pPr>
                  <w:r>
                    <w:rPr>
                      <w:rFonts w:hint="eastAsia"/>
                      <w:lang w:val="en-US" w:eastAsia="zh-CN"/>
                    </w:rPr>
                    <w:t>钢包车</w:t>
                  </w:r>
                </w:p>
              </w:tc>
              <w:tc>
                <w:tcPr>
                  <w:tcW w:w="393" w:type="pct"/>
                  <w:noWrap w:val="0"/>
                  <w:vAlign w:val="center"/>
                </w:tcPr>
                <w:p>
                  <w:pPr>
                    <w:pStyle w:val="19"/>
                    <w:bidi w:val="0"/>
                    <w:rPr>
                      <w:rFonts w:hint="eastAsia"/>
                    </w:rPr>
                  </w:pPr>
                  <w:r>
                    <w:rPr>
                      <w:rFonts w:hint="eastAsia"/>
                      <w:lang w:val="en-US" w:eastAsia="zh-CN"/>
                    </w:rPr>
                    <w:t>冶炼废渣</w:t>
                  </w:r>
                </w:p>
              </w:tc>
              <w:tc>
                <w:tcPr>
                  <w:tcW w:w="393" w:type="pct"/>
                  <w:vMerge w:val="continue"/>
                  <w:noWrap w:val="0"/>
                  <w:vAlign w:val="center"/>
                </w:tcPr>
                <w:p>
                  <w:pPr>
                    <w:pStyle w:val="19"/>
                    <w:bidi w:val="0"/>
                    <w:rPr>
                      <w:rFonts w:hint="eastAsia"/>
                    </w:rPr>
                  </w:pPr>
                </w:p>
              </w:tc>
              <w:tc>
                <w:tcPr>
                  <w:tcW w:w="442"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eastAsia"/>
                    </w:rPr>
                  </w:pPr>
                  <w:r>
                    <w:rPr>
                      <w:rFonts w:hint="eastAsia"/>
                      <w:lang w:val="en-US" w:eastAsia="zh-CN"/>
                    </w:rPr>
                    <w:t>固态</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508" w:type="pct"/>
                  <w:noWrap w:val="0"/>
                  <w:vAlign w:val="center"/>
                </w:tcPr>
                <w:p>
                  <w:pPr>
                    <w:pStyle w:val="19"/>
                    <w:bidi w:val="0"/>
                    <w:rPr>
                      <w:rFonts w:hint="default" w:eastAsia="宋体"/>
                      <w:lang w:val="en-US" w:eastAsia="zh-CN"/>
                    </w:rPr>
                  </w:pPr>
                  <w:r>
                    <w:rPr>
                      <w:rFonts w:hint="eastAsia"/>
                      <w:lang w:val="en-US" w:eastAsia="zh-CN"/>
                    </w:rPr>
                    <w:t>50</w:t>
                  </w:r>
                </w:p>
              </w:tc>
              <w:tc>
                <w:tcPr>
                  <w:tcW w:w="393" w:type="pct"/>
                  <w:noWrap w:val="0"/>
                  <w:vAlign w:val="center"/>
                </w:tcPr>
                <w:p>
                  <w:pPr>
                    <w:pStyle w:val="19"/>
                    <w:bidi w:val="0"/>
                    <w:rPr>
                      <w:rFonts w:hint="eastAsia"/>
                    </w:rPr>
                  </w:pPr>
                  <w:r>
                    <w:rPr>
                      <w:rFonts w:hint="eastAsia"/>
                      <w:lang w:val="en-US" w:eastAsia="zh-CN"/>
                    </w:rPr>
                    <w:t>堆存</w:t>
                  </w:r>
                </w:p>
              </w:tc>
              <w:tc>
                <w:tcPr>
                  <w:tcW w:w="393" w:type="pct"/>
                  <w:vMerge w:val="continue"/>
                  <w:noWrap w:val="0"/>
                  <w:vAlign w:val="center"/>
                </w:tcPr>
                <w:p>
                  <w:pPr>
                    <w:pStyle w:val="19"/>
                    <w:bidi w:val="0"/>
                    <w:rPr>
                      <w:rFonts w:hint="eastAsia"/>
                    </w:rPr>
                  </w:pPr>
                </w:p>
              </w:tc>
              <w:tc>
                <w:tcPr>
                  <w:tcW w:w="509" w:type="pct"/>
                  <w:noWrap w:val="0"/>
                  <w:vAlign w:val="center"/>
                </w:tcPr>
                <w:p>
                  <w:pPr>
                    <w:pStyle w:val="19"/>
                    <w:bidi w:val="0"/>
                    <w:ind w:firstLine="0" w:firstLineChars="0"/>
                    <w:rPr>
                      <w:rFonts w:hint="eastAsia"/>
                    </w:rPr>
                  </w:pPr>
                  <w:r>
                    <w:rPr>
                      <w:rFonts w:hint="eastAsia"/>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7" w:type="pct"/>
                  <w:noWrap w:val="0"/>
                  <w:vAlign w:val="center"/>
                </w:tcPr>
                <w:p>
                  <w:pPr>
                    <w:pStyle w:val="19"/>
                    <w:bidi w:val="0"/>
                    <w:ind w:firstLine="0" w:firstLineChars="0"/>
                    <w:rPr>
                      <w:rFonts w:hint="default" w:eastAsia="宋体"/>
                      <w:lang w:val="en-US" w:eastAsia="zh-CN"/>
                    </w:rPr>
                  </w:pPr>
                  <w:r>
                    <w:rPr>
                      <w:rFonts w:hint="eastAsia"/>
                      <w:color w:val="auto"/>
                      <w:vertAlign w:val="baseline"/>
                      <w:lang w:val="en-US" w:eastAsia="zh-CN"/>
                    </w:rPr>
                    <w:t>S3</w:t>
                  </w:r>
                </w:p>
              </w:tc>
              <w:tc>
                <w:tcPr>
                  <w:tcW w:w="519" w:type="pct"/>
                  <w:noWrap w:val="0"/>
                  <w:vAlign w:val="center"/>
                </w:tcPr>
                <w:p>
                  <w:pPr>
                    <w:pStyle w:val="19"/>
                    <w:bidi w:val="0"/>
                    <w:ind w:firstLine="0" w:firstLineChars="0"/>
                    <w:rPr>
                      <w:rFonts w:hint="eastAsia"/>
                    </w:rPr>
                  </w:pPr>
                  <w:r>
                    <w:rPr>
                      <w:rFonts w:hint="eastAsia"/>
                      <w:color w:val="auto"/>
                      <w:kern w:val="0"/>
                      <w:lang w:val="en-US" w:eastAsia="zh-CN"/>
                    </w:rPr>
                    <w:t>AOD炉精炼</w:t>
                  </w:r>
                </w:p>
              </w:tc>
              <w:tc>
                <w:tcPr>
                  <w:tcW w:w="393" w:type="pct"/>
                  <w:noWrap w:val="0"/>
                  <w:vAlign w:val="center"/>
                </w:tcPr>
                <w:p>
                  <w:pPr>
                    <w:pStyle w:val="19"/>
                    <w:bidi w:val="0"/>
                    <w:ind w:firstLine="0" w:firstLineChars="0"/>
                    <w:rPr>
                      <w:rFonts w:hint="eastAsia" w:eastAsia="宋体"/>
                      <w:lang w:val="en-US" w:eastAsia="zh-CN"/>
                    </w:rPr>
                  </w:pPr>
                  <w:r>
                    <w:rPr>
                      <w:rFonts w:hint="eastAsia"/>
                      <w:lang w:val="en-US" w:eastAsia="zh-CN"/>
                    </w:rPr>
                    <w:t>冶炼废渣</w:t>
                  </w:r>
                </w:p>
              </w:tc>
              <w:tc>
                <w:tcPr>
                  <w:tcW w:w="393" w:type="pct"/>
                  <w:vMerge w:val="continue"/>
                  <w:noWrap w:val="0"/>
                  <w:vAlign w:val="center"/>
                </w:tcPr>
                <w:p>
                  <w:pPr>
                    <w:pStyle w:val="19"/>
                    <w:bidi w:val="0"/>
                    <w:rPr>
                      <w:rFonts w:hint="eastAsia"/>
                    </w:rPr>
                  </w:pPr>
                </w:p>
              </w:tc>
              <w:tc>
                <w:tcPr>
                  <w:tcW w:w="442"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eastAsia"/>
                    </w:rPr>
                  </w:pPr>
                  <w:r>
                    <w:rPr>
                      <w:rFonts w:hint="eastAsia"/>
                      <w:lang w:val="en-US" w:eastAsia="zh-CN"/>
                    </w:rPr>
                    <w:t>固态</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508" w:type="pct"/>
                  <w:noWrap w:val="0"/>
                  <w:vAlign w:val="center"/>
                </w:tcPr>
                <w:p>
                  <w:pPr>
                    <w:pStyle w:val="19"/>
                    <w:bidi w:val="0"/>
                    <w:rPr>
                      <w:rFonts w:hint="default" w:eastAsia="宋体"/>
                      <w:lang w:val="en-US" w:eastAsia="zh-CN"/>
                    </w:rPr>
                  </w:pPr>
                  <w:r>
                    <w:rPr>
                      <w:rFonts w:hint="eastAsia"/>
                      <w:lang w:val="en-US" w:eastAsia="zh-CN"/>
                    </w:rPr>
                    <w:t>2704.43</w:t>
                  </w:r>
                </w:p>
              </w:tc>
              <w:tc>
                <w:tcPr>
                  <w:tcW w:w="393" w:type="pct"/>
                  <w:noWrap w:val="0"/>
                  <w:vAlign w:val="center"/>
                </w:tcPr>
                <w:p>
                  <w:pPr>
                    <w:pStyle w:val="19"/>
                    <w:bidi w:val="0"/>
                    <w:rPr>
                      <w:rFonts w:hint="eastAsia"/>
                    </w:rPr>
                  </w:pPr>
                  <w:r>
                    <w:rPr>
                      <w:rFonts w:hint="eastAsia"/>
                      <w:lang w:val="en-US" w:eastAsia="zh-CN"/>
                    </w:rPr>
                    <w:t>堆存</w:t>
                  </w:r>
                </w:p>
              </w:tc>
              <w:tc>
                <w:tcPr>
                  <w:tcW w:w="393" w:type="pct"/>
                  <w:vMerge w:val="continue"/>
                  <w:noWrap w:val="0"/>
                  <w:vAlign w:val="center"/>
                </w:tcPr>
                <w:p>
                  <w:pPr>
                    <w:pStyle w:val="19"/>
                    <w:bidi w:val="0"/>
                    <w:rPr>
                      <w:rFonts w:hint="eastAsia"/>
                    </w:rPr>
                  </w:pPr>
                </w:p>
              </w:tc>
              <w:tc>
                <w:tcPr>
                  <w:tcW w:w="509" w:type="pct"/>
                  <w:noWrap w:val="0"/>
                  <w:vAlign w:val="center"/>
                </w:tcPr>
                <w:p>
                  <w:pPr>
                    <w:pStyle w:val="19"/>
                    <w:bidi w:val="0"/>
                    <w:ind w:firstLine="0" w:firstLineChars="0"/>
                    <w:rPr>
                      <w:rFonts w:hint="eastAsia"/>
                    </w:rPr>
                  </w:pPr>
                  <w:r>
                    <w:rPr>
                      <w:rFonts w:hint="eastAsia"/>
                      <w:lang w:val="en-US" w:eastAsia="zh-CN"/>
                    </w:rPr>
                    <w:t>2704.43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7" w:type="pct"/>
                  <w:noWrap w:val="0"/>
                  <w:vAlign w:val="center"/>
                </w:tcPr>
                <w:p>
                  <w:pPr>
                    <w:pStyle w:val="19"/>
                    <w:bidi w:val="0"/>
                    <w:ind w:firstLine="0" w:firstLineChars="0"/>
                    <w:rPr>
                      <w:rFonts w:hint="eastAsia"/>
                      <w:lang w:val="en-US" w:eastAsia="zh-CN"/>
                    </w:rPr>
                  </w:pPr>
                  <w:r>
                    <w:rPr>
                      <w:rFonts w:hint="eastAsia"/>
                      <w:color w:val="auto"/>
                      <w:vertAlign w:val="baseline"/>
                      <w:lang w:val="en-US" w:eastAsia="zh-CN"/>
                    </w:rPr>
                    <w:t>S4</w:t>
                  </w:r>
                </w:p>
              </w:tc>
              <w:tc>
                <w:tcPr>
                  <w:tcW w:w="519" w:type="pct"/>
                  <w:noWrap w:val="0"/>
                  <w:vAlign w:val="center"/>
                </w:tcPr>
                <w:p>
                  <w:pPr>
                    <w:pStyle w:val="19"/>
                    <w:bidi w:val="0"/>
                    <w:ind w:firstLine="0" w:firstLineChars="0"/>
                    <w:rPr>
                      <w:rFonts w:hint="eastAsia"/>
                      <w:color w:val="auto"/>
                      <w:lang w:val="en-US" w:eastAsia="zh-CN"/>
                    </w:rPr>
                  </w:pPr>
                  <w:r>
                    <w:rPr>
                      <w:rFonts w:hint="eastAsia"/>
                      <w:color w:val="auto"/>
                      <w:kern w:val="0"/>
                      <w:lang w:val="en-US" w:eastAsia="zh-CN"/>
                    </w:rPr>
                    <w:t>LF炉精炼</w:t>
                  </w:r>
                </w:p>
              </w:tc>
              <w:tc>
                <w:tcPr>
                  <w:tcW w:w="393" w:type="pct"/>
                  <w:noWrap w:val="0"/>
                  <w:vAlign w:val="center"/>
                </w:tcPr>
                <w:p>
                  <w:pPr>
                    <w:pStyle w:val="19"/>
                    <w:bidi w:val="0"/>
                    <w:ind w:firstLine="0" w:firstLineChars="0"/>
                    <w:rPr>
                      <w:rFonts w:hint="eastAsia"/>
                      <w:lang w:val="en-US" w:eastAsia="zh-CN"/>
                    </w:rPr>
                  </w:pPr>
                  <w:r>
                    <w:rPr>
                      <w:rFonts w:hint="eastAsia"/>
                      <w:lang w:val="en-US" w:eastAsia="zh-CN"/>
                    </w:rPr>
                    <w:t>冶炼废渣</w:t>
                  </w:r>
                </w:p>
              </w:tc>
              <w:tc>
                <w:tcPr>
                  <w:tcW w:w="393" w:type="pct"/>
                  <w:vMerge w:val="continue"/>
                  <w:noWrap w:val="0"/>
                  <w:vAlign w:val="center"/>
                </w:tcPr>
                <w:p>
                  <w:pPr>
                    <w:pStyle w:val="19"/>
                    <w:bidi w:val="0"/>
                    <w:rPr>
                      <w:rFonts w:hint="eastAsia"/>
                    </w:rPr>
                  </w:pPr>
                </w:p>
              </w:tc>
              <w:tc>
                <w:tcPr>
                  <w:tcW w:w="442"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default"/>
                      <w:lang w:val="en-US" w:eastAsia="zh-CN"/>
                    </w:rPr>
                  </w:pPr>
                  <w:r>
                    <w:rPr>
                      <w:rFonts w:hint="eastAsia"/>
                      <w:lang w:val="en-US" w:eastAsia="zh-CN"/>
                    </w:rPr>
                    <w:t>/</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固态</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508" w:type="pct"/>
                  <w:noWrap w:val="0"/>
                  <w:vAlign w:val="center"/>
                </w:tcPr>
                <w:p>
                  <w:pPr>
                    <w:pStyle w:val="19"/>
                    <w:bidi w:val="0"/>
                    <w:rPr>
                      <w:rFonts w:hint="default" w:eastAsia="宋体"/>
                      <w:lang w:val="en-US" w:eastAsia="zh-CN"/>
                    </w:rPr>
                  </w:pPr>
                  <w:r>
                    <w:rPr>
                      <w:rFonts w:hint="eastAsia"/>
                      <w:lang w:val="en-US" w:eastAsia="zh-CN"/>
                    </w:rPr>
                    <w:t>154.98</w:t>
                  </w:r>
                </w:p>
              </w:tc>
              <w:tc>
                <w:tcPr>
                  <w:tcW w:w="393" w:type="pct"/>
                  <w:noWrap w:val="0"/>
                  <w:vAlign w:val="center"/>
                </w:tcPr>
                <w:p>
                  <w:pPr>
                    <w:pStyle w:val="19"/>
                    <w:bidi w:val="0"/>
                    <w:rPr>
                      <w:rFonts w:hint="eastAsia"/>
                    </w:rPr>
                  </w:pPr>
                  <w:r>
                    <w:rPr>
                      <w:rFonts w:hint="eastAsia"/>
                      <w:lang w:val="en-US" w:eastAsia="zh-CN"/>
                    </w:rPr>
                    <w:t>堆存</w:t>
                  </w:r>
                </w:p>
              </w:tc>
              <w:tc>
                <w:tcPr>
                  <w:tcW w:w="393" w:type="pct"/>
                  <w:vMerge w:val="continue"/>
                  <w:noWrap w:val="0"/>
                  <w:vAlign w:val="center"/>
                </w:tcPr>
                <w:p>
                  <w:pPr>
                    <w:pStyle w:val="19"/>
                    <w:bidi w:val="0"/>
                    <w:rPr>
                      <w:rFonts w:hint="eastAsia"/>
                    </w:rPr>
                  </w:pPr>
                </w:p>
              </w:tc>
              <w:tc>
                <w:tcPr>
                  <w:tcW w:w="509" w:type="pct"/>
                  <w:noWrap w:val="0"/>
                  <w:vAlign w:val="center"/>
                </w:tcPr>
                <w:p>
                  <w:pPr>
                    <w:pStyle w:val="19"/>
                    <w:bidi w:val="0"/>
                    <w:ind w:firstLine="0" w:firstLineChars="0"/>
                    <w:rPr>
                      <w:rFonts w:hint="eastAsia"/>
                    </w:rPr>
                  </w:pPr>
                  <w:r>
                    <w:rPr>
                      <w:rFonts w:hint="eastAsia"/>
                      <w:lang w:val="en-US" w:eastAsia="zh-CN"/>
                    </w:rPr>
                    <w:t>154.98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7" w:type="pct"/>
                  <w:noWrap w:val="0"/>
                  <w:vAlign w:val="center"/>
                </w:tcPr>
                <w:p>
                  <w:pPr>
                    <w:pStyle w:val="19"/>
                    <w:bidi w:val="0"/>
                    <w:ind w:firstLine="0" w:firstLineChars="0"/>
                    <w:rPr>
                      <w:rFonts w:hint="eastAsia"/>
                      <w:lang w:val="en-US" w:eastAsia="zh-CN"/>
                    </w:rPr>
                  </w:pPr>
                  <w:r>
                    <w:rPr>
                      <w:rFonts w:hint="eastAsia"/>
                      <w:color w:val="auto"/>
                      <w:vertAlign w:val="baseline"/>
                      <w:lang w:val="en-US" w:eastAsia="zh-CN"/>
                    </w:rPr>
                    <w:t>S5</w:t>
                  </w:r>
                </w:p>
              </w:tc>
              <w:tc>
                <w:tcPr>
                  <w:tcW w:w="519" w:type="pct"/>
                  <w:noWrap w:val="0"/>
                  <w:vAlign w:val="center"/>
                </w:tcPr>
                <w:p>
                  <w:pPr>
                    <w:pStyle w:val="19"/>
                    <w:bidi w:val="0"/>
                    <w:ind w:firstLine="0" w:firstLineChars="0"/>
                    <w:rPr>
                      <w:rFonts w:hint="eastAsia"/>
                      <w:color w:val="auto"/>
                      <w:lang w:val="en-US" w:eastAsia="zh-CN"/>
                    </w:rPr>
                  </w:pPr>
                  <w:r>
                    <w:rPr>
                      <w:rFonts w:hint="eastAsia"/>
                      <w:color w:val="auto"/>
                      <w:kern w:val="0"/>
                      <w:lang w:val="en-US" w:eastAsia="zh-CN"/>
                    </w:rPr>
                    <w:t>VOD炉精炼</w:t>
                  </w:r>
                </w:p>
              </w:tc>
              <w:tc>
                <w:tcPr>
                  <w:tcW w:w="393" w:type="pct"/>
                  <w:noWrap w:val="0"/>
                  <w:vAlign w:val="center"/>
                </w:tcPr>
                <w:p>
                  <w:pPr>
                    <w:pStyle w:val="19"/>
                    <w:bidi w:val="0"/>
                    <w:ind w:firstLine="0" w:firstLineChars="0"/>
                    <w:rPr>
                      <w:rFonts w:hint="eastAsia"/>
                      <w:lang w:val="en-US" w:eastAsia="zh-CN"/>
                    </w:rPr>
                  </w:pPr>
                  <w:r>
                    <w:rPr>
                      <w:rFonts w:hint="eastAsia"/>
                      <w:lang w:val="en-US" w:eastAsia="zh-CN"/>
                    </w:rPr>
                    <w:t>冶炼废渣</w:t>
                  </w:r>
                </w:p>
              </w:tc>
              <w:tc>
                <w:tcPr>
                  <w:tcW w:w="393" w:type="pct"/>
                  <w:vMerge w:val="continue"/>
                  <w:noWrap w:val="0"/>
                  <w:vAlign w:val="center"/>
                </w:tcPr>
                <w:p>
                  <w:pPr>
                    <w:pStyle w:val="19"/>
                    <w:bidi w:val="0"/>
                    <w:rPr>
                      <w:rFonts w:hint="eastAsia"/>
                    </w:rPr>
                  </w:pPr>
                </w:p>
              </w:tc>
              <w:tc>
                <w:tcPr>
                  <w:tcW w:w="442"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default"/>
                      <w:lang w:val="en-US" w:eastAsia="zh-CN"/>
                    </w:rPr>
                  </w:pPr>
                  <w:r>
                    <w:rPr>
                      <w:rFonts w:hint="eastAsia"/>
                      <w:lang w:val="en-US" w:eastAsia="zh-CN"/>
                    </w:rPr>
                    <w:t>/</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固态</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508" w:type="pct"/>
                  <w:noWrap w:val="0"/>
                  <w:vAlign w:val="center"/>
                </w:tcPr>
                <w:p>
                  <w:pPr>
                    <w:pStyle w:val="19"/>
                    <w:bidi w:val="0"/>
                    <w:rPr>
                      <w:rFonts w:hint="default" w:eastAsia="宋体"/>
                      <w:lang w:val="en-US" w:eastAsia="zh-CN"/>
                    </w:rPr>
                  </w:pPr>
                  <w:r>
                    <w:rPr>
                      <w:rFonts w:hint="eastAsia"/>
                      <w:lang w:val="en-US" w:eastAsia="zh-CN"/>
                    </w:rPr>
                    <w:t>12.22</w:t>
                  </w:r>
                </w:p>
              </w:tc>
              <w:tc>
                <w:tcPr>
                  <w:tcW w:w="393" w:type="pct"/>
                  <w:noWrap w:val="0"/>
                  <w:vAlign w:val="center"/>
                </w:tcPr>
                <w:p>
                  <w:pPr>
                    <w:pStyle w:val="19"/>
                    <w:bidi w:val="0"/>
                    <w:rPr>
                      <w:rFonts w:hint="eastAsia"/>
                    </w:rPr>
                  </w:pPr>
                  <w:r>
                    <w:rPr>
                      <w:rFonts w:hint="eastAsia"/>
                      <w:lang w:val="en-US" w:eastAsia="zh-CN"/>
                    </w:rPr>
                    <w:t>堆存</w:t>
                  </w:r>
                </w:p>
              </w:tc>
              <w:tc>
                <w:tcPr>
                  <w:tcW w:w="393" w:type="pct"/>
                  <w:vMerge w:val="continue"/>
                  <w:noWrap w:val="0"/>
                  <w:vAlign w:val="center"/>
                </w:tcPr>
                <w:p>
                  <w:pPr>
                    <w:pStyle w:val="19"/>
                    <w:bidi w:val="0"/>
                    <w:rPr>
                      <w:rFonts w:hint="eastAsia"/>
                    </w:rPr>
                  </w:pPr>
                </w:p>
              </w:tc>
              <w:tc>
                <w:tcPr>
                  <w:tcW w:w="509" w:type="pct"/>
                  <w:noWrap w:val="0"/>
                  <w:vAlign w:val="center"/>
                </w:tcPr>
                <w:p>
                  <w:pPr>
                    <w:pStyle w:val="19"/>
                    <w:bidi w:val="0"/>
                    <w:ind w:firstLine="0" w:firstLineChars="0"/>
                    <w:rPr>
                      <w:rFonts w:hint="eastAsia"/>
                    </w:rPr>
                  </w:pPr>
                  <w:r>
                    <w:rPr>
                      <w:rFonts w:hint="eastAsia"/>
                      <w:lang w:val="en-US" w:eastAsia="zh-CN"/>
                    </w:rPr>
                    <w:t>12.22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7"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S6</w:t>
                  </w:r>
                </w:p>
              </w:tc>
              <w:tc>
                <w:tcPr>
                  <w:tcW w:w="519"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color w:val="auto"/>
                      <w:lang w:val="en-US" w:eastAsia="zh-CN"/>
                    </w:rPr>
                    <w:t>浇铸</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钢渣</w:t>
                  </w:r>
                </w:p>
              </w:tc>
              <w:tc>
                <w:tcPr>
                  <w:tcW w:w="393" w:type="pct"/>
                  <w:vMerge w:val="continue"/>
                  <w:noWrap w:val="0"/>
                  <w:vAlign w:val="center"/>
                </w:tcPr>
                <w:p>
                  <w:pPr>
                    <w:pStyle w:val="19"/>
                    <w:bidi w:val="0"/>
                    <w:rPr>
                      <w:rFonts w:hint="eastAsia"/>
                    </w:rPr>
                  </w:pPr>
                </w:p>
              </w:tc>
              <w:tc>
                <w:tcPr>
                  <w:tcW w:w="442"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default"/>
                      <w:lang w:val="en-US" w:eastAsia="zh-CN"/>
                    </w:rPr>
                  </w:pPr>
                  <w:r>
                    <w:rPr>
                      <w:rFonts w:hint="eastAsia"/>
                      <w:lang w:val="en-US" w:eastAsia="zh-CN"/>
                    </w:rPr>
                    <w:t>/</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固态</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508" w:type="pct"/>
                  <w:noWrap w:val="0"/>
                  <w:vAlign w:val="center"/>
                </w:tcPr>
                <w:p>
                  <w:pPr>
                    <w:pStyle w:val="19"/>
                    <w:bidi w:val="0"/>
                    <w:rPr>
                      <w:rFonts w:hint="default" w:eastAsia="宋体"/>
                      <w:lang w:val="en-US" w:eastAsia="zh-CN"/>
                    </w:rPr>
                  </w:pPr>
                  <w:r>
                    <w:rPr>
                      <w:rFonts w:hint="eastAsia"/>
                      <w:lang w:val="en-US" w:eastAsia="zh-CN"/>
                    </w:rPr>
                    <w:t>616.16</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393" w:type="pct"/>
                  <w:vMerge w:val="restart"/>
                  <w:noWrap w:val="0"/>
                  <w:vAlign w:val="center"/>
                </w:tcPr>
                <w:p>
                  <w:pPr>
                    <w:pStyle w:val="19"/>
                    <w:bidi w:val="0"/>
                    <w:rPr>
                      <w:rFonts w:hint="eastAsia" w:eastAsia="宋体"/>
                      <w:lang w:val="en-US" w:eastAsia="zh-CN"/>
                    </w:rPr>
                  </w:pPr>
                  <w:r>
                    <w:rPr>
                      <w:rFonts w:hint="eastAsia"/>
                      <w:lang w:val="en-US" w:eastAsia="zh-CN"/>
                    </w:rPr>
                    <w:t>返电弧炉</w:t>
                  </w:r>
                </w:p>
              </w:tc>
              <w:tc>
                <w:tcPr>
                  <w:tcW w:w="509" w:type="pct"/>
                  <w:noWrap w:val="0"/>
                  <w:vAlign w:val="center"/>
                </w:tcPr>
                <w:p>
                  <w:pPr>
                    <w:pStyle w:val="19"/>
                    <w:bidi w:val="0"/>
                    <w:ind w:firstLine="0" w:firstLineChars="0"/>
                    <w:rPr>
                      <w:rFonts w:hint="eastAsia"/>
                    </w:rPr>
                  </w:pPr>
                  <w:r>
                    <w:rPr>
                      <w:rFonts w:hint="eastAsia"/>
                      <w:lang w:val="en-US" w:eastAsia="zh-CN"/>
                    </w:rPr>
                    <w:t>616.16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67" w:type="pct"/>
                  <w:noWrap w:val="0"/>
                  <w:vAlign w:val="center"/>
                </w:tcPr>
                <w:p>
                  <w:pPr>
                    <w:pStyle w:val="19"/>
                    <w:bidi w:val="0"/>
                    <w:ind w:firstLine="0" w:firstLineChars="0"/>
                    <w:rPr>
                      <w:rFonts w:hint="default" w:ascii="Times New Roman" w:hAnsi="Times New Roman" w:eastAsia="宋体" w:cs="Times New Roman"/>
                      <w:color w:val="0D0D0D"/>
                      <w:kern w:val="0"/>
                      <w:sz w:val="21"/>
                      <w:szCs w:val="21"/>
                      <w:lang w:val="en-US" w:eastAsia="zh-CN" w:bidi="ar-SA"/>
                    </w:rPr>
                  </w:pPr>
                  <w:r>
                    <w:rPr>
                      <w:rFonts w:hint="eastAsia"/>
                      <w:lang w:val="en-US" w:eastAsia="zh-CN"/>
                    </w:rPr>
                    <w:t>S7</w:t>
                  </w:r>
                </w:p>
              </w:tc>
              <w:tc>
                <w:tcPr>
                  <w:tcW w:w="519"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color w:val="auto"/>
                      <w:lang w:val="en-US" w:eastAsia="zh-CN"/>
                    </w:rPr>
                    <w:t>修磨</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钢渣</w:t>
                  </w:r>
                </w:p>
              </w:tc>
              <w:tc>
                <w:tcPr>
                  <w:tcW w:w="393" w:type="pct"/>
                  <w:vMerge w:val="continue"/>
                  <w:noWrap w:val="0"/>
                  <w:vAlign w:val="center"/>
                </w:tcPr>
                <w:p>
                  <w:pPr>
                    <w:pStyle w:val="19"/>
                    <w:bidi w:val="0"/>
                    <w:rPr>
                      <w:rFonts w:hint="eastAsia"/>
                    </w:rPr>
                  </w:pPr>
                </w:p>
              </w:tc>
              <w:tc>
                <w:tcPr>
                  <w:tcW w:w="442" w:type="pct"/>
                  <w:noWrap w:val="0"/>
                  <w:vAlign w:val="center"/>
                </w:tcPr>
                <w:p>
                  <w:pPr>
                    <w:pStyle w:val="19"/>
                    <w:bidi w:val="0"/>
                    <w:rPr>
                      <w:rFonts w:hint="eastAsia" w:eastAsia="宋体"/>
                      <w:lang w:val="en-US" w:eastAsia="zh-CN"/>
                    </w:rPr>
                  </w:pPr>
                  <w:r>
                    <w:rPr>
                      <w:rFonts w:hint="eastAsia"/>
                      <w:lang w:val="en-US" w:eastAsia="zh-CN"/>
                    </w:rPr>
                    <w:t>/</w:t>
                  </w:r>
                </w:p>
              </w:tc>
              <w:tc>
                <w:tcPr>
                  <w:tcW w:w="393" w:type="pct"/>
                  <w:noWrap w:val="0"/>
                  <w:vAlign w:val="center"/>
                </w:tcPr>
                <w:p>
                  <w:pPr>
                    <w:pStyle w:val="19"/>
                    <w:bidi w:val="0"/>
                    <w:rPr>
                      <w:rFonts w:hint="default"/>
                      <w:lang w:val="en-US" w:eastAsia="zh-CN"/>
                    </w:rPr>
                  </w:pPr>
                  <w:r>
                    <w:rPr>
                      <w:rFonts w:hint="eastAsia"/>
                      <w:lang w:val="en-US" w:eastAsia="zh-CN"/>
                    </w:rPr>
                    <w:t>/</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val="en-US" w:eastAsia="zh-CN"/>
                    </w:rPr>
                    <w:t>固态</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508" w:type="pct"/>
                  <w:noWrap w:val="0"/>
                  <w:vAlign w:val="center"/>
                </w:tcPr>
                <w:p>
                  <w:pPr>
                    <w:pStyle w:val="19"/>
                    <w:bidi w:val="0"/>
                    <w:rPr>
                      <w:rFonts w:hint="default" w:eastAsia="宋体"/>
                      <w:lang w:val="en-US" w:eastAsia="zh-CN"/>
                    </w:rPr>
                  </w:pPr>
                  <w:r>
                    <w:rPr>
                      <w:rFonts w:hint="eastAsia"/>
                      <w:lang w:val="en-US" w:eastAsia="zh-CN"/>
                    </w:rPr>
                    <w:t>30</w:t>
                  </w:r>
                </w:p>
              </w:tc>
              <w:tc>
                <w:tcPr>
                  <w:tcW w:w="393" w:type="pct"/>
                  <w:noWrap w:val="0"/>
                  <w:vAlign w:val="center"/>
                </w:tcPr>
                <w:p>
                  <w:pPr>
                    <w:pStyle w:val="19"/>
                    <w:bidi w:val="0"/>
                    <w:rPr>
                      <w:rFonts w:hint="eastAsia" w:eastAsia="宋体"/>
                      <w:lang w:val="en-US" w:eastAsia="zh-CN"/>
                    </w:rPr>
                  </w:pPr>
                  <w:r>
                    <w:rPr>
                      <w:rFonts w:hint="eastAsia"/>
                      <w:lang w:val="en-US" w:eastAsia="zh-CN"/>
                    </w:rPr>
                    <w:t>/</w:t>
                  </w:r>
                </w:p>
              </w:tc>
              <w:tc>
                <w:tcPr>
                  <w:tcW w:w="393" w:type="pct"/>
                  <w:vMerge w:val="continue"/>
                  <w:noWrap w:val="0"/>
                  <w:vAlign w:val="center"/>
                </w:tcPr>
                <w:p>
                  <w:pPr>
                    <w:pStyle w:val="19"/>
                    <w:bidi w:val="0"/>
                    <w:rPr>
                      <w:rFonts w:hint="eastAsia"/>
                    </w:rPr>
                  </w:pPr>
                </w:p>
              </w:tc>
              <w:tc>
                <w:tcPr>
                  <w:tcW w:w="509" w:type="pct"/>
                  <w:noWrap w:val="0"/>
                  <w:vAlign w:val="center"/>
                </w:tcPr>
                <w:p>
                  <w:pPr>
                    <w:pStyle w:val="19"/>
                    <w:bidi w:val="0"/>
                    <w:ind w:firstLine="0" w:firstLineChars="0"/>
                    <w:rPr>
                      <w:rFonts w:hint="eastAsia"/>
                    </w:rPr>
                  </w:pPr>
                  <w:r>
                    <w:rPr>
                      <w:rFonts w:hint="eastAsia"/>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noWrap w:val="0"/>
                  <w:vAlign w:val="center"/>
                </w:tcPr>
                <w:p>
                  <w:pPr>
                    <w:pStyle w:val="19"/>
                    <w:bidi w:val="0"/>
                    <w:rPr>
                      <w:rFonts w:hint="eastAsia" w:eastAsia="宋体"/>
                      <w:lang w:val="en-US" w:eastAsia="zh-CN"/>
                    </w:rPr>
                  </w:pPr>
                  <w:r>
                    <w:rPr>
                      <w:rFonts w:hint="eastAsia"/>
                      <w:lang w:val="en-US" w:eastAsia="zh-CN"/>
                    </w:rPr>
                    <w:t>S10</w:t>
                  </w:r>
                </w:p>
              </w:tc>
              <w:tc>
                <w:tcPr>
                  <w:tcW w:w="519"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员工生活</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生活垃圾</w:t>
                  </w:r>
                </w:p>
              </w:tc>
              <w:tc>
                <w:tcPr>
                  <w:tcW w:w="393" w:type="pct"/>
                  <w:vMerge w:val="continue"/>
                  <w:noWrap w:val="0"/>
                  <w:vAlign w:val="center"/>
                </w:tcPr>
                <w:p>
                  <w:pPr>
                    <w:pStyle w:val="19"/>
                    <w:bidi w:val="0"/>
                    <w:rPr>
                      <w:rFonts w:hint="eastAsia"/>
                    </w:rPr>
                  </w:pPr>
                </w:p>
              </w:tc>
              <w:tc>
                <w:tcPr>
                  <w:tcW w:w="442"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固态</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w:t>
                  </w:r>
                </w:p>
              </w:tc>
              <w:tc>
                <w:tcPr>
                  <w:tcW w:w="508" w:type="pct"/>
                  <w:noWrap w:val="0"/>
                  <w:vAlign w:val="center"/>
                </w:tcPr>
                <w:p>
                  <w:pPr>
                    <w:pStyle w:val="19"/>
                    <w:bidi w:val="0"/>
                    <w:ind w:firstLine="0" w:firstLineChars="0"/>
                    <w:rPr>
                      <w:rFonts w:hint="default" w:ascii="Times New Roman" w:hAnsi="Times New Roman" w:eastAsia="宋体" w:cs="Times New Roman"/>
                      <w:color w:val="0D0D0D"/>
                      <w:kern w:val="0"/>
                      <w:sz w:val="21"/>
                      <w:szCs w:val="21"/>
                      <w:lang w:val="en-US" w:eastAsia="zh-CN" w:bidi="ar-SA"/>
                    </w:rPr>
                  </w:pPr>
                  <w:r>
                    <w:rPr>
                      <w:rFonts w:hint="eastAsia" w:cs="Times New Roman"/>
                      <w:color w:val="0D0D0D"/>
                      <w:kern w:val="0"/>
                      <w:sz w:val="21"/>
                      <w:szCs w:val="21"/>
                      <w:lang w:val="en-US" w:eastAsia="zh-CN" w:bidi="ar-SA"/>
                    </w:rPr>
                    <w:t>7.5</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储存在垃圾桶中</w:t>
                  </w:r>
                </w:p>
              </w:tc>
              <w:tc>
                <w:tcPr>
                  <w:tcW w:w="393"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rPr>
                    <w:t>委托环卫部门处理</w:t>
                  </w:r>
                </w:p>
              </w:tc>
              <w:tc>
                <w:tcPr>
                  <w:tcW w:w="509"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cs="Times New Roman"/>
                      <w:color w:val="0D0D0D"/>
                      <w:kern w:val="0"/>
                      <w:sz w:val="21"/>
                      <w:szCs w:val="21"/>
                      <w:lang w:val="en-US" w:eastAsia="zh-CN" w:bidi="ar-SA"/>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noWrap w:val="0"/>
                  <w:vAlign w:val="center"/>
                </w:tcPr>
                <w:p>
                  <w:pPr>
                    <w:pStyle w:val="19"/>
                    <w:bidi w:val="0"/>
                    <w:rPr>
                      <w:rFonts w:hint="default" w:eastAsia="宋体"/>
                      <w:lang w:val="en-US" w:eastAsia="zh-CN"/>
                    </w:rPr>
                  </w:pPr>
                  <w:r>
                    <w:rPr>
                      <w:rFonts w:hint="eastAsia"/>
                      <w:lang w:val="en-US" w:eastAsia="zh-CN"/>
                    </w:rPr>
                    <w:t>S8</w:t>
                  </w:r>
                </w:p>
              </w:tc>
              <w:tc>
                <w:tcPr>
                  <w:tcW w:w="519" w:type="pct"/>
                  <w:noWrap w:val="0"/>
                  <w:vAlign w:val="center"/>
                </w:tcPr>
                <w:p>
                  <w:pPr>
                    <w:pStyle w:val="19"/>
                    <w:bidi w:val="0"/>
                    <w:rPr>
                      <w:rFonts w:hint="default" w:eastAsia="宋体"/>
                      <w:lang w:val="en-US" w:eastAsia="zh-CN"/>
                    </w:rPr>
                  </w:pPr>
                  <w:r>
                    <w:rPr>
                      <w:rFonts w:hint="eastAsia"/>
                      <w:lang w:val="en-US" w:eastAsia="zh-CN"/>
                    </w:rPr>
                    <w:t>除尘系统</w:t>
                  </w:r>
                </w:p>
              </w:tc>
              <w:tc>
                <w:tcPr>
                  <w:tcW w:w="393" w:type="pct"/>
                  <w:noWrap w:val="0"/>
                  <w:vAlign w:val="center"/>
                </w:tcPr>
                <w:p>
                  <w:pPr>
                    <w:pStyle w:val="19"/>
                    <w:bidi w:val="0"/>
                    <w:rPr>
                      <w:rFonts w:hint="eastAsia" w:eastAsia="宋体"/>
                      <w:lang w:val="en-US" w:eastAsia="zh-CN"/>
                    </w:rPr>
                  </w:pPr>
                  <w:r>
                    <w:rPr>
                      <w:rFonts w:hint="eastAsia"/>
                      <w:lang w:val="en-US" w:eastAsia="zh-CN"/>
                    </w:rPr>
                    <w:t>除尘灰</w:t>
                  </w:r>
                </w:p>
              </w:tc>
              <w:tc>
                <w:tcPr>
                  <w:tcW w:w="393" w:type="pct"/>
                  <w:vMerge w:val="restart"/>
                  <w:noWrap w:val="0"/>
                  <w:vAlign w:val="center"/>
                </w:tcPr>
                <w:p>
                  <w:pPr>
                    <w:pStyle w:val="19"/>
                    <w:bidi w:val="0"/>
                    <w:rPr>
                      <w:rFonts w:hint="default" w:eastAsia="宋体"/>
                      <w:lang w:val="en-US" w:eastAsia="zh-CN"/>
                    </w:rPr>
                  </w:pPr>
                  <w:r>
                    <w:rPr>
                      <w:rFonts w:hint="eastAsia"/>
                      <w:lang w:val="en-US" w:eastAsia="zh-CN"/>
                    </w:rPr>
                    <w:t>危险废物</w:t>
                  </w:r>
                </w:p>
              </w:tc>
              <w:tc>
                <w:tcPr>
                  <w:tcW w:w="442" w:type="pct"/>
                  <w:noWrap w:val="0"/>
                  <w:vAlign w:val="center"/>
                </w:tcPr>
                <w:p>
                  <w:pPr>
                    <w:pStyle w:val="19"/>
                    <w:bidi w:val="0"/>
                    <w:rPr>
                      <w:rFonts w:hint="eastAsia"/>
                    </w:rPr>
                  </w:pPr>
                  <w:r>
                    <w:rPr>
                      <w:rFonts w:hint="eastAsia"/>
                      <w:lang w:val="en-US" w:eastAsia="zh-CN"/>
                    </w:rPr>
                    <w:t>312-001-23</w:t>
                  </w:r>
                </w:p>
              </w:tc>
              <w:tc>
                <w:tcPr>
                  <w:tcW w:w="393" w:type="pct"/>
                  <w:noWrap w:val="0"/>
                  <w:vAlign w:val="center"/>
                </w:tcPr>
                <w:p>
                  <w:pPr>
                    <w:pStyle w:val="19"/>
                    <w:bidi w:val="0"/>
                    <w:rPr>
                      <w:rFonts w:hint="default" w:eastAsia="宋体"/>
                      <w:lang w:val="en-US" w:eastAsia="zh-CN"/>
                    </w:rPr>
                  </w:pPr>
                  <w:r>
                    <w:rPr>
                      <w:rFonts w:hint="eastAsia"/>
                      <w:lang w:val="en-US" w:eastAsia="zh-CN"/>
                    </w:rPr>
                    <w:t>二噁英</w:t>
                  </w:r>
                </w:p>
              </w:tc>
              <w:tc>
                <w:tcPr>
                  <w:tcW w:w="393" w:type="pct"/>
                  <w:noWrap w:val="0"/>
                  <w:vAlign w:val="center"/>
                </w:tcPr>
                <w:p>
                  <w:pPr>
                    <w:pStyle w:val="19"/>
                    <w:bidi w:val="0"/>
                    <w:rPr>
                      <w:rFonts w:hint="eastAsia" w:eastAsia="宋体"/>
                      <w:lang w:val="en-US" w:eastAsia="zh-CN"/>
                    </w:rPr>
                  </w:pPr>
                  <w:r>
                    <w:rPr>
                      <w:rFonts w:hint="eastAsia"/>
                      <w:lang w:val="en-US" w:eastAsia="zh-CN"/>
                    </w:rPr>
                    <w:t>液态</w:t>
                  </w:r>
                </w:p>
              </w:tc>
              <w:tc>
                <w:tcPr>
                  <w:tcW w:w="393" w:type="pct"/>
                  <w:noWrap w:val="0"/>
                  <w:vAlign w:val="center"/>
                </w:tcPr>
                <w:p>
                  <w:pPr>
                    <w:pStyle w:val="19"/>
                    <w:bidi w:val="0"/>
                    <w:rPr>
                      <w:rFonts w:hint="eastAsia" w:eastAsia="宋体"/>
                      <w:lang w:val="en-US" w:eastAsia="zh-CN"/>
                    </w:rPr>
                  </w:pPr>
                  <w:r>
                    <w:rPr>
                      <w:rFonts w:hint="eastAsia"/>
                      <w:lang w:val="en-US" w:eastAsia="zh-CN"/>
                    </w:rPr>
                    <w:t>T</w:t>
                  </w:r>
                </w:p>
              </w:tc>
              <w:tc>
                <w:tcPr>
                  <w:tcW w:w="508" w:type="pct"/>
                  <w:noWrap w:val="0"/>
                  <w:vAlign w:val="center"/>
                </w:tcPr>
                <w:p>
                  <w:pPr>
                    <w:pStyle w:val="19"/>
                    <w:bidi w:val="0"/>
                    <w:rPr>
                      <w:rFonts w:hint="default" w:eastAsia="宋体"/>
                      <w:lang w:val="en-US" w:eastAsia="zh-CN"/>
                    </w:rPr>
                  </w:pPr>
                  <w:r>
                    <w:rPr>
                      <w:rFonts w:hint="eastAsia"/>
                      <w:lang w:val="en-US" w:eastAsia="zh-CN"/>
                    </w:rPr>
                    <w:t>392.69</w:t>
                  </w:r>
                </w:p>
              </w:tc>
              <w:tc>
                <w:tcPr>
                  <w:tcW w:w="393" w:type="pct"/>
                  <w:noWrap w:val="0"/>
                  <w:vAlign w:val="center"/>
                </w:tcPr>
                <w:p>
                  <w:pPr>
                    <w:pStyle w:val="19"/>
                    <w:bidi w:val="0"/>
                    <w:rPr>
                      <w:rFonts w:hint="default" w:eastAsia="宋体"/>
                      <w:lang w:val="en-US" w:eastAsia="zh-CN"/>
                    </w:rPr>
                  </w:pPr>
                  <w:r>
                    <w:rPr>
                      <w:rFonts w:hint="eastAsia"/>
                      <w:lang w:val="en-US" w:eastAsia="zh-CN"/>
                    </w:rPr>
                    <w:t>袋装</w:t>
                  </w:r>
                </w:p>
              </w:tc>
              <w:tc>
                <w:tcPr>
                  <w:tcW w:w="393" w:type="pct"/>
                  <w:vMerge w:val="restart"/>
                  <w:noWrap w:val="0"/>
                  <w:vAlign w:val="center"/>
                </w:tcPr>
                <w:p>
                  <w:pPr>
                    <w:pStyle w:val="19"/>
                    <w:bidi w:val="0"/>
                    <w:rPr>
                      <w:rFonts w:hint="default" w:eastAsia="宋体"/>
                      <w:lang w:val="en-US" w:eastAsia="zh-CN"/>
                    </w:rPr>
                  </w:pPr>
                  <w:r>
                    <w:rPr>
                      <w:rFonts w:hint="eastAsia"/>
                      <w:lang w:val="en-US" w:eastAsia="zh-CN"/>
                    </w:rPr>
                    <w:t>资质单位处置</w:t>
                  </w:r>
                </w:p>
              </w:tc>
              <w:tc>
                <w:tcPr>
                  <w:tcW w:w="509" w:type="pct"/>
                  <w:noWrap w:val="0"/>
                  <w:vAlign w:val="center"/>
                </w:tcPr>
                <w:p>
                  <w:pPr>
                    <w:pStyle w:val="19"/>
                    <w:bidi w:val="0"/>
                    <w:ind w:firstLine="0" w:firstLineChars="0"/>
                    <w:rPr>
                      <w:rFonts w:hint="eastAsia"/>
                    </w:rPr>
                  </w:pPr>
                  <w:r>
                    <w:rPr>
                      <w:rFonts w:hint="eastAsia"/>
                      <w:lang w:val="en-US" w:eastAsia="zh-CN"/>
                    </w:rPr>
                    <w:t>392.69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7" w:type="pct"/>
                  <w:noWrap w:val="0"/>
                  <w:vAlign w:val="center"/>
                </w:tcPr>
                <w:p>
                  <w:pPr>
                    <w:pStyle w:val="19"/>
                    <w:bidi w:val="0"/>
                    <w:rPr>
                      <w:rFonts w:hint="eastAsia" w:eastAsia="宋体"/>
                      <w:lang w:val="en-US" w:eastAsia="zh-CN"/>
                    </w:rPr>
                  </w:pPr>
                  <w:r>
                    <w:rPr>
                      <w:rFonts w:hint="eastAsia"/>
                      <w:lang w:val="en-US" w:eastAsia="zh-CN"/>
                    </w:rPr>
                    <w:t>S9</w:t>
                  </w:r>
                </w:p>
              </w:tc>
              <w:tc>
                <w:tcPr>
                  <w:tcW w:w="519" w:type="pct"/>
                  <w:noWrap w:val="0"/>
                  <w:vAlign w:val="center"/>
                </w:tcPr>
                <w:p>
                  <w:pPr>
                    <w:pStyle w:val="19"/>
                    <w:bidi w:val="0"/>
                    <w:rPr>
                      <w:rFonts w:hint="default" w:eastAsia="宋体"/>
                      <w:lang w:val="en-US" w:eastAsia="zh-CN"/>
                    </w:rPr>
                  </w:pPr>
                  <w:r>
                    <w:rPr>
                      <w:rFonts w:hint="eastAsia"/>
                      <w:lang w:val="en-US" w:eastAsia="zh-CN"/>
                    </w:rPr>
                    <w:t>设备维修</w:t>
                  </w:r>
                </w:p>
              </w:tc>
              <w:tc>
                <w:tcPr>
                  <w:tcW w:w="393" w:type="pct"/>
                  <w:noWrap w:val="0"/>
                  <w:vAlign w:val="center"/>
                </w:tcPr>
                <w:p>
                  <w:pPr>
                    <w:pStyle w:val="19"/>
                    <w:bidi w:val="0"/>
                    <w:rPr>
                      <w:rFonts w:hint="eastAsia" w:eastAsia="宋体"/>
                      <w:lang w:val="en-US" w:eastAsia="zh-CN"/>
                    </w:rPr>
                  </w:pPr>
                  <w:r>
                    <w:rPr>
                      <w:rFonts w:hint="eastAsia"/>
                      <w:lang w:val="en-US" w:eastAsia="zh-CN"/>
                    </w:rPr>
                    <w:t>废机油</w:t>
                  </w:r>
                </w:p>
              </w:tc>
              <w:tc>
                <w:tcPr>
                  <w:tcW w:w="393" w:type="pct"/>
                  <w:vMerge w:val="continue"/>
                  <w:noWrap w:val="0"/>
                  <w:vAlign w:val="center"/>
                </w:tcPr>
                <w:p>
                  <w:pPr>
                    <w:pStyle w:val="19"/>
                    <w:bidi w:val="0"/>
                    <w:rPr>
                      <w:rFonts w:hint="eastAsia"/>
                    </w:rPr>
                  </w:pPr>
                </w:p>
              </w:tc>
              <w:tc>
                <w:tcPr>
                  <w:tcW w:w="442" w:type="pct"/>
                  <w:noWrap w:val="0"/>
                  <w:vAlign w:val="center"/>
                </w:tcPr>
                <w:p>
                  <w:pPr>
                    <w:pStyle w:val="19"/>
                    <w:bidi w:val="0"/>
                    <w:ind w:firstLine="0" w:firstLineChars="0"/>
                    <w:rPr>
                      <w:rFonts w:hint="eastAsia" w:ascii="Times New Roman" w:hAnsi="Times New Roman" w:eastAsia="宋体" w:cs="Times New Roman"/>
                      <w:color w:val="0D0D0D"/>
                      <w:kern w:val="0"/>
                      <w:sz w:val="21"/>
                      <w:szCs w:val="21"/>
                      <w:lang w:val="en-US" w:eastAsia="zh-CN" w:bidi="ar-SA"/>
                    </w:rPr>
                  </w:pPr>
                  <w:r>
                    <w:rPr>
                      <w:rFonts w:hint="eastAsia"/>
                      <w:lang w:eastAsia="zh-CN"/>
                    </w:rPr>
                    <w:t>900-249-08</w:t>
                  </w:r>
                </w:p>
              </w:tc>
              <w:tc>
                <w:tcPr>
                  <w:tcW w:w="393" w:type="pct"/>
                  <w:noWrap w:val="0"/>
                  <w:vAlign w:val="center"/>
                </w:tcPr>
                <w:p>
                  <w:pPr>
                    <w:pStyle w:val="19"/>
                    <w:bidi w:val="0"/>
                    <w:rPr>
                      <w:rFonts w:hint="default" w:eastAsia="宋体"/>
                      <w:lang w:val="en-US" w:eastAsia="zh-CN"/>
                    </w:rPr>
                  </w:pPr>
                  <w:r>
                    <w:rPr>
                      <w:rFonts w:hint="eastAsia"/>
                      <w:lang w:val="en-US" w:eastAsia="zh-CN"/>
                    </w:rPr>
                    <w:t>废矿物油</w:t>
                  </w:r>
                </w:p>
              </w:tc>
              <w:tc>
                <w:tcPr>
                  <w:tcW w:w="393" w:type="pct"/>
                  <w:noWrap w:val="0"/>
                  <w:vAlign w:val="center"/>
                </w:tcPr>
                <w:p>
                  <w:pPr>
                    <w:pStyle w:val="19"/>
                    <w:bidi w:val="0"/>
                    <w:rPr>
                      <w:rFonts w:hint="eastAsia" w:eastAsia="宋体"/>
                      <w:lang w:val="en-US" w:eastAsia="zh-CN"/>
                    </w:rPr>
                  </w:pPr>
                  <w:r>
                    <w:rPr>
                      <w:rFonts w:hint="eastAsia"/>
                      <w:lang w:val="en-US" w:eastAsia="zh-CN"/>
                    </w:rPr>
                    <w:t>液态</w:t>
                  </w:r>
                </w:p>
              </w:tc>
              <w:tc>
                <w:tcPr>
                  <w:tcW w:w="393" w:type="pct"/>
                  <w:noWrap w:val="0"/>
                  <w:vAlign w:val="center"/>
                </w:tcPr>
                <w:p>
                  <w:pPr>
                    <w:pStyle w:val="19"/>
                    <w:bidi w:val="0"/>
                    <w:rPr>
                      <w:rFonts w:hint="default" w:eastAsia="宋体"/>
                      <w:lang w:val="en-US" w:eastAsia="zh-CN"/>
                    </w:rPr>
                  </w:pPr>
                  <w:r>
                    <w:rPr>
                      <w:rFonts w:hint="eastAsia"/>
                      <w:lang w:val="en-US" w:eastAsia="zh-CN"/>
                    </w:rPr>
                    <w:t>T、I</w:t>
                  </w:r>
                </w:p>
              </w:tc>
              <w:tc>
                <w:tcPr>
                  <w:tcW w:w="508" w:type="pct"/>
                  <w:noWrap w:val="0"/>
                  <w:vAlign w:val="center"/>
                </w:tcPr>
                <w:p>
                  <w:pPr>
                    <w:pStyle w:val="19"/>
                    <w:bidi w:val="0"/>
                    <w:rPr>
                      <w:rFonts w:hint="default" w:eastAsia="宋体"/>
                      <w:lang w:val="en-US" w:eastAsia="zh-CN"/>
                    </w:rPr>
                  </w:pPr>
                  <w:r>
                    <w:rPr>
                      <w:rFonts w:hint="eastAsia"/>
                      <w:lang w:val="en-US" w:eastAsia="zh-CN"/>
                    </w:rPr>
                    <w:t>0.75</w:t>
                  </w:r>
                </w:p>
              </w:tc>
              <w:tc>
                <w:tcPr>
                  <w:tcW w:w="393" w:type="pct"/>
                  <w:noWrap w:val="0"/>
                  <w:vAlign w:val="center"/>
                </w:tcPr>
                <w:p>
                  <w:pPr>
                    <w:pStyle w:val="19"/>
                    <w:bidi w:val="0"/>
                    <w:rPr>
                      <w:rFonts w:hint="eastAsia" w:eastAsia="宋体"/>
                      <w:lang w:val="en-US" w:eastAsia="zh-CN"/>
                    </w:rPr>
                  </w:pPr>
                  <w:r>
                    <w:rPr>
                      <w:rFonts w:hint="eastAsia"/>
                      <w:lang w:val="en-US" w:eastAsia="zh-CN"/>
                    </w:rPr>
                    <w:t>桶装</w:t>
                  </w:r>
                </w:p>
              </w:tc>
              <w:tc>
                <w:tcPr>
                  <w:tcW w:w="393" w:type="pct"/>
                  <w:vMerge w:val="continue"/>
                  <w:noWrap w:val="0"/>
                  <w:vAlign w:val="center"/>
                </w:tcPr>
                <w:p>
                  <w:pPr>
                    <w:pStyle w:val="19"/>
                    <w:bidi w:val="0"/>
                    <w:rPr>
                      <w:rFonts w:hint="default" w:eastAsia="宋体"/>
                      <w:lang w:val="en-US" w:eastAsia="zh-CN"/>
                    </w:rPr>
                  </w:pPr>
                </w:p>
              </w:tc>
              <w:tc>
                <w:tcPr>
                  <w:tcW w:w="509" w:type="pct"/>
                  <w:noWrap w:val="0"/>
                  <w:vAlign w:val="center"/>
                </w:tcPr>
                <w:p>
                  <w:pPr>
                    <w:pStyle w:val="19"/>
                    <w:bidi w:val="0"/>
                    <w:ind w:firstLine="0" w:firstLineChars="0"/>
                    <w:rPr>
                      <w:rFonts w:hint="eastAsia"/>
                    </w:rPr>
                  </w:pPr>
                  <w:r>
                    <w:rPr>
                      <w:rFonts w:hint="eastAsia"/>
                      <w:lang w:val="en-US" w:eastAsia="zh-CN"/>
                    </w:rPr>
                    <w:t>0.75</w:t>
                  </w:r>
                </w:p>
              </w:tc>
            </w:tr>
          </w:tbl>
          <w:p>
            <w:pPr>
              <w:pStyle w:val="19"/>
              <w:bidi w:val="0"/>
            </w:pPr>
          </w:p>
        </w:tc>
      </w:tr>
    </w:tbl>
    <w:p>
      <w:pPr>
        <w:pStyle w:val="15"/>
        <w:sectPr>
          <w:pgSz w:w="16838" w:h="11906" w:orient="landscape"/>
          <w:pgMar w:top="1418" w:right="1418" w:bottom="1418" w:left="1418" w:header="851" w:footer="851" w:gutter="0"/>
          <w:cols w:space="425" w:num="1"/>
          <w:docGrid w:type="lines" w:linePitch="326" w:charSpace="0"/>
        </w:sectPr>
      </w:pPr>
    </w:p>
    <w:tbl>
      <w:tblPr>
        <w:tblStyle w:val="16"/>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875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599" w:hRule="atLeast"/>
          <w:jc w:val="center"/>
        </w:trPr>
        <w:tc>
          <w:tcPr>
            <w:tcW w:w="244" w:type="pct"/>
            <w:tcMar>
              <w:left w:w="28" w:type="dxa"/>
              <w:right w:w="28" w:type="dxa"/>
            </w:tcMar>
          </w:tcPr>
          <w:p>
            <w:pPr>
              <w:widowControl/>
              <w:spacing w:line="480" w:lineRule="exact"/>
              <w:ind w:firstLine="0" w:firstLineChars="0"/>
              <w:jc w:val="center"/>
              <w:rPr>
                <w:b/>
                <w:bCs/>
                <w:kern w:val="0"/>
              </w:rPr>
            </w:pPr>
            <w:r>
              <w:rPr>
                <w:b/>
                <w:bCs/>
                <w:kern w:val="0"/>
              </w:rPr>
              <w:t>运营</w:t>
            </w:r>
          </w:p>
          <w:p>
            <w:pPr>
              <w:widowControl/>
              <w:spacing w:line="480" w:lineRule="exact"/>
              <w:ind w:firstLine="0" w:firstLineChars="0"/>
              <w:jc w:val="center"/>
              <w:rPr>
                <w:b/>
                <w:bCs/>
                <w:kern w:val="0"/>
              </w:rPr>
            </w:pPr>
            <w:r>
              <w:rPr>
                <w:b/>
                <w:bCs/>
                <w:kern w:val="0"/>
              </w:rPr>
              <w:t>期环</w:t>
            </w:r>
          </w:p>
          <w:p>
            <w:pPr>
              <w:widowControl/>
              <w:spacing w:line="480" w:lineRule="exact"/>
              <w:ind w:firstLine="0" w:firstLineChars="0"/>
              <w:jc w:val="center"/>
              <w:rPr>
                <w:b/>
                <w:bCs/>
                <w:kern w:val="0"/>
              </w:rPr>
            </w:pPr>
            <w:r>
              <w:rPr>
                <w:b/>
                <w:bCs/>
                <w:kern w:val="0"/>
              </w:rPr>
              <w:t>境影</w:t>
            </w:r>
          </w:p>
          <w:p>
            <w:pPr>
              <w:widowControl/>
              <w:spacing w:line="480" w:lineRule="exact"/>
              <w:ind w:firstLine="0" w:firstLineChars="0"/>
              <w:jc w:val="center"/>
              <w:rPr>
                <w:b/>
                <w:bCs/>
                <w:kern w:val="0"/>
              </w:rPr>
            </w:pPr>
            <w:r>
              <w:rPr>
                <w:b/>
                <w:bCs/>
                <w:kern w:val="0"/>
              </w:rPr>
              <w:t>响和</w:t>
            </w:r>
          </w:p>
          <w:p>
            <w:pPr>
              <w:widowControl/>
              <w:spacing w:line="480" w:lineRule="exact"/>
              <w:ind w:firstLine="0" w:firstLineChars="0"/>
              <w:jc w:val="center"/>
              <w:rPr>
                <w:b/>
                <w:bCs/>
                <w:kern w:val="0"/>
              </w:rPr>
            </w:pPr>
            <w:r>
              <w:rPr>
                <w:b/>
                <w:bCs/>
                <w:kern w:val="0"/>
              </w:rPr>
              <w:t>保护</w:t>
            </w:r>
          </w:p>
          <w:p>
            <w:pPr>
              <w:widowControl/>
              <w:spacing w:line="480" w:lineRule="exact"/>
              <w:ind w:firstLine="0" w:firstLineChars="0"/>
              <w:jc w:val="center"/>
              <w:rPr>
                <w:b/>
                <w:bCs/>
                <w:kern w:val="0"/>
              </w:rPr>
            </w:pPr>
            <w:r>
              <w:rPr>
                <w:b/>
                <w:bCs/>
                <w:kern w:val="0"/>
              </w:rPr>
              <w:t>措施</w:t>
            </w:r>
          </w:p>
        </w:tc>
        <w:tc>
          <w:tcPr>
            <w:tcW w:w="4755" w:type="pct"/>
          </w:tcPr>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eastAsia="宋体"/>
                <w:b/>
                <w:bCs/>
                <w:kern w:val="0"/>
                <w:lang w:val="en-US" w:eastAsia="zh-CN"/>
              </w:rPr>
            </w:pPr>
            <w:r>
              <w:rPr>
                <w:rFonts w:hint="eastAsia"/>
                <w:b/>
                <w:bCs/>
                <w:kern w:val="0"/>
                <w:lang w:eastAsia="zh-CN"/>
              </w:rPr>
              <w:t>(</w:t>
            </w:r>
            <w:r>
              <w:rPr>
                <w:rFonts w:hint="eastAsia"/>
                <w:b/>
                <w:bCs/>
                <w:kern w:val="0"/>
                <w:lang w:val="en-US" w:eastAsia="zh-CN"/>
              </w:rPr>
              <w:t>2</w:t>
            </w:r>
            <w:r>
              <w:rPr>
                <w:rFonts w:hint="eastAsia"/>
                <w:b/>
                <w:bCs/>
                <w:kern w:val="0"/>
                <w:lang w:eastAsia="zh-CN"/>
              </w:rPr>
              <w:t>)</w:t>
            </w:r>
            <w:r>
              <w:rPr>
                <w:rFonts w:hint="eastAsia"/>
                <w:b/>
                <w:bCs/>
                <w:kern w:val="0"/>
                <w:lang w:val="en-US" w:eastAsia="zh-CN"/>
              </w:rPr>
              <w:t xml:space="preserve"> 固体废物环境管理要求</w:t>
            </w:r>
          </w:p>
          <w:p>
            <w:pPr>
              <w:keepNext w:val="0"/>
              <w:keepLines w:val="0"/>
              <w:pageBreakBefore w:val="0"/>
              <w:kinsoku/>
              <w:wordWrap/>
              <w:overflowPunct/>
              <w:topLinePunct w:val="0"/>
              <w:autoSpaceDE/>
              <w:autoSpaceDN/>
              <w:bidi w:val="0"/>
              <w:adjustRightInd/>
              <w:snapToGrid/>
              <w:spacing w:line="480" w:lineRule="exact"/>
              <w:textAlignment w:val="auto"/>
              <w:rPr>
                <w:b/>
                <w:bCs/>
                <w:color w:val="auto"/>
              </w:rPr>
            </w:pPr>
            <w:r>
              <w:rPr>
                <w:rFonts w:hint="eastAsia"/>
                <w:color w:val="auto"/>
              </w:rPr>
              <w:t>为</w:t>
            </w:r>
            <w:r>
              <w:rPr>
                <w:color w:val="auto"/>
              </w:rPr>
              <w:t>确保项目</w:t>
            </w:r>
            <w:r>
              <w:rPr>
                <w:rFonts w:hint="eastAsia"/>
                <w:color w:val="auto"/>
              </w:rPr>
              <w:t>固体</w:t>
            </w:r>
            <w:r>
              <w:rPr>
                <w:color w:val="auto"/>
              </w:rPr>
              <w:t>废物的安全处置，</w:t>
            </w:r>
            <w:r>
              <w:rPr>
                <w:rFonts w:hint="eastAsia"/>
                <w:color w:val="auto"/>
              </w:rPr>
              <w:t>危险废物按</w:t>
            </w:r>
            <w:r>
              <w:rPr>
                <w:color w:val="auto"/>
              </w:rPr>
              <w:t>《危险废物贮存污染控制标准》</w:t>
            </w:r>
            <w:r>
              <w:rPr>
                <w:rFonts w:hint="eastAsia"/>
                <w:color w:val="auto"/>
                <w:lang w:eastAsia="zh-CN"/>
              </w:rPr>
              <w:t>(</w:t>
            </w:r>
            <w:r>
              <w:rPr>
                <w:color w:val="auto"/>
              </w:rPr>
              <w:t>GB</w:t>
            </w:r>
            <w:r>
              <w:rPr>
                <w:rFonts w:hint="eastAsia"/>
                <w:color w:val="auto"/>
                <w:lang w:val="en-US" w:eastAsia="zh-CN"/>
              </w:rPr>
              <w:t xml:space="preserve"> </w:t>
            </w:r>
            <w:r>
              <w:rPr>
                <w:color w:val="auto"/>
              </w:rPr>
              <w:t>18597-20</w:t>
            </w:r>
            <w:r>
              <w:rPr>
                <w:rFonts w:hint="eastAsia"/>
                <w:color w:val="auto"/>
                <w:lang w:val="en-US" w:eastAsia="zh-CN"/>
              </w:rPr>
              <w:t>23</w:t>
            </w:r>
            <w:r>
              <w:rPr>
                <w:rFonts w:hint="eastAsia"/>
                <w:color w:val="auto"/>
                <w:lang w:eastAsia="zh-CN"/>
              </w:rPr>
              <w:t>)</w:t>
            </w:r>
            <w:r>
              <w:rPr>
                <w:rFonts w:hint="eastAsia"/>
                <w:color w:val="auto"/>
              </w:rPr>
              <w:t>的要求进行贮存，一般工业固废按《一般工业固体废物贮存和填埋污染控制标准》</w:t>
            </w:r>
            <w:r>
              <w:rPr>
                <w:rFonts w:hint="eastAsia"/>
                <w:color w:val="auto"/>
                <w:lang w:eastAsia="zh-CN"/>
              </w:rPr>
              <w:t>(</w:t>
            </w:r>
            <w:r>
              <w:rPr>
                <w:rFonts w:hint="eastAsia"/>
                <w:color w:val="auto"/>
              </w:rPr>
              <w:t>GB</w:t>
            </w:r>
            <w:r>
              <w:rPr>
                <w:rFonts w:hint="eastAsia"/>
                <w:color w:val="auto"/>
                <w:lang w:val="en-US" w:eastAsia="zh-CN"/>
              </w:rPr>
              <w:t xml:space="preserve"> </w:t>
            </w:r>
            <w:r>
              <w:rPr>
                <w:rFonts w:hint="eastAsia"/>
                <w:color w:val="auto"/>
              </w:rPr>
              <w:t>18599-2020</w:t>
            </w:r>
            <w:r>
              <w:rPr>
                <w:rFonts w:hint="eastAsia"/>
                <w:color w:val="auto"/>
                <w:lang w:eastAsia="zh-CN"/>
              </w:rPr>
              <w:t>)</w:t>
            </w:r>
            <w:r>
              <w:rPr>
                <w:rFonts w:hint="eastAsia"/>
                <w:color w:val="auto"/>
              </w:rPr>
              <w:t>的</w:t>
            </w:r>
            <w:r>
              <w:rPr>
                <w:color w:val="auto"/>
              </w:rPr>
              <w:t>要求</w:t>
            </w:r>
            <w:r>
              <w:rPr>
                <w:rFonts w:hint="eastAsia"/>
                <w:color w:val="auto"/>
              </w:rPr>
              <w:t>进行贮存。</w:t>
            </w:r>
            <w:r>
              <w:rPr>
                <w:rFonts w:hint="eastAsia"/>
                <w:color w:val="auto"/>
                <w:lang w:val="en-US" w:eastAsia="zh-CN"/>
              </w:rPr>
              <w:t>本次拟对现有</w:t>
            </w:r>
            <w:r>
              <w:rPr>
                <w:color w:val="auto"/>
              </w:rPr>
              <w:t>危废暂存间</w:t>
            </w:r>
            <w:r>
              <w:rPr>
                <w:rFonts w:hint="eastAsia"/>
                <w:color w:val="auto"/>
                <w:highlight w:val="none"/>
                <w:lang w:eastAsia="zh-CN"/>
              </w:rPr>
              <w:t>(</w:t>
            </w:r>
            <w:r>
              <w:rPr>
                <w:color w:val="auto"/>
                <w:highlight w:val="none"/>
              </w:rPr>
              <w:t>建筑面积</w:t>
            </w:r>
            <w:r>
              <w:rPr>
                <w:rFonts w:hint="eastAsia"/>
                <w:color w:val="auto"/>
                <w:highlight w:val="none"/>
                <w:lang w:val="en-US" w:eastAsia="zh-CN"/>
              </w:rPr>
              <w:t>约5</w:t>
            </w:r>
            <w:r>
              <w:rPr>
                <w:rFonts w:hint="eastAsia"/>
                <w:color w:val="auto"/>
                <w:highlight w:val="none"/>
              </w:rPr>
              <w:t>0</w:t>
            </w:r>
            <w:r>
              <w:rPr>
                <w:color w:val="auto"/>
                <w:highlight w:val="none"/>
              </w:rPr>
              <w:t>m</w:t>
            </w:r>
            <w:r>
              <w:rPr>
                <w:color w:val="auto"/>
                <w:highlight w:val="none"/>
                <w:vertAlign w:val="superscript"/>
              </w:rPr>
              <w:t>2</w:t>
            </w:r>
            <w:r>
              <w:rPr>
                <w:rFonts w:hint="eastAsia"/>
                <w:color w:val="auto"/>
                <w:highlight w:val="none"/>
                <w:lang w:eastAsia="zh-CN"/>
              </w:rPr>
              <w:t>)</w:t>
            </w:r>
            <w:r>
              <w:rPr>
                <w:rFonts w:hint="eastAsia"/>
                <w:color w:val="auto"/>
                <w:lang w:val="en-US" w:eastAsia="zh-CN"/>
              </w:rPr>
              <w:t>进行改造</w:t>
            </w:r>
            <w:r>
              <w:rPr>
                <w:color w:val="auto"/>
              </w:rPr>
              <w:t>：</w:t>
            </w:r>
          </w:p>
          <w:p>
            <w:pPr>
              <w:keepNext w:val="0"/>
              <w:keepLines w:val="0"/>
              <w:pageBreakBefore w:val="0"/>
              <w:kinsoku/>
              <w:wordWrap/>
              <w:overflowPunct/>
              <w:topLinePunct w:val="0"/>
              <w:autoSpaceDE/>
              <w:autoSpaceDN/>
              <w:bidi w:val="0"/>
              <w:adjustRightInd/>
              <w:snapToGrid/>
              <w:spacing w:line="480" w:lineRule="exact"/>
              <w:textAlignment w:val="auto"/>
              <w:rPr>
                <w:rFonts w:hint="eastAsia"/>
              </w:rPr>
            </w:pPr>
            <w:r>
              <w:rPr>
                <w:rFonts w:hint="eastAsia"/>
              </w:rPr>
              <w:t>①项目危险废物暂存间单独设置并必须按GB15562.2的规定设置警示标志；</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cs="Times New Roman"/>
              </w:rPr>
            </w:pPr>
            <w:r>
              <w:rPr>
                <w:rFonts w:hint="default" w:ascii="Times New Roman" w:hAnsi="Times New Roman" w:cs="Times New Roman"/>
              </w:rPr>
              <w:t>②项目危险废物暂存间必须基础防渗，防渗层为至少1</w:t>
            </w:r>
            <w:r>
              <w:rPr>
                <w:rFonts w:hint="default" w:ascii="Times New Roman" w:hAnsi="Times New Roman" w:cs="Times New Roman"/>
                <w:lang w:val="en-US" w:eastAsia="zh-CN"/>
              </w:rPr>
              <w:t>m</w:t>
            </w:r>
            <w:r>
              <w:rPr>
                <w:rFonts w:hint="default" w:ascii="Times New Roman" w:hAnsi="Times New Roman" w:cs="Times New Roman"/>
              </w:rPr>
              <w:t>厚粘土层</w:t>
            </w:r>
            <w:r>
              <w:rPr>
                <w:rFonts w:hint="default" w:ascii="Times New Roman" w:hAnsi="Times New Roman" w:cs="Times New Roman"/>
                <w:lang w:eastAsia="zh-CN"/>
              </w:rPr>
              <w:t>(</w:t>
            </w:r>
            <w:r>
              <w:rPr>
                <w:rFonts w:hint="default" w:ascii="Times New Roman" w:hAnsi="Times New Roman" w:cs="Times New Roman"/>
              </w:rPr>
              <w:t>渗透系数≤10</w:t>
            </w:r>
            <w:r>
              <w:rPr>
                <w:rFonts w:hint="default" w:ascii="Times New Roman" w:hAnsi="Times New Roman" w:cs="Times New Roman"/>
                <w:vertAlign w:val="superscript"/>
              </w:rPr>
              <w:t>-7</w:t>
            </w:r>
            <w:r>
              <w:rPr>
                <w:rFonts w:hint="default" w:ascii="Times New Roman" w:hAnsi="Times New Roman" w:cs="Times New Roman"/>
                <w:lang w:val="en-US" w:eastAsia="zh-CN"/>
              </w:rPr>
              <w:t>cm/s</w:t>
            </w:r>
            <w:r>
              <w:rPr>
                <w:rFonts w:hint="default" w:ascii="Times New Roman" w:hAnsi="Times New Roman" w:cs="Times New Roman"/>
                <w:lang w:eastAsia="zh-CN"/>
              </w:rPr>
              <w:t>)</w:t>
            </w:r>
            <w:r>
              <w:rPr>
                <w:rFonts w:hint="default" w:ascii="Times New Roman" w:hAnsi="Times New Roman" w:cs="Times New Roman"/>
              </w:rPr>
              <w:t>，或2</w:t>
            </w:r>
            <w:r>
              <w:rPr>
                <w:rFonts w:hint="default" w:ascii="Times New Roman" w:hAnsi="Times New Roman" w:cs="Times New Roman"/>
                <w:lang w:val="en-US" w:eastAsia="zh-CN"/>
              </w:rPr>
              <w:t>mm</w:t>
            </w:r>
            <w:r>
              <w:rPr>
                <w:rFonts w:hint="default" w:ascii="Times New Roman" w:hAnsi="Times New Roman" w:cs="Times New Roman"/>
              </w:rPr>
              <w:t>厚高密度聚乙烯，或至少2</w:t>
            </w:r>
            <w:r>
              <w:rPr>
                <w:rFonts w:hint="default" w:ascii="Times New Roman" w:hAnsi="Times New Roman" w:cs="Times New Roman"/>
                <w:lang w:val="en-US" w:eastAsia="zh-CN"/>
              </w:rPr>
              <w:t>mm</w:t>
            </w:r>
            <w:r>
              <w:rPr>
                <w:rFonts w:hint="default" w:ascii="Times New Roman" w:hAnsi="Times New Roman" w:cs="Times New Roman"/>
              </w:rPr>
              <w:t>厚的其它人工材料</w:t>
            </w:r>
            <w:r>
              <w:rPr>
                <w:rFonts w:hint="default" w:ascii="Times New Roman" w:hAnsi="Times New Roman" w:cs="Times New Roman"/>
                <w:lang w:eastAsia="zh-CN"/>
              </w:rPr>
              <w:t>(</w:t>
            </w:r>
            <w:r>
              <w:rPr>
                <w:rFonts w:hint="default" w:ascii="Times New Roman" w:hAnsi="Times New Roman" w:cs="Times New Roman"/>
              </w:rPr>
              <w:t>渗透系数≤10</w:t>
            </w:r>
            <w:r>
              <w:rPr>
                <w:rFonts w:hint="default" w:ascii="Times New Roman" w:hAnsi="Times New Roman" w:cs="Times New Roman"/>
                <w:vertAlign w:val="superscript"/>
              </w:rPr>
              <w:t>-</w:t>
            </w:r>
            <w:r>
              <w:rPr>
                <w:rFonts w:hint="default" w:ascii="Times New Roman" w:hAnsi="Times New Roman" w:cs="Times New Roman"/>
                <w:vertAlign w:val="superscript"/>
                <w:lang w:val="en-US" w:eastAsia="zh-CN"/>
              </w:rPr>
              <w:t>10</w:t>
            </w:r>
            <w:r>
              <w:rPr>
                <w:rFonts w:hint="default" w:ascii="Times New Roman" w:hAnsi="Times New Roman" w:cs="Times New Roman"/>
                <w:lang w:val="en-US" w:eastAsia="zh-CN"/>
              </w:rPr>
              <w:t>cm/s</w:t>
            </w:r>
            <w:r>
              <w:rPr>
                <w:rFonts w:hint="default" w:ascii="Times New Roman" w:hAnsi="Times New Roman" w:cs="Times New Roman"/>
                <w:lang w:eastAsia="zh-CN"/>
              </w:rPr>
              <w:t>)</w:t>
            </w:r>
            <w:r>
              <w:rPr>
                <w:rFonts w:hint="default" w:ascii="Times New Roman" w:hAnsi="Times New Roman" w:cs="Times New Roman"/>
              </w:rPr>
              <w:t>；</w:t>
            </w:r>
          </w:p>
          <w:p>
            <w:pPr>
              <w:keepNext w:val="0"/>
              <w:keepLines w:val="0"/>
              <w:pageBreakBefore w:val="0"/>
              <w:kinsoku/>
              <w:wordWrap/>
              <w:overflowPunct/>
              <w:topLinePunct w:val="0"/>
              <w:autoSpaceDE/>
              <w:autoSpaceDN/>
              <w:bidi w:val="0"/>
              <w:adjustRightInd/>
              <w:snapToGrid/>
              <w:spacing w:line="480" w:lineRule="exact"/>
              <w:textAlignment w:val="auto"/>
              <w:rPr>
                <w:rFonts w:hint="eastAsia"/>
              </w:rPr>
            </w:pPr>
            <w:r>
              <w:rPr>
                <w:rFonts w:hint="eastAsia"/>
              </w:rPr>
              <w:t>③项目危险废物暂存间周围应设置围墙或其它防护栅栏；</w:t>
            </w:r>
          </w:p>
          <w:p>
            <w:pPr>
              <w:keepNext w:val="0"/>
              <w:keepLines w:val="0"/>
              <w:pageBreakBefore w:val="0"/>
              <w:kinsoku/>
              <w:wordWrap/>
              <w:overflowPunct/>
              <w:topLinePunct w:val="0"/>
              <w:autoSpaceDE/>
              <w:autoSpaceDN/>
              <w:bidi w:val="0"/>
              <w:adjustRightInd/>
              <w:snapToGrid/>
              <w:spacing w:line="480" w:lineRule="exact"/>
              <w:textAlignment w:val="auto"/>
              <w:rPr>
                <w:rFonts w:hint="eastAsia"/>
              </w:rPr>
            </w:pPr>
            <w:r>
              <w:rPr>
                <w:rFonts w:hint="eastAsia"/>
              </w:rPr>
              <w:t>④项目危险废物暂存间要防风、防雨、防晒；</w:t>
            </w:r>
          </w:p>
          <w:p>
            <w:pPr>
              <w:keepNext w:val="0"/>
              <w:keepLines w:val="0"/>
              <w:pageBreakBefore w:val="0"/>
              <w:kinsoku/>
              <w:wordWrap/>
              <w:overflowPunct/>
              <w:topLinePunct w:val="0"/>
              <w:autoSpaceDE/>
              <w:autoSpaceDN/>
              <w:bidi w:val="0"/>
              <w:adjustRightInd/>
              <w:snapToGrid/>
              <w:spacing w:line="480" w:lineRule="exact"/>
              <w:textAlignment w:val="auto"/>
              <w:rPr>
                <w:rFonts w:hint="eastAsia"/>
              </w:rPr>
            </w:pPr>
            <w:r>
              <w:rPr>
                <w:rFonts w:hint="eastAsia"/>
              </w:rPr>
              <w:t>⑤项目建设单位须作好危险废物情况的记录，记录上须注明危险废物的名称、来源、数量、特性和包装容器的类别、入库日期、存放库位、废物出库日期及接收单位名称等；</w:t>
            </w:r>
          </w:p>
          <w:p>
            <w:pPr>
              <w:keepNext w:val="0"/>
              <w:keepLines w:val="0"/>
              <w:pageBreakBefore w:val="0"/>
              <w:kinsoku/>
              <w:wordWrap/>
              <w:overflowPunct/>
              <w:topLinePunct w:val="0"/>
              <w:autoSpaceDE/>
              <w:autoSpaceDN/>
              <w:bidi w:val="0"/>
              <w:adjustRightInd/>
              <w:snapToGrid/>
              <w:spacing w:line="480" w:lineRule="exact"/>
              <w:textAlignment w:val="auto"/>
              <w:rPr>
                <w:rFonts w:hint="eastAsia"/>
              </w:rPr>
            </w:pPr>
            <w:r>
              <w:rPr>
                <w:rFonts w:hint="eastAsia"/>
              </w:rPr>
              <w:t>⑥危险废物的记录和货单在危险废物回取后应继续保留三年；</w:t>
            </w:r>
          </w:p>
          <w:p>
            <w:pPr>
              <w:keepNext w:val="0"/>
              <w:keepLines w:val="0"/>
              <w:pageBreakBefore w:val="0"/>
              <w:kinsoku/>
              <w:wordWrap/>
              <w:overflowPunct/>
              <w:topLinePunct w:val="0"/>
              <w:autoSpaceDE/>
              <w:autoSpaceDN/>
              <w:bidi w:val="0"/>
              <w:adjustRightInd/>
              <w:snapToGrid/>
              <w:spacing w:line="480" w:lineRule="exact"/>
              <w:textAlignment w:val="auto"/>
              <w:rPr>
                <w:rFonts w:hint="eastAsia"/>
              </w:rPr>
            </w:pPr>
            <w:r>
              <w:rPr>
                <w:rFonts w:hint="eastAsia"/>
              </w:rPr>
              <w:t>⑦必须定期对所贮存的危险废物包装容器及贮存设施进行检查，发现破损，应及时采取措施清理更换；</w:t>
            </w:r>
          </w:p>
          <w:p>
            <w:pPr>
              <w:keepNext w:val="0"/>
              <w:keepLines w:val="0"/>
              <w:pageBreakBefore w:val="0"/>
              <w:kinsoku/>
              <w:wordWrap/>
              <w:overflowPunct/>
              <w:topLinePunct w:val="0"/>
              <w:autoSpaceDE/>
              <w:autoSpaceDN/>
              <w:bidi w:val="0"/>
              <w:adjustRightInd/>
              <w:snapToGrid/>
              <w:spacing w:line="480" w:lineRule="exact"/>
              <w:textAlignment w:val="auto"/>
            </w:pPr>
            <w:r>
              <w:rPr>
                <w:rFonts w:hint="eastAsia"/>
              </w:rPr>
              <w:t>⑧项目危险废物暂存间应配备通讯设备、照明设施、安全防护服装及工具，并设有应急防护设施。</w:t>
            </w:r>
          </w:p>
          <w:p>
            <w:pPr>
              <w:keepNext w:val="0"/>
              <w:keepLines w:val="0"/>
              <w:pageBreakBefore w:val="0"/>
              <w:widowControl/>
              <w:kinsoku/>
              <w:wordWrap/>
              <w:overflowPunct/>
              <w:topLinePunct w:val="0"/>
              <w:autoSpaceDE/>
              <w:autoSpaceDN/>
              <w:bidi w:val="0"/>
              <w:adjustRightInd/>
              <w:snapToGrid/>
              <w:spacing w:line="480" w:lineRule="exact"/>
              <w:ind w:left="0" w:leftChars="0" w:firstLine="480" w:firstLineChars="200"/>
              <w:textAlignment w:val="auto"/>
              <w:rPr>
                <w:rFonts w:hint="eastAsia"/>
                <w:b w:val="0"/>
                <w:bCs w:val="0"/>
                <w:kern w:val="0"/>
              </w:rPr>
            </w:pPr>
            <w:r>
              <w:rPr>
                <w:rFonts w:hint="eastAsia"/>
                <w:b w:val="0"/>
                <w:bCs w:val="0"/>
                <w:kern w:val="0"/>
              </w:rPr>
              <w:t>根据中华人民共和国国务院令第344号《危险化学品安全管理条例》，在危险废弃物外运至处置单位时必须严格遵守以下要求：</w:t>
            </w:r>
          </w:p>
          <w:p>
            <w:pPr>
              <w:keepNext w:val="0"/>
              <w:keepLines w:val="0"/>
              <w:pageBreakBefore w:val="0"/>
              <w:widowControl/>
              <w:kinsoku/>
              <w:wordWrap/>
              <w:overflowPunct/>
              <w:topLinePunct w:val="0"/>
              <w:autoSpaceDE/>
              <w:autoSpaceDN/>
              <w:bidi w:val="0"/>
              <w:adjustRightInd/>
              <w:snapToGrid/>
              <w:spacing w:line="480" w:lineRule="exact"/>
              <w:ind w:left="0" w:leftChars="0" w:firstLine="480" w:firstLineChars="200"/>
              <w:textAlignment w:val="auto"/>
              <w:rPr>
                <w:rFonts w:hint="eastAsia"/>
                <w:b w:val="0"/>
                <w:bCs w:val="0"/>
                <w:kern w:val="0"/>
              </w:rPr>
            </w:pPr>
            <w:r>
              <w:rPr>
                <w:rFonts w:hint="eastAsia"/>
                <w:b w:val="0"/>
                <w:bCs w:val="0"/>
                <w:kern w:val="0"/>
              </w:rPr>
              <w:t>①做好每次外运处置</w:t>
            </w:r>
            <w:r>
              <w:rPr>
                <w:rFonts w:hint="eastAsia"/>
                <w:b w:val="0"/>
                <w:bCs w:val="0"/>
                <w:kern w:val="0"/>
                <w:lang w:val="en-US" w:eastAsia="zh-CN"/>
              </w:rPr>
              <w:t>固废</w:t>
            </w:r>
            <w:r>
              <w:rPr>
                <w:rFonts w:hint="eastAsia"/>
                <w:b w:val="0"/>
                <w:bCs w:val="0"/>
                <w:kern w:val="0"/>
              </w:rPr>
              <w:t>的运输登记，按照危险废物转移规定开展网上申报。</w:t>
            </w:r>
          </w:p>
          <w:p>
            <w:pPr>
              <w:keepNext w:val="0"/>
              <w:keepLines w:val="0"/>
              <w:pageBreakBefore w:val="0"/>
              <w:widowControl/>
              <w:kinsoku/>
              <w:wordWrap/>
              <w:overflowPunct/>
              <w:topLinePunct w:val="0"/>
              <w:autoSpaceDE/>
              <w:autoSpaceDN/>
              <w:bidi w:val="0"/>
              <w:adjustRightInd/>
              <w:snapToGrid/>
              <w:spacing w:line="480" w:lineRule="exact"/>
              <w:ind w:left="0" w:leftChars="0" w:firstLine="480" w:firstLineChars="200"/>
              <w:textAlignment w:val="auto"/>
              <w:rPr>
                <w:rFonts w:hint="eastAsia"/>
                <w:b w:val="0"/>
                <w:bCs w:val="0"/>
                <w:kern w:val="0"/>
              </w:rPr>
            </w:pPr>
            <w:r>
              <w:rPr>
                <w:rFonts w:hint="eastAsia"/>
                <w:b w:val="0"/>
                <w:bCs w:val="0"/>
                <w:kern w:val="0"/>
              </w:rPr>
              <w:t>②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pPr>
              <w:keepNext w:val="0"/>
              <w:keepLines w:val="0"/>
              <w:pageBreakBefore w:val="0"/>
              <w:widowControl/>
              <w:kinsoku/>
              <w:wordWrap/>
              <w:overflowPunct/>
              <w:topLinePunct w:val="0"/>
              <w:autoSpaceDE/>
              <w:autoSpaceDN/>
              <w:bidi w:val="0"/>
              <w:adjustRightInd/>
              <w:snapToGrid/>
              <w:spacing w:line="480" w:lineRule="exact"/>
              <w:ind w:left="0" w:leftChars="0" w:firstLine="480" w:firstLineChars="200"/>
              <w:textAlignment w:val="auto"/>
              <w:rPr>
                <w:rFonts w:hint="eastAsia"/>
                <w:b w:val="0"/>
                <w:bCs w:val="0"/>
                <w:kern w:val="0"/>
              </w:rPr>
            </w:pPr>
            <w:r>
              <w:rPr>
                <w:rFonts w:hint="eastAsia"/>
                <w:b w:val="0"/>
                <w:bCs w:val="0"/>
                <w:kern w:val="0"/>
              </w:rPr>
              <w:t>③处置单位在运输危险废弃物时必须配备押运人员，并随时处于押运人员的监管之下，不得超装、超载，严格按照所在城市规定的行车时间和行车路线行驶，不得进入危险化学品运输车辆禁止通行的区域。</w:t>
            </w:r>
          </w:p>
          <w:p>
            <w:pPr>
              <w:keepNext w:val="0"/>
              <w:keepLines w:val="0"/>
              <w:pageBreakBefore w:val="0"/>
              <w:widowControl/>
              <w:kinsoku/>
              <w:wordWrap/>
              <w:overflowPunct/>
              <w:topLinePunct w:val="0"/>
              <w:autoSpaceDE/>
              <w:autoSpaceDN/>
              <w:bidi w:val="0"/>
              <w:adjustRightInd/>
              <w:snapToGrid/>
              <w:spacing w:line="480" w:lineRule="exact"/>
              <w:ind w:left="0" w:leftChars="0" w:firstLine="480" w:firstLineChars="200"/>
              <w:textAlignment w:val="auto"/>
              <w:rPr>
                <w:rFonts w:hint="eastAsia"/>
                <w:b w:val="0"/>
                <w:bCs w:val="0"/>
                <w:kern w:val="0"/>
              </w:rPr>
            </w:pPr>
            <w:r>
              <w:rPr>
                <w:rFonts w:hint="eastAsia"/>
                <w:b w:val="0"/>
                <w:bCs w:val="0"/>
                <w:kern w:val="0"/>
              </w:rPr>
              <w:t>④危险废弃物在运输途中若发生被盗、丢失、流散、泄漏等情况时，公司及押运人员必须立即向当地公安部门报告，并采取一切可能的警示措施。</w:t>
            </w:r>
          </w:p>
          <w:p>
            <w:pPr>
              <w:keepNext w:val="0"/>
              <w:keepLines w:val="0"/>
              <w:pageBreakBefore w:val="0"/>
              <w:widowControl/>
              <w:kinsoku/>
              <w:wordWrap/>
              <w:overflowPunct/>
              <w:topLinePunct w:val="0"/>
              <w:autoSpaceDE/>
              <w:autoSpaceDN/>
              <w:bidi w:val="0"/>
              <w:adjustRightInd/>
              <w:snapToGrid/>
              <w:spacing w:line="480" w:lineRule="exact"/>
              <w:ind w:left="0" w:leftChars="0" w:firstLine="480" w:firstLineChars="200"/>
              <w:textAlignment w:val="auto"/>
              <w:rPr>
                <w:b/>
                <w:bCs/>
                <w:kern w:val="0"/>
              </w:rPr>
            </w:pPr>
            <w:r>
              <w:rPr>
                <w:rFonts w:hint="eastAsia"/>
                <w:b w:val="0"/>
                <w:bCs w:val="0"/>
                <w:kern w:val="0"/>
              </w:rPr>
              <w:t>⑤一旦发生废弃物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auto"/>
              <w:rPr>
                <w:b/>
                <w:bCs/>
                <w:kern w:val="0"/>
              </w:rPr>
            </w:pPr>
            <w:r>
              <w:rPr>
                <w:b/>
                <w:bCs/>
                <w:kern w:val="0"/>
              </w:rPr>
              <w:t>5</w:t>
            </w:r>
            <w:r>
              <w:rPr>
                <w:rFonts w:hint="eastAsia"/>
                <w:b/>
                <w:bCs/>
                <w:kern w:val="0"/>
              </w:rPr>
              <w:t>、地下水、土壤</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eastAsia="宋体"/>
                <w:b/>
                <w:bCs/>
                <w:kern w:val="0"/>
                <w:lang w:val="en-US" w:eastAsia="zh-CN"/>
              </w:rPr>
            </w:pPr>
            <w:r>
              <w:rPr>
                <w:rFonts w:hint="eastAsia"/>
                <w:b/>
                <w:bCs/>
                <w:kern w:val="0"/>
                <w:lang w:eastAsia="zh-CN"/>
              </w:rPr>
              <w:t>(</w:t>
            </w:r>
            <w:r>
              <w:rPr>
                <w:rFonts w:hint="eastAsia"/>
                <w:b/>
                <w:bCs/>
                <w:kern w:val="0"/>
                <w:lang w:val="en-US" w:eastAsia="zh-CN"/>
              </w:rPr>
              <w:t>1</w:t>
            </w:r>
            <w:r>
              <w:rPr>
                <w:rFonts w:hint="eastAsia"/>
                <w:b/>
                <w:bCs/>
                <w:kern w:val="0"/>
                <w:lang w:eastAsia="zh-CN"/>
              </w:rPr>
              <w:t>)</w:t>
            </w:r>
            <w:r>
              <w:rPr>
                <w:rFonts w:hint="eastAsia"/>
                <w:b/>
                <w:bCs/>
                <w:kern w:val="0"/>
                <w:lang w:val="en-US" w:eastAsia="zh-CN"/>
              </w:rPr>
              <w:t xml:space="preserve"> 污染源、污染物类型及途径</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eastAsia"/>
                <w:kern w:val="0"/>
                <w:lang w:val="en-US" w:eastAsia="zh-CN"/>
              </w:rPr>
            </w:pPr>
            <w:r>
              <w:rPr>
                <w:rFonts w:hint="eastAsia"/>
                <w:kern w:val="0"/>
                <w:lang w:val="en-US" w:eastAsia="zh-CN"/>
              </w:rPr>
              <w:t>项目运营后，对地下水和土壤环境可能造成影响的污染源、污染物类型及污染途径详见表4-7。</w:t>
            </w:r>
          </w:p>
          <w:p>
            <w:pPr>
              <w:pStyle w:val="21"/>
              <w:bidi w:val="0"/>
              <w:rPr>
                <w:rFonts w:hint="default"/>
                <w:lang w:val="en-US" w:eastAsia="zh-CN"/>
              </w:rPr>
            </w:pPr>
            <w:r>
              <w:rPr>
                <w:rFonts w:hint="eastAsia"/>
                <w:lang w:val="en-US" w:eastAsia="zh-CN"/>
              </w:rPr>
              <w:t>表4-7  项目地下水和土壤污染源、类型及途径一览表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29"/>
              <w:gridCol w:w="3046"/>
              <w:gridCol w:w="1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58" w:type="dxa"/>
                  <w:gridSpan w:val="2"/>
                  <w:shd w:val="clear" w:color="auto" w:fill="auto"/>
                  <w:vAlign w:val="center"/>
                </w:tcPr>
                <w:p>
                  <w:pPr>
                    <w:pStyle w:val="19"/>
                    <w:bidi w:val="0"/>
                    <w:rPr>
                      <w:rFonts w:hint="default"/>
                      <w:b/>
                      <w:bCs/>
                      <w:color w:val="auto"/>
                      <w:vertAlign w:val="baseline"/>
                      <w:lang w:val="en-US" w:eastAsia="zh-CN"/>
                    </w:rPr>
                  </w:pPr>
                  <w:r>
                    <w:rPr>
                      <w:rFonts w:hint="eastAsia"/>
                      <w:b/>
                      <w:bCs/>
                      <w:color w:val="auto"/>
                      <w:vertAlign w:val="baseline"/>
                      <w:lang w:val="en-US" w:eastAsia="zh-CN"/>
                    </w:rPr>
                    <w:t>污染源</w:t>
                  </w:r>
                </w:p>
              </w:tc>
              <w:tc>
                <w:tcPr>
                  <w:tcW w:w="3046" w:type="dxa"/>
                  <w:vMerge w:val="restart"/>
                  <w:shd w:val="clear" w:color="auto" w:fill="auto"/>
                  <w:vAlign w:val="center"/>
                </w:tcPr>
                <w:p>
                  <w:pPr>
                    <w:pStyle w:val="19"/>
                    <w:bidi w:val="0"/>
                    <w:rPr>
                      <w:rFonts w:hint="default"/>
                      <w:b/>
                      <w:bCs/>
                      <w:color w:val="auto"/>
                      <w:vertAlign w:val="baseline"/>
                      <w:lang w:val="en-US" w:eastAsia="zh-CN"/>
                    </w:rPr>
                  </w:pPr>
                  <w:r>
                    <w:rPr>
                      <w:rFonts w:hint="eastAsia"/>
                      <w:b/>
                      <w:bCs/>
                      <w:color w:val="auto"/>
                      <w:vertAlign w:val="baseline"/>
                      <w:lang w:val="en-US" w:eastAsia="zh-CN"/>
                    </w:rPr>
                    <w:t>污染物类型</w:t>
                  </w:r>
                </w:p>
              </w:tc>
              <w:tc>
                <w:tcPr>
                  <w:tcW w:w="1214" w:type="dxa"/>
                  <w:vMerge w:val="restart"/>
                  <w:shd w:val="clear" w:color="auto" w:fill="auto"/>
                  <w:vAlign w:val="center"/>
                </w:tcPr>
                <w:p>
                  <w:pPr>
                    <w:pStyle w:val="19"/>
                    <w:bidi w:val="0"/>
                    <w:rPr>
                      <w:rFonts w:hint="default"/>
                      <w:b/>
                      <w:bCs/>
                      <w:color w:val="auto"/>
                      <w:vertAlign w:val="baseline"/>
                      <w:lang w:val="en-US" w:eastAsia="zh-CN"/>
                    </w:rPr>
                  </w:pPr>
                  <w:r>
                    <w:rPr>
                      <w:rFonts w:hint="eastAsia"/>
                      <w:b/>
                      <w:bCs/>
                      <w:color w:val="auto"/>
                      <w:vertAlign w:val="baseline"/>
                      <w:lang w:val="en-US" w:eastAsia="zh-CN"/>
                    </w:rPr>
                    <w:t>污染途径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shd w:val="clear" w:color="auto" w:fill="auto"/>
                  <w:vAlign w:val="center"/>
                </w:tcPr>
                <w:p>
                  <w:pPr>
                    <w:pStyle w:val="19"/>
                    <w:bidi w:val="0"/>
                    <w:rPr>
                      <w:rFonts w:hint="default"/>
                      <w:b/>
                      <w:bCs/>
                      <w:color w:val="auto"/>
                      <w:vertAlign w:val="baseline"/>
                      <w:lang w:val="en-US" w:eastAsia="zh-CN"/>
                    </w:rPr>
                  </w:pPr>
                  <w:r>
                    <w:rPr>
                      <w:rFonts w:hint="eastAsia"/>
                      <w:b/>
                      <w:bCs/>
                      <w:color w:val="auto"/>
                      <w:vertAlign w:val="baseline"/>
                      <w:lang w:val="en-US" w:eastAsia="zh-CN"/>
                    </w:rPr>
                    <w:t>装置/设备</w:t>
                  </w:r>
                </w:p>
              </w:tc>
              <w:tc>
                <w:tcPr>
                  <w:tcW w:w="2129" w:type="dxa"/>
                  <w:shd w:val="clear" w:color="auto" w:fill="auto"/>
                  <w:vAlign w:val="center"/>
                </w:tcPr>
                <w:p>
                  <w:pPr>
                    <w:pStyle w:val="19"/>
                    <w:bidi w:val="0"/>
                    <w:rPr>
                      <w:rFonts w:hint="default"/>
                      <w:b/>
                      <w:bCs/>
                      <w:color w:val="auto"/>
                      <w:vertAlign w:val="baseline"/>
                      <w:lang w:val="en-US" w:eastAsia="zh-CN"/>
                    </w:rPr>
                  </w:pPr>
                  <w:r>
                    <w:rPr>
                      <w:rFonts w:hint="eastAsia"/>
                      <w:b/>
                      <w:bCs/>
                      <w:color w:val="auto"/>
                      <w:vertAlign w:val="baseline"/>
                      <w:lang w:val="en-US" w:eastAsia="zh-CN"/>
                    </w:rPr>
                    <w:t>节点</w:t>
                  </w:r>
                </w:p>
              </w:tc>
              <w:tc>
                <w:tcPr>
                  <w:tcW w:w="3046" w:type="dxa"/>
                  <w:vMerge w:val="continue"/>
                  <w:shd w:val="clear" w:color="auto" w:fill="auto"/>
                  <w:vAlign w:val="center"/>
                </w:tcPr>
                <w:p>
                  <w:pPr>
                    <w:pStyle w:val="19"/>
                    <w:bidi w:val="0"/>
                    <w:rPr>
                      <w:rFonts w:hint="default"/>
                      <w:b/>
                      <w:bCs/>
                      <w:color w:val="auto"/>
                      <w:vertAlign w:val="baseline"/>
                      <w:lang w:val="en-US" w:eastAsia="zh-CN"/>
                    </w:rPr>
                  </w:pPr>
                </w:p>
              </w:tc>
              <w:tc>
                <w:tcPr>
                  <w:tcW w:w="1214" w:type="dxa"/>
                  <w:vMerge w:val="continue"/>
                  <w:shd w:val="clear" w:color="auto" w:fill="auto"/>
                  <w:vAlign w:val="center"/>
                </w:tcPr>
                <w:p>
                  <w:pPr>
                    <w:pStyle w:val="19"/>
                    <w:bidi w:val="0"/>
                    <w:rPr>
                      <w:rFonts w:hint="default"/>
                      <w:b/>
                      <w:bCs/>
                      <w:color w:val="auto"/>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生产装置</w:t>
                  </w:r>
                </w:p>
              </w:tc>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DA001排气筒</w:t>
                  </w:r>
                </w:p>
              </w:tc>
              <w:tc>
                <w:tcPr>
                  <w:tcW w:w="3046"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颗粒物、氟化物、二噁英等</w:t>
                  </w:r>
                </w:p>
              </w:tc>
              <w:tc>
                <w:tcPr>
                  <w:tcW w:w="1214"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大气沉降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循环水池</w:t>
                  </w:r>
                </w:p>
              </w:tc>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池体、池壁渗漏</w:t>
                  </w:r>
                </w:p>
              </w:tc>
              <w:tc>
                <w:tcPr>
                  <w:tcW w:w="3046"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COD、氨氮等</w:t>
                  </w:r>
                </w:p>
              </w:tc>
              <w:tc>
                <w:tcPr>
                  <w:tcW w:w="1214"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垂直入渗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化粪池</w:t>
                  </w:r>
                </w:p>
              </w:tc>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池体、池壁渗漏</w:t>
                  </w:r>
                </w:p>
              </w:tc>
              <w:tc>
                <w:tcPr>
                  <w:tcW w:w="3046"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COD、氨氮等</w:t>
                  </w:r>
                </w:p>
              </w:tc>
              <w:tc>
                <w:tcPr>
                  <w:tcW w:w="1214"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垂直入渗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废水输送</w:t>
                  </w:r>
                </w:p>
              </w:tc>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管线破裂</w:t>
                  </w:r>
                </w:p>
              </w:tc>
              <w:tc>
                <w:tcPr>
                  <w:tcW w:w="3046"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COD、氨氮等</w:t>
                  </w:r>
                </w:p>
              </w:tc>
              <w:tc>
                <w:tcPr>
                  <w:tcW w:w="1214"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垂直入渗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rPr>
                    <w:t>危废暂存间</w:t>
                  </w:r>
                </w:p>
              </w:tc>
              <w:tc>
                <w:tcPr>
                  <w:tcW w:w="2129"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危险废物泄露</w:t>
                  </w:r>
                </w:p>
              </w:tc>
              <w:tc>
                <w:tcPr>
                  <w:tcW w:w="3046"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石油类等</w:t>
                  </w:r>
                </w:p>
              </w:tc>
              <w:tc>
                <w:tcPr>
                  <w:tcW w:w="1214" w:type="dxa"/>
                  <w:shd w:val="clear" w:color="auto" w:fill="auto"/>
                  <w:vAlign w:val="center"/>
                </w:tcPr>
                <w:p>
                  <w:pPr>
                    <w:pStyle w:val="19"/>
                    <w:bidi w:val="0"/>
                    <w:rPr>
                      <w:rFonts w:hint="default"/>
                      <w:color w:val="auto"/>
                      <w:vertAlign w:val="baseline"/>
                      <w:lang w:val="en-US" w:eastAsia="zh-CN"/>
                    </w:rPr>
                  </w:pPr>
                  <w:r>
                    <w:rPr>
                      <w:rFonts w:hint="eastAsia"/>
                      <w:color w:val="auto"/>
                      <w:vertAlign w:val="baseline"/>
                      <w:lang w:val="en-US" w:eastAsia="zh-CN"/>
                    </w:rPr>
                    <w:t>垂直入渗</w:t>
                  </w:r>
                </w:p>
              </w:tc>
            </w:tr>
          </w:tbl>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b/>
                <w:bCs/>
                <w:lang w:val="en-US" w:eastAsia="zh-CN"/>
              </w:rPr>
            </w:pPr>
            <w:r>
              <w:rPr>
                <w:rFonts w:hint="eastAsia"/>
                <w:b/>
                <w:bCs/>
                <w:lang w:val="en-US" w:eastAsia="zh-CN"/>
              </w:rPr>
              <w:t>(2) 分区防控措施</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lang w:val="en-US" w:eastAsia="zh-CN"/>
              </w:rPr>
            </w:pPr>
            <w:r>
              <w:rPr>
                <w:rFonts w:hint="default"/>
                <w:lang w:val="en-US" w:eastAsia="zh-CN"/>
              </w:rPr>
              <w:t>项目建成后采取严格的防渗漏、防渗措施。危废暂存间、</w:t>
            </w:r>
            <w:r>
              <w:rPr>
                <w:rFonts w:hint="eastAsia"/>
                <w:lang w:val="en-US" w:eastAsia="zh-CN"/>
              </w:rPr>
              <w:t>循环水池</w:t>
            </w:r>
            <w:r>
              <w:rPr>
                <w:rFonts w:hint="default"/>
                <w:lang w:val="en-US" w:eastAsia="zh-CN"/>
              </w:rPr>
              <w:t>、车间厂房、一般固废暂存库等均按分区进行防渗处理，具体要求如下</w:t>
            </w:r>
            <w:r>
              <w:rPr>
                <w:rFonts w:hint="eastAsia"/>
                <w:lang w:val="en-US" w:eastAsia="zh-CN"/>
              </w:rPr>
              <w:t>表4-8</w:t>
            </w:r>
            <w:r>
              <w:rPr>
                <w:rFonts w:hint="default"/>
                <w:lang w:val="en-US" w:eastAsia="zh-CN"/>
              </w:rPr>
              <w:t>。落实上述分区防渗措施后，项目对区域土壤和地下水环境影响</w:t>
            </w:r>
            <w:r>
              <w:rPr>
                <w:rFonts w:hint="eastAsia"/>
                <w:lang w:val="en-US" w:eastAsia="zh-CN"/>
              </w:rPr>
              <w:t>较小</w:t>
            </w:r>
            <w:r>
              <w:rPr>
                <w:rFonts w:hint="default"/>
                <w:lang w:val="en-US" w:eastAsia="zh-CN"/>
              </w:rPr>
              <w:t>。</w:t>
            </w:r>
          </w:p>
          <w:p>
            <w:pPr>
              <w:pStyle w:val="21"/>
              <w:bidi w:val="0"/>
            </w:pPr>
            <w:r>
              <w:rPr>
                <w:rFonts w:hint="eastAsia"/>
              </w:rPr>
              <w:t>表</w:t>
            </w:r>
            <w:r>
              <w:rPr>
                <w:rFonts w:hint="eastAsia"/>
                <w:lang w:val="en-US" w:eastAsia="zh-CN"/>
              </w:rPr>
              <w:t xml:space="preserve">4-8  </w:t>
            </w:r>
            <w:r>
              <w:rPr>
                <w:rFonts w:hint="eastAsia"/>
              </w:rPr>
              <w:t>项目分区防渗情况一览表</w:t>
            </w:r>
          </w:p>
          <w:tbl>
            <w:tblPr>
              <w:tblStyle w:val="16"/>
              <w:tblW w:w="83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1"/>
              <w:gridCol w:w="1800"/>
              <w:gridCol w:w="5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dxa"/>
                  <w:noWrap w:val="0"/>
                  <w:vAlign w:val="center"/>
                </w:tcPr>
                <w:p>
                  <w:pPr>
                    <w:pStyle w:val="19"/>
                    <w:bidi w:val="0"/>
                    <w:jc w:val="both"/>
                    <w:rPr>
                      <w:b/>
                      <w:bCs/>
                    </w:rPr>
                  </w:pPr>
                  <w:r>
                    <w:rPr>
                      <w:b/>
                      <w:bCs/>
                    </w:rPr>
                    <w:t>单元名称</w:t>
                  </w:r>
                </w:p>
              </w:tc>
              <w:tc>
                <w:tcPr>
                  <w:tcW w:w="1800" w:type="dxa"/>
                  <w:noWrap w:val="0"/>
                  <w:vAlign w:val="center"/>
                </w:tcPr>
                <w:p>
                  <w:pPr>
                    <w:pStyle w:val="19"/>
                    <w:bidi w:val="0"/>
                    <w:jc w:val="both"/>
                    <w:rPr>
                      <w:b/>
                      <w:bCs/>
                    </w:rPr>
                  </w:pPr>
                  <w:r>
                    <w:rPr>
                      <w:b/>
                      <w:bCs/>
                    </w:rPr>
                    <w:t>污染防治区类别</w:t>
                  </w:r>
                </w:p>
              </w:tc>
              <w:tc>
                <w:tcPr>
                  <w:tcW w:w="5320" w:type="dxa"/>
                  <w:noWrap w:val="0"/>
                  <w:vAlign w:val="center"/>
                </w:tcPr>
                <w:p>
                  <w:pPr>
                    <w:pStyle w:val="19"/>
                    <w:bidi w:val="0"/>
                    <w:jc w:val="both"/>
                    <w:rPr>
                      <w:b/>
                      <w:bCs/>
                    </w:rPr>
                  </w:pPr>
                  <w:r>
                    <w:rPr>
                      <w:b/>
                      <w:bCs/>
                    </w:rPr>
                    <w:t>防渗设计要求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dxa"/>
                  <w:noWrap w:val="0"/>
                  <w:vAlign w:val="center"/>
                </w:tcPr>
                <w:p>
                  <w:pPr>
                    <w:pStyle w:val="19"/>
                    <w:bidi w:val="0"/>
                    <w:jc w:val="both"/>
                    <w:rPr>
                      <w:rFonts w:hint="default" w:eastAsia="宋体"/>
                      <w:lang w:val="en-US" w:eastAsia="zh-CN"/>
                    </w:rPr>
                  </w:pPr>
                  <w:r>
                    <w:rPr>
                      <w:rFonts w:hint="eastAsia"/>
                    </w:rPr>
                    <w:t>危废暂存间、</w:t>
                  </w:r>
                  <w:r>
                    <w:rPr>
                      <w:rFonts w:hint="eastAsia"/>
                      <w:lang w:val="en-US" w:eastAsia="zh-CN"/>
                    </w:rPr>
                    <w:t>循环水池</w:t>
                  </w:r>
                </w:p>
              </w:tc>
              <w:tc>
                <w:tcPr>
                  <w:tcW w:w="1800" w:type="dxa"/>
                  <w:noWrap w:val="0"/>
                  <w:vAlign w:val="center"/>
                </w:tcPr>
                <w:p>
                  <w:pPr>
                    <w:pStyle w:val="19"/>
                    <w:bidi w:val="0"/>
                    <w:jc w:val="both"/>
                  </w:pPr>
                  <w:r>
                    <w:t>重点防渗区</w:t>
                  </w:r>
                </w:p>
              </w:tc>
              <w:tc>
                <w:tcPr>
                  <w:tcW w:w="5320" w:type="dxa"/>
                  <w:noWrap w:val="0"/>
                  <w:vAlign w:val="center"/>
                </w:tcPr>
                <w:p>
                  <w:pPr>
                    <w:pStyle w:val="19"/>
                    <w:bidi w:val="0"/>
                    <w:jc w:val="both"/>
                    <w:rPr>
                      <w:rFonts w:hint="eastAsia" w:eastAsia="宋体"/>
                      <w:lang w:eastAsia="zh-CN"/>
                    </w:rPr>
                  </w:pPr>
                  <w:r>
                    <w:t>严格按照</w:t>
                  </w:r>
                  <w:r>
                    <w:rPr>
                      <w:color w:val="auto"/>
                    </w:rPr>
                    <w:t>《危险废物贮存污染控制标准》</w:t>
                  </w:r>
                  <w:r>
                    <w:rPr>
                      <w:rFonts w:hint="eastAsia"/>
                      <w:color w:val="auto"/>
                      <w:lang w:eastAsia="zh-CN"/>
                    </w:rPr>
                    <w:t>(</w:t>
                  </w:r>
                  <w:r>
                    <w:rPr>
                      <w:color w:val="auto"/>
                    </w:rPr>
                    <w:t>GB</w:t>
                  </w:r>
                  <w:r>
                    <w:rPr>
                      <w:rFonts w:hint="eastAsia"/>
                      <w:color w:val="auto"/>
                      <w:lang w:val="en-US" w:eastAsia="zh-CN"/>
                    </w:rPr>
                    <w:t xml:space="preserve"> </w:t>
                  </w:r>
                  <w:r>
                    <w:rPr>
                      <w:color w:val="auto"/>
                    </w:rPr>
                    <w:t>18597-</w:t>
                  </w:r>
                  <w:r>
                    <w:rPr>
                      <w:rFonts w:hint="eastAsia"/>
                      <w:color w:val="auto"/>
                      <w:lang w:val="en-US" w:eastAsia="zh-CN"/>
                    </w:rPr>
                    <w:t xml:space="preserve"> </w:t>
                  </w:r>
                  <w:r>
                    <w:rPr>
                      <w:color w:val="auto"/>
                    </w:rPr>
                    <w:t>20</w:t>
                  </w:r>
                  <w:r>
                    <w:rPr>
                      <w:rFonts w:hint="eastAsia"/>
                      <w:color w:val="auto"/>
                      <w:lang w:val="en-US" w:eastAsia="zh-CN"/>
                    </w:rPr>
                    <w:t>23</w:t>
                  </w:r>
                  <w:r>
                    <w:rPr>
                      <w:rFonts w:hint="eastAsia"/>
                      <w:color w:val="auto"/>
                      <w:lang w:eastAsia="zh-CN"/>
                    </w:rPr>
                    <w:t>)</w:t>
                  </w:r>
                  <w:r>
                    <w:t>的相关要求</w:t>
                  </w:r>
                  <w:r>
                    <w:rPr>
                      <w:rFonts w:hint="eastAsia"/>
                      <w:lang w:val="en-US" w:eastAsia="zh-CN"/>
                    </w:rPr>
                    <w:t>改造</w:t>
                  </w:r>
                  <w:r>
                    <w:t>危险废物暂存</w:t>
                  </w:r>
                  <w:r>
                    <w:rPr>
                      <w:rFonts w:hint="eastAsia"/>
                    </w:rPr>
                    <w:t>间</w:t>
                  </w:r>
                  <w:r>
                    <w:t>，防止危险废物对地下水造成威胁。基础防渗层为至少1</w:t>
                  </w:r>
                  <w:r>
                    <w:rPr>
                      <w:rFonts w:hint="eastAsia"/>
                      <w:lang w:val="en-US" w:eastAsia="zh-CN"/>
                    </w:rPr>
                    <w:t>m</w:t>
                  </w:r>
                  <w:r>
                    <w:t>厚粘土层</w:t>
                  </w:r>
                  <w:r>
                    <w:rPr>
                      <w:rFonts w:hint="eastAsia"/>
                      <w:lang w:eastAsia="zh-CN"/>
                    </w:rPr>
                    <w:t>(</w:t>
                  </w:r>
                  <w:r>
                    <w:t>渗透系数≤10</w:t>
                  </w:r>
                  <w:r>
                    <w:rPr>
                      <w:vertAlign w:val="superscript"/>
                    </w:rPr>
                    <w:t>-7</w:t>
                  </w:r>
                  <w:r>
                    <w:t>cm/s</w:t>
                  </w:r>
                  <w:r>
                    <w:rPr>
                      <w:rFonts w:hint="eastAsia"/>
                      <w:lang w:eastAsia="zh-CN"/>
                    </w:rPr>
                    <w:t>)</w:t>
                  </w:r>
                  <w:r>
                    <w:t>，或2mm厚高密度聚乙烯，或至少2mm厚的其它人工材料</w:t>
                  </w:r>
                  <w:r>
                    <w:rPr>
                      <w:rFonts w:hint="eastAsia"/>
                      <w:lang w:eastAsia="zh-CN"/>
                    </w:rPr>
                    <w:t>(</w:t>
                  </w:r>
                  <w:r>
                    <w:t>渗透系数≤10</w:t>
                  </w:r>
                  <w:r>
                    <w:rPr>
                      <w:vertAlign w:val="superscript"/>
                    </w:rPr>
                    <w:t>-1</w:t>
                  </w:r>
                  <w:r>
                    <w:rPr>
                      <w:rFonts w:hint="eastAsia"/>
                      <w:vertAlign w:val="superscript"/>
                    </w:rPr>
                    <w:t>2</w:t>
                  </w:r>
                  <w:r>
                    <w:t>cm/s</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dxa"/>
                  <w:noWrap w:val="0"/>
                  <w:vAlign w:val="center"/>
                </w:tcPr>
                <w:p>
                  <w:pPr>
                    <w:pStyle w:val="19"/>
                    <w:bidi w:val="0"/>
                    <w:jc w:val="both"/>
                  </w:pPr>
                  <w:r>
                    <w:rPr>
                      <w:lang w:val="zh-CN"/>
                    </w:rPr>
                    <w:t>车间厂房</w:t>
                  </w:r>
                </w:p>
              </w:tc>
              <w:tc>
                <w:tcPr>
                  <w:tcW w:w="1800" w:type="dxa"/>
                  <w:noWrap w:val="0"/>
                  <w:vAlign w:val="center"/>
                </w:tcPr>
                <w:p>
                  <w:pPr>
                    <w:pStyle w:val="19"/>
                    <w:bidi w:val="0"/>
                    <w:jc w:val="both"/>
                  </w:pPr>
                  <w:r>
                    <w:t>一般防渗区</w:t>
                  </w:r>
                </w:p>
              </w:tc>
              <w:tc>
                <w:tcPr>
                  <w:tcW w:w="5320" w:type="dxa"/>
                  <w:noWrap w:val="0"/>
                  <w:vAlign w:val="center"/>
                </w:tcPr>
                <w:p>
                  <w:pPr>
                    <w:pStyle w:val="19"/>
                    <w:bidi w:val="0"/>
                    <w:jc w:val="both"/>
                  </w:pPr>
                  <w:r>
                    <w:t>防渗层的防渗性能不应低于1.5m厚渗透系数</w:t>
                  </w:r>
                  <w:r>
                    <w:rPr>
                      <w:rFonts w:hint="eastAsia"/>
                    </w:rPr>
                    <w:t>为</w:t>
                  </w:r>
                  <w:r>
                    <w:t>1.0×10</w:t>
                  </w:r>
                  <w:r>
                    <w:rPr>
                      <w:vertAlign w:val="superscript"/>
                    </w:rPr>
                    <w:t>-7</w:t>
                  </w:r>
                  <w:r>
                    <w:t>cm/s的黏土层的防渗性能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1" w:type="dxa"/>
                  <w:noWrap w:val="0"/>
                  <w:vAlign w:val="center"/>
                </w:tcPr>
                <w:p>
                  <w:pPr>
                    <w:pStyle w:val="19"/>
                    <w:bidi w:val="0"/>
                    <w:jc w:val="both"/>
                  </w:pPr>
                  <w:r>
                    <w:rPr>
                      <w:rFonts w:hint="eastAsia"/>
                      <w:lang w:val="zh-CN"/>
                    </w:rPr>
                    <w:t>办公区</w:t>
                  </w:r>
                </w:p>
              </w:tc>
              <w:tc>
                <w:tcPr>
                  <w:tcW w:w="1800" w:type="dxa"/>
                  <w:noWrap w:val="0"/>
                  <w:vAlign w:val="center"/>
                </w:tcPr>
                <w:p>
                  <w:pPr>
                    <w:pStyle w:val="19"/>
                    <w:bidi w:val="0"/>
                    <w:jc w:val="both"/>
                  </w:pPr>
                  <w:r>
                    <w:rPr>
                      <w:rFonts w:hint="eastAsia"/>
                    </w:rPr>
                    <w:t>非污染防治区</w:t>
                  </w:r>
                </w:p>
              </w:tc>
              <w:tc>
                <w:tcPr>
                  <w:tcW w:w="5320" w:type="dxa"/>
                  <w:noWrap w:val="0"/>
                  <w:vAlign w:val="center"/>
                </w:tcPr>
                <w:p>
                  <w:pPr>
                    <w:pStyle w:val="19"/>
                    <w:bidi w:val="0"/>
                    <w:jc w:val="both"/>
                  </w:pPr>
                  <w:r>
                    <w:rPr>
                      <w:rFonts w:hint="eastAsia"/>
                    </w:rPr>
                    <w:t>地面进行一般硬化处理</w:t>
                  </w:r>
                </w:p>
              </w:tc>
            </w:tr>
          </w:tbl>
          <w:p>
            <w:pPr>
              <w:keepNext w:val="0"/>
              <w:keepLines w:val="0"/>
              <w:pageBreakBefore w:val="0"/>
              <w:widowControl/>
              <w:kinsoku/>
              <w:wordWrap/>
              <w:overflowPunct/>
              <w:topLinePunct w:val="0"/>
              <w:autoSpaceDE/>
              <w:autoSpaceDN/>
              <w:bidi w:val="0"/>
              <w:adjustRightInd/>
              <w:snapToGrid/>
              <w:spacing w:line="480" w:lineRule="exact"/>
              <w:ind w:left="0" w:leftChars="0" w:firstLine="0" w:firstLineChars="0"/>
              <w:textAlignment w:val="auto"/>
              <w:rPr>
                <w:b/>
                <w:bCs/>
                <w:kern w:val="0"/>
              </w:rPr>
            </w:pPr>
            <w:r>
              <w:rPr>
                <w:rFonts w:hint="eastAsia"/>
                <w:b/>
                <w:bCs/>
                <w:kern w:val="0"/>
              </w:rPr>
              <w:t>6、环境风险</w:t>
            </w:r>
          </w:p>
          <w:p>
            <w:pPr>
              <w:keepNext w:val="0"/>
              <w:keepLines w:val="0"/>
              <w:pageBreakBefore w:val="0"/>
              <w:widowControl/>
              <w:kinsoku/>
              <w:wordWrap/>
              <w:overflowPunct/>
              <w:topLinePunct w:val="0"/>
              <w:autoSpaceDE/>
              <w:autoSpaceDN/>
              <w:bidi w:val="0"/>
              <w:adjustRightInd/>
              <w:snapToGrid/>
              <w:spacing w:line="480" w:lineRule="exact"/>
              <w:textAlignment w:val="auto"/>
              <w:rPr>
                <w:rFonts w:hint="default" w:eastAsia="宋体"/>
                <w:b/>
                <w:bCs/>
                <w:kern w:val="0"/>
                <w:lang w:val="en-US" w:eastAsia="zh-CN"/>
              </w:rPr>
            </w:pPr>
            <w:r>
              <w:rPr>
                <w:rFonts w:hint="eastAsia"/>
                <w:b/>
                <w:bCs/>
                <w:kern w:val="0"/>
                <w:lang w:eastAsia="zh-CN"/>
              </w:rPr>
              <w:t>(</w:t>
            </w:r>
            <w:r>
              <w:rPr>
                <w:rFonts w:hint="eastAsia"/>
                <w:b/>
                <w:bCs/>
                <w:kern w:val="0"/>
                <w:lang w:val="en-US" w:eastAsia="zh-CN"/>
              </w:rPr>
              <w:t>1</w:t>
            </w:r>
            <w:r>
              <w:rPr>
                <w:rFonts w:hint="eastAsia"/>
                <w:b/>
                <w:bCs/>
                <w:kern w:val="0"/>
                <w:lang w:eastAsia="zh-CN"/>
              </w:rPr>
              <w:t>)</w:t>
            </w:r>
            <w:r>
              <w:rPr>
                <w:rFonts w:hint="eastAsia"/>
                <w:b/>
                <w:bCs/>
                <w:kern w:val="0"/>
                <w:lang w:val="en-US" w:eastAsia="zh-CN"/>
              </w:rPr>
              <w:t xml:space="preserve"> 风险物质调查</w:t>
            </w:r>
          </w:p>
          <w:p>
            <w:pPr>
              <w:keepNext w:val="0"/>
              <w:keepLines w:val="0"/>
              <w:pageBreakBefore w:val="0"/>
              <w:kinsoku/>
              <w:wordWrap/>
              <w:overflowPunct/>
              <w:topLinePunct w:val="0"/>
              <w:autoSpaceDE/>
              <w:autoSpaceDN/>
              <w:bidi w:val="0"/>
              <w:adjustRightInd/>
              <w:snapToGrid/>
              <w:spacing w:line="480" w:lineRule="exact"/>
              <w:textAlignment w:val="auto"/>
              <w:rPr>
                <w:rFonts w:hint="eastAsia"/>
              </w:rPr>
            </w:pPr>
            <w:r>
              <w:rPr>
                <w:rFonts w:hint="eastAsia"/>
                <w:lang w:val="en-US" w:eastAsia="zh-CN"/>
              </w:rPr>
              <w:t>根据项目生产工艺特点和原辅材料使用情况，项</w:t>
            </w:r>
            <w:r>
              <w:rPr>
                <w:rFonts w:hint="eastAsia"/>
              </w:rPr>
              <w:t>目涉及《建设项目环境风险评价技术导则》</w:t>
            </w:r>
            <w:r>
              <w:rPr>
                <w:rFonts w:hint="eastAsia"/>
                <w:lang w:eastAsia="zh-CN"/>
              </w:rPr>
              <w:t>(</w:t>
            </w:r>
            <w:r>
              <w:rPr>
                <w:rFonts w:hint="eastAsia"/>
              </w:rPr>
              <w:t>HJ</w:t>
            </w:r>
            <w:r>
              <w:rPr>
                <w:rFonts w:hint="eastAsia"/>
                <w:lang w:val="en-US" w:eastAsia="zh-CN"/>
              </w:rPr>
              <w:t xml:space="preserve"> </w:t>
            </w:r>
            <w:r>
              <w:rPr>
                <w:rFonts w:hint="eastAsia"/>
              </w:rPr>
              <w:t>169-2018</w:t>
            </w:r>
            <w:r>
              <w:rPr>
                <w:rFonts w:hint="eastAsia"/>
                <w:lang w:eastAsia="zh-CN"/>
              </w:rPr>
              <w:t>)</w:t>
            </w:r>
            <w:r>
              <w:rPr>
                <w:rFonts w:hint="eastAsia"/>
              </w:rPr>
              <w:t>附录B 所涉及的风险物质主要为</w:t>
            </w:r>
            <w:r>
              <w:rPr>
                <w:rFonts w:hint="eastAsia"/>
                <w:lang w:val="en-US" w:eastAsia="zh-CN"/>
              </w:rPr>
              <w:t>甲烷(天然气)和废矿物油。风险物质种类、暂存量及分布区域等情况详见表4-9。</w:t>
            </w:r>
            <w:r>
              <w:rPr>
                <w:rFonts w:hint="eastAsia"/>
              </w:rPr>
              <w:t>由表可知，项目厂界内最大存在总量中各危险物质实际量与临界量比值之和为0.</w:t>
            </w:r>
            <w:r>
              <w:rPr>
                <w:rFonts w:hint="eastAsia"/>
                <w:lang w:val="en-US" w:eastAsia="zh-CN"/>
              </w:rPr>
              <w:t>0019</w:t>
            </w:r>
            <w:r>
              <w:rPr>
                <w:rFonts w:hint="eastAsia"/>
              </w:rPr>
              <w:t>&lt;1。</w:t>
            </w:r>
          </w:p>
          <w:p>
            <w:pPr>
              <w:pStyle w:val="21"/>
              <w:bidi w:val="0"/>
              <w:rPr>
                <w:rFonts w:hint="eastAsia"/>
                <w:lang w:val="en-US" w:eastAsia="zh-CN"/>
              </w:rPr>
            </w:pPr>
            <w:r>
              <w:rPr>
                <w:rFonts w:hint="eastAsia"/>
                <w:lang w:val="en-US" w:eastAsia="zh-CN"/>
              </w:rPr>
              <w:t>表4-9  项目风险物质调查结果一览表</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897"/>
              <w:gridCol w:w="953"/>
              <w:gridCol w:w="1569"/>
              <w:gridCol w:w="1122"/>
              <w:gridCol w:w="841"/>
              <w:gridCol w:w="1124"/>
              <w:gridCol w:w="13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b/>
                      <w:bCs/>
                      <w:lang w:val="en-US" w:eastAsia="zh-CN"/>
                    </w:rPr>
                  </w:pPr>
                  <w:r>
                    <w:rPr>
                      <w:rFonts w:hint="eastAsia"/>
                      <w:b/>
                      <w:bCs/>
                      <w:lang w:val="en-US" w:eastAsia="zh-CN"/>
                    </w:rPr>
                    <w:t>序号</w:t>
                  </w:r>
                </w:p>
              </w:tc>
              <w:tc>
                <w:tcPr>
                  <w:tcW w:w="526"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b/>
                      <w:bCs/>
                      <w:lang w:val="en-US" w:eastAsia="zh-CN"/>
                    </w:rPr>
                  </w:pPr>
                  <w:r>
                    <w:rPr>
                      <w:rFonts w:hint="eastAsia"/>
                      <w:b/>
                      <w:bCs/>
                      <w:lang w:val="en-US" w:eastAsia="zh-CN"/>
                    </w:rPr>
                    <w:t>名称</w:t>
                  </w:r>
                </w:p>
              </w:tc>
              <w:tc>
                <w:tcPr>
                  <w:tcW w:w="559"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b/>
                      <w:bCs/>
                      <w:lang w:val="en-US" w:eastAsia="zh-CN"/>
                    </w:rPr>
                  </w:pPr>
                  <w:r>
                    <w:rPr>
                      <w:rFonts w:hint="eastAsia"/>
                      <w:b/>
                      <w:bCs/>
                      <w:lang w:val="en-US" w:eastAsia="zh-CN"/>
                    </w:rPr>
                    <w:t>CAS号</w:t>
                  </w:r>
                </w:p>
              </w:tc>
              <w:tc>
                <w:tcPr>
                  <w:tcW w:w="92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b/>
                      <w:bCs/>
                      <w:lang w:val="en-US" w:eastAsia="zh-CN"/>
                    </w:rPr>
                  </w:pPr>
                  <w:r>
                    <w:rPr>
                      <w:rFonts w:hint="eastAsia"/>
                      <w:b/>
                      <w:bCs/>
                      <w:lang w:val="en-US" w:eastAsia="zh-CN"/>
                    </w:rPr>
                    <w:t>最大暂存量(t)</w:t>
                  </w:r>
                </w:p>
              </w:tc>
              <w:tc>
                <w:tcPr>
                  <w:tcW w:w="658"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b/>
                      <w:bCs/>
                      <w:lang w:val="en-US" w:eastAsia="zh-CN"/>
                    </w:rPr>
                  </w:pPr>
                  <w:r>
                    <w:rPr>
                      <w:rFonts w:hint="eastAsia"/>
                      <w:b/>
                      <w:bCs/>
                      <w:lang w:val="en-US" w:eastAsia="zh-CN"/>
                    </w:rPr>
                    <w:t>临界量(t)</w:t>
                  </w:r>
                </w:p>
              </w:tc>
              <w:tc>
                <w:tcPr>
                  <w:tcW w:w="49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eastAsia"/>
                      <w:b/>
                      <w:bCs/>
                      <w:lang w:val="en-US" w:eastAsia="zh-CN"/>
                    </w:rPr>
                  </w:pPr>
                  <w:r>
                    <w:rPr>
                      <w:b/>
                      <w:bCs/>
                    </w:rPr>
                    <w:t>q/Q</w:t>
                  </w:r>
                </w:p>
              </w:tc>
              <w:tc>
                <w:tcPr>
                  <w:tcW w:w="659"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b/>
                      <w:bCs/>
                      <w:lang w:val="en-US" w:eastAsia="zh-CN"/>
                    </w:rPr>
                  </w:pPr>
                  <w:r>
                    <w:rPr>
                      <w:rFonts w:hint="eastAsia"/>
                      <w:b/>
                      <w:bCs/>
                      <w:lang w:val="en-US" w:eastAsia="zh-CN"/>
                    </w:rPr>
                    <w:t>存储方式</w:t>
                  </w:r>
                </w:p>
              </w:tc>
              <w:tc>
                <w:tcPr>
                  <w:tcW w:w="7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b/>
                      <w:bCs/>
                      <w:lang w:val="en-US" w:eastAsia="zh-CN"/>
                    </w:rPr>
                  </w:pPr>
                  <w:r>
                    <w:rPr>
                      <w:rFonts w:hint="eastAsia"/>
                      <w:b/>
                      <w:bCs/>
                      <w:lang w:val="en-US" w:eastAsia="zh-CN"/>
                    </w:rPr>
                    <w:t>分布区域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1</w:t>
                  </w:r>
                </w:p>
              </w:tc>
              <w:tc>
                <w:tcPr>
                  <w:tcW w:w="526"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天然气</w:t>
                  </w:r>
                </w:p>
              </w:tc>
              <w:tc>
                <w:tcPr>
                  <w:tcW w:w="559"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w:t>
                  </w:r>
                </w:p>
              </w:tc>
              <w:tc>
                <w:tcPr>
                  <w:tcW w:w="92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0.016</w:t>
                  </w:r>
                </w:p>
              </w:tc>
              <w:tc>
                <w:tcPr>
                  <w:tcW w:w="658"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10</w:t>
                  </w:r>
                </w:p>
              </w:tc>
              <w:tc>
                <w:tcPr>
                  <w:tcW w:w="49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0.0016</w:t>
                  </w:r>
                </w:p>
              </w:tc>
              <w:tc>
                <w:tcPr>
                  <w:tcW w:w="659"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管线</w:t>
                  </w:r>
                </w:p>
              </w:tc>
              <w:tc>
                <w:tcPr>
                  <w:tcW w:w="7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vertAlign w:val="baseline"/>
                      <w:lang w:val="en-US" w:eastAsia="zh-CN"/>
                    </w:rPr>
                    <w:t>生产车间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2</w:t>
                  </w:r>
                </w:p>
              </w:tc>
              <w:tc>
                <w:tcPr>
                  <w:tcW w:w="526"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废机油</w:t>
                  </w:r>
                </w:p>
              </w:tc>
              <w:tc>
                <w:tcPr>
                  <w:tcW w:w="559"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w:t>
                  </w:r>
                </w:p>
              </w:tc>
              <w:tc>
                <w:tcPr>
                  <w:tcW w:w="92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0.75</w:t>
                  </w:r>
                </w:p>
              </w:tc>
              <w:tc>
                <w:tcPr>
                  <w:tcW w:w="658"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2500</w:t>
                  </w:r>
                </w:p>
              </w:tc>
              <w:tc>
                <w:tcPr>
                  <w:tcW w:w="49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0.0003</w:t>
                  </w:r>
                </w:p>
              </w:tc>
              <w:tc>
                <w:tcPr>
                  <w:tcW w:w="659"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桶装</w:t>
                  </w:r>
                </w:p>
              </w:tc>
              <w:tc>
                <w:tcPr>
                  <w:tcW w:w="787"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危废暂存间</w:t>
                  </w:r>
                </w:p>
              </w:tc>
            </w:tr>
          </w:tbl>
          <w:p>
            <w:pPr>
              <w:keepNext w:val="0"/>
              <w:keepLines w:val="0"/>
              <w:pageBreakBefore w:val="0"/>
              <w:widowControl/>
              <w:kinsoku/>
              <w:wordWrap/>
              <w:overflowPunct/>
              <w:topLinePunct w:val="0"/>
              <w:autoSpaceDE/>
              <w:autoSpaceDN/>
              <w:bidi w:val="0"/>
              <w:adjustRightInd/>
              <w:snapToGrid/>
              <w:spacing w:line="480" w:lineRule="exact"/>
              <w:textAlignment w:val="auto"/>
              <w:rPr>
                <w:rFonts w:hint="default" w:eastAsia="宋体"/>
                <w:b/>
                <w:bCs/>
                <w:kern w:val="0"/>
                <w:lang w:val="en-US" w:eastAsia="zh-CN"/>
              </w:rPr>
            </w:pPr>
            <w:r>
              <w:rPr>
                <w:rFonts w:hint="eastAsia"/>
                <w:b/>
                <w:bCs/>
                <w:kern w:val="0"/>
                <w:lang w:eastAsia="zh-CN"/>
              </w:rPr>
              <w:t>(</w:t>
            </w:r>
            <w:r>
              <w:rPr>
                <w:rFonts w:hint="eastAsia"/>
                <w:b/>
                <w:bCs/>
                <w:kern w:val="0"/>
                <w:lang w:val="en-US" w:eastAsia="zh-CN"/>
              </w:rPr>
              <w:t>2</w:t>
            </w:r>
            <w:r>
              <w:rPr>
                <w:rFonts w:hint="eastAsia"/>
                <w:b/>
                <w:bCs/>
                <w:kern w:val="0"/>
                <w:lang w:eastAsia="zh-CN"/>
              </w:rPr>
              <w:t>)</w:t>
            </w:r>
            <w:r>
              <w:rPr>
                <w:rFonts w:hint="eastAsia"/>
                <w:b/>
                <w:bCs/>
                <w:kern w:val="0"/>
                <w:lang w:val="en-US" w:eastAsia="zh-CN"/>
              </w:rPr>
              <w:t xml:space="preserve"> 可能影响途径</w:t>
            </w:r>
          </w:p>
          <w:p>
            <w:pPr>
              <w:keepNext w:val="0"/>
              <w:keepLines w:val="0"/>
              <w:pageBreakBefore w:val="0"/>
              <w:kinsoku/>
              <w:wordWrap/>
              <w:overflowPunct/>
              <w:topLinePunct w:val="0"/>
              <w:autoSpaceDE/>
              <w:autoSpaceDN/>
              <w:bidi w:val="0"/>
              <w:adjustRightInd/>
              <w:snapToGrid/>
              <w:spacing w:line="480" w:lineRule="exact"/>
              <w:textAlignment w:val="auto"/>
              <w:rPr>
                <w:rFonts w:hint="eastAsia"/>
                <w:lang w:val="en-US" w:eastAsia="zh-CN"/>
              </w:rPr>
            </w:pPr>
            <w:r>
              <w:rPr>
                <w:rFonts w:hint="eastAsia"/>
                <w:lang w:val="en-US" w:eastAsia="zh-CN"/>
              </w:rPr>
              <w:t>通</w:t>
            </w:r>
            <w:r>
              <w:rPr>
                <w:rFonts w:hint="eastAsia"/>
              </w:rPr>
              <w:t>过对风险物质类型、风险源、有害物质识别可能影响的途径，</w:t>
            </w:r>
            <w:r>
              <w:rPr>
                <w:rFonts w:hint="eastAsia"/>
                <w:lang w:val="en-US" w:eastAsia="zh-CN"/>
              </w:rPr>
              <w:t>识别结果详见表4-10。</w:t>
            </w:r>
          </w:p>
          <w:p>
            <w:pPr>
              <w:pStyle w:val="21"/>
              <w:bidi w:val="0"/>
              <w:rPr>
                <w:rFonts w:hint="eastAsia"/>
                <w:lang w:val="en-US" w:eastAsia="zh-CN"/>
              </w:rPr>
            </w:pPr>
            <w:r>
              <w:rPr>
                <w:rFonts w:hint="eastAsia"/>
                <w:lang w:val="en-US" w:eastAsia="zh-CN"/>
              </w:rPr>
              <w:t>表4-10  项目风险物质影响途径一览表</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1148"/>
              <w:gridCol w:w="1180"/>
              <w:gridCol w:w="1099"/>
              <w:gridCol w:w="1689"/>
              <w:gridCol w:w="2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b/>
                      <w:bCs/>
                      <w:vertAlign w:val="baseline"/>
                      <w:lang w:val="en-US" w:eastAsia="zh-CN"/>
                    </w:rPr>
                  </w:pPr>
                  <w:r>
                    <w:rPr>
                      <w:rFonts w:hint="eastAsia"/>
                      <w:b/>
                      <w:bCs/>
                      <w:vertAlign w:val="baseline"/>
                      <w:lang w:val="en-US" w:eastAsia="zh-CN"/>
                    </w:rPr>
                    <w:t>序号</w:t>
                  </w:r>
                </w:p>
              </w:tc>
              <w:tc>
                <w:tcPr>
                  <w:tcW w:w="67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b/>
                      <w:bCs/>
                      <w:vertAlign w:val="baseline"/>
                      <w:lang w:val="en-US" w:eastAsia="zh-CN"/>
                    </w:rPr>
                  </w:pPr>
                  <w:r>
                    <w:rPr>
                      <w:rFonts w:hint="eastAsia"/>
                      <w:b/>
                      <w:bCs/>
                      <w:vertAlign w:val="baseline"/>
                      <w:lang w:val="en-US" w:eastAsia="zh-CN"/>
                    </w:rPr>
                    <w:t>危险单元</w:t>
                  </w:r>
                </w:p>
              </w:tc>
              <w:tc>
                <w:tcPr>
                  <w:tcW w:w="69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b/>
                      <w:bCs/>
                      <w:vertAlign w:val="baseline"/>
                      <w:lang w:val="en-US" w:eastAsia="zh-CN"/>
                    </w:rPr>
                  </w:pPr>
                  <w:r>
                    <w:rPr>
                      <w:rFonts w:hint="eastAsia"/>
                      <w:b/>
                      <w:bCs/>
                      <w:vertAlign w:val="baseline"/>
                      <w:lang w:val="en-US" w:eastAsia="zh-CN"/>
                    </w:rPr>
                    <w:t>风险源</w:t>
                  </w:r>
                </w:p>
              </w:tc>
              <w:tc>
                <w:tcPr>
                  <w:tcW w:w="64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b/>
                      <w:bCs/>
                      <w:vertAlign w:val="baseline"/>
                      <w:lang w:val="en-US" w:eastAsia="zh-CN"/>
                    </w:rPr>
                  </w:pPr>
                  <w:r>
                    <w:rPr>
                      <w:rFonts w:hint="eastAsia"/>
                      <w:b/>
                      <w:bCs/>
                      <w:vertAlign w:val="baseline"/>
                      <w:lang w:val="en-US" w:eastAsia="zh-CN"/>
                    </w:rPr>
                    <w:t>有害物质</w:t>
                  </w:r>
                </w:p>
              </w:tc>
              <w:tc>
                <w:tcPr>
                  <w:tcW w:w="990"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b/>
                      <w:bCs/>
                      <w:vertAlign w:val="baseline"/>
                      <w:lang w:val="en-US" w:eastAsia="zh-CN"/>
                    </w:rPr>
                  </w:pPr>
                  <w:r>
                    <w:rPr>
                      <w:rFonts w:hint="eastAsia"/>
                      <w:b/>
                      <w:bCs/>
                      <w:vertAlign w:val="baseline"/>
                      <w:lang w:val="en-US" w:eastAsia="zh-CN"/>
                    </w:rPr>
                    <w:t>环境风险类型</w:t>
                  </w:r>
                </w:p>
              </w:tc>
              <w:tc>
                <w:tcPr>
                  <w:tcW w:w="161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b/>
                      <w:bCs/>
                      <w:vertAlign w:val="baseline"/>
                      <w:lang w:val="en-US" w:eastAsia="zh-CN"/>
                    </w:rPr>
                  </w:pPr>
                  <w:r>
                    <w:rPr>
                      <w:rFonts w:hint="eastAsia"/>
                      <w:b/>
                      <w:bCs/>
                      <w:vertAlign w:val="baseline"/>
                      <w:lang w:val="en-US" w:eastAsia="zh-CN"/>
                    </w:rPr>
                    <w:t>环境影响途径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38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eastAsia"/>
                      <w:vertAlign w:val="baseline"/>
                      <w:lang w:val="en-US" w:eastAsia="zh-CN"/>
                    </w:rPr>
                    <w:t>1</w:t>
                  </w:r>
                </w:p>
              </w:tc>
              <w:tc>
                <w:tcPr>
                  <w:tcW w:w="67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eastAsia"/>
                      <w:vertAlign w:val="baseline"/>
                      <w:lang w:val="en-US" w:eastAsia="zh-CN"/>
                    </w:rPr>
                    <w:t>生产车间</w:t>
                  </w:r>
                </w:p>
              </w:tc>
              <w:tc>
                <w:tcPr>
                  <w:tcW w:w="69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eastAsia"/>
                      <w:vertAlign w:val="baseline"/>
                      <w:lang w:val="en-US" w:eastAsia="zh-CN"/>
                    </w:rPr>
                    <w:t>热处理炉、电弧炉</w:t>
                  </w:r>
                </w:p>
              </w:tc>
              <w:tc>
                <w:tcPr>
                  <w:tcW w:w="64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eastAsia"/>
                      <w:vertAlign w:val="baseline"/>
                      <w:lang w:val="en-US" w:eastAsia="zh-CN"/>
                    </w:rPr>
                    <w:t>天然气、二噁英</w:t>
                  </w:r>
                </w:p>
              </w:tc>
              <w:tc>
                <w:tcPr>
                  <w:tcW w:w="990"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default"/>
                      <w:vertAlign w:val="baseline"/>
                      <w:lang w:val="en-US" w:eastAsia="zh-CN"/>
                    </w:rPr>
                    <w:t>危险物质的泄漏；火灾、爆炸等引发的伴生/次生污染物排放</w:t>
                  </w:r>
                </w:p>
              </w:tc>
              <w:tc>
                <w:tcPr>
                  <w:tcW w:w="1613" w:type="pct"/>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default"/>
                      <w:vertAlign w:val="baseline"/>
                      <w:lang w:val="en-US" w:eastAsia="zh-CN"/>
                    </w:rPr>
                    <w:t>管道、设备等破裂，造成危险物料的大量泄漏通过挥发、扩散、漫流、下渗等对周围大气、地表水、地下水和土壤环境造成影响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385"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eastAsia"/>
                      <w:vertAlign w:val="baseline"/>
                      <w:lang w:val="en-US" w:eastAsia="zh-CN"/>
                    </w:rPr>
                    <w:t>2</w:t>
                  </w:r>
                </w:p>
              </w:tc>
              <w:tc>
                <w:tcPr>
                  <w:tcW w:w="673"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eastAsia"/>
                      <w:lang w:val="en-US" w:eastAsia="zh-CN"/>
                    </w:rPr>
                    <w:t>危险废物暂存间</w:t>
                  </w:r>
                </w:p>
              </w:tc>
              <w:tc>
                <w:tcPr>
                  <w:tcW w:w="692"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eastAsia"/>
                      <w:vertAlign w:val="baseline"/>
                      <w:lang w:val="en-US" w:eastAsia="zh-CN"/>
                    </w:rPr>
                    <w:t>危险废物</w:t>
                  </w:r>
                </w:p>
              </w:tc>
              <w:tc>
                <w:tcPr>
                  <w:tcW w:w="644" w:type="pc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vertAlign w:val="baseline"/>
                      <w:lang w:val="en-US" w:eastAsia="zh-CN"/>
                    </w:rPr>
                  </w:pPr>
                  <w:r>
                    <w:rPr>
                      <w:rFonts w:hint="eastAsia"/>
                      <w:vertAlign w:val="baseline"/>
                      <w:lang w:val="en-US" w:eastAsia="zh-CN"/>
                    </w:rPr>
                    <w:t>废矿物油</w:t>
                  </w:r>
                </w:p>
              </w:tc>
              <w:tc>
                <w:tcPr>
                  <w:tcW w:w="990"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vertAlign w:val="baseline"/>
                      <w:lang w:val="en-US" w:eastAsia="zh-CN"/>
                    </w:rPr>
                  </w:pPr>
                </w:p>
              </w:tc>
              <w:tc>
                <w:tcPr>
                  <w:tcW w:w="1613" w:type="pct"/>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vertAlign w:val="baseline"/>
                      <w:lang w:val="en-US" w:eastAsia="zh-CN"/>
                    </w:rPr>
                  </w:pPr>
                </w:p>
              </w:tc>
            </w:tr>
          </w:tbl>
          <w:p>
            <w:pPr>
              <w:keepNext w:val="0"/>
              <w:keepLines w:val="0"/>
              <w:pageBreakBefore w:val="0"/>
              <w:widowControl/>
              <w:kinsoku/>
              <w:wordWrap/>
              <w:overflowPunct/>
              <w:topLinePunct w:val="0"/>
              <w:autoSpaceDE/>
              <w:autoSpaceDN/>
              <w:bidi w:val="0"/>
              <w:adjustRightInd/>
              <w:snapToGrid/>
              <w:spacing w:line="480" w:lineRule="exact"/>
              <w:textAlignment w:val="auto"/>
              <w:rPr>
                <w:rFonts w:hint="default" w:eastAsia="宋体"/>
                <w:b/>
                <w:bCs/>
                <w:kern w:val="0"/>
                <w:lang w:val="en-US" w:eastAsia="zh-CN"/>
              </w:rPr>
            </w:pPr>
            <w:r>
              <w:rPr>
                <w:rFonts w:hint="eastAsia"/>
                <w:b/>
                <w:bCs/>
                <w:kern w:val="0"/>
                <w:lang w:eastAsia="zh-CN"/>
              </w:rPr>
              <w:t>(</w:t>
            </w:r>
            <w:r>
              <w:rPr>
                <w:rFonts w:hint="eastAsia"/>
                <w:b/>
                <w:bCs/>
                <w:kern w:val="0"/>
                <w:lang w:val="en-US" w:eastAsia="zh-CN"/>
              </w:rPr>
              <w:t>3</w:t>
            </w:r>
            <w:r>
              <w:rPr>
                <w:rFonts w:hint="eastAsia"/>
                <w:b/>
                <w:bCs/>
                <w:kern w:val="0"/>
                <w:lang w:eastAsia="zh-CN"/>
              </w:rPr>
              <w:t>)</w:t>
            </w:r>
            <w:r>
              <w:rPr>
                <w:rFonts w:hint="eastAsia"/>
                <w:b/>
                <w:bCs/>
                <w:kern w:val="0"/>
                <w:lang w:val="en-US" w:eastAsia="zh-CN"/>
              </w:rPr>
              <w:t xml:space="preserve"> 环境风险防范措施</w:t>
            </w:r>
          </w:p>
          <w:p>
            <w:pPr>
              <w:keepNext w:val="0"/>
              <w:keepLines w:val="0"/>
              <w:pageBreakBefore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val="0"/>
                <w:bCs/>
                <w:color w:val="auto"/>
                <w:highlight w:val="none"/>
                <w:lang w:val="en-US" w:eastAsia="zh-CN"/>
              </w:rPr>
            </w:pPr>
            <w:r>
              <w:rPr>
                <w:rFonts w:hint="eastAsia"/>
                <w:b w:val="0"/>
                <w:bCs/>
              </w:rPr>
              <w:t>①</w:t>
            </w:r>
            <w:r>
              <w:rPr>
                <w:rFonts w:hint="eastAsia" w:ascii="Times New Roman" w:hAnsi="Times New Roman" w:eastAsia="宋体" w:cs="Times New Roman"/>
                <w:b w:val="0"/>
                <w:bCs/>
                <w:color w:val="auto"/>
                <w:highlight w:val="none"/>
                <w:lang w:val="en-US" w:eastAsia="zh-CN"/>
              </w:rPr>
              <w:t xml:space="preserve"> </w:t>
            </w:r>
            <w:r>
              <w:rPr>
                <w:rFonts w:hint="eastAsia" w:ascii="Times New Roman" w:hAnsi="Times New Roman" w:eastAsia="宋体" w:cs="Times New Roman"/>
                <w:b w:val="0"/>
                <w:bCs/>
                <w:color w:val="auto"/>
                <w:highlight w:val="none"/>
              </w:rPr>
              <w:t>废气污染</w:t>
            </w:r>
            <w:r>
              <w:rPr>
                <w:rFonts w:hint="eastAsia" w:cs="Times New Roman"/>
                <w:b w:val="0"/>
                <w:bCs/>
                <w:color w:val="auto"/>
                <w:highlight w:val="none"/>
                <w:lang w:val="en-US" w:eastAsia="zh-CN"/>
              </w:rPr>
              <w:t>风险防范措施</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840" w:leftChars="200" w:hanging="360" w:hangingChars="150"/>
              <w:textAlignment w:val="auto"/>
              <w:rPr>
                <w:rFonts w:hint="eastAsia"/>
                <w:color w:val="auto"/>
                <w:highlight w:val="none"/>
              </w:rPr>
            </w:pPr>
            <w:r>
              <w:rPr>
                <w:rFonts w:hint="eastAsia"/>
                <w:color w:val="auto"/>
                <w:highlight w:val="none"/>
              </w:rPr>
              <w:t>制定严格的工艺操作规程，加强安全监督和管理，提高职工的安全意识和环保意识。对</w:t>
            </w:r>
            <w:r>
              <w:rPr>
                <w:rFonts w:hint="eastAsia"/>
                <w:color w:val="auto"/>
                <w:highlight w:val="none"/>
                <w:lang w:val="en-US" w:eastAsia="zh-CN"/>
              </w:rPr>
              <w:t>精炼炉</w:t>
            </w:r>
            <w:r>
              <w:rPr>
                <w:rFonts w:hint="eastAsia"/>
                <w:color w:val="auto"/>
                <w:highlight w:val="none"/>
              </w:rPr>
              <w:t>、管道、阀门、接口处都要定期检查，严禁跑、冒、滴、漏现象的发生。</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840" w:leftChars="200" w:hanging="360" w:hangingChars="150"/>
              <w:textAlignment w:val="auto"/>
              <w:rPr>
                <w:rFonts w:hint="eastAsia"/>
                <w:color w:val="auto"/>
                <w:highlight w:val="none"/>
              </w:rPr>
            </w:pPr>
            <w:r>
              <w:rPr>
                <w:rFonts w:hint="eastAsia"/>
                <w:color w:val="auto"/>
                <w:highlight w:val="none"/>
              </w:rPr>
              <w:t>加强管理，确保冶炼工艺烟气除尘设施正常运行</w:t>
            </w:r>
            <w:r>
              <w:rPr>
                <w:rFonts w:hint="eastAsia"/>
                <w:color w:val="auto"/>
                <w:highlight w:val="none"/>
                <w:lang w:eastAsia="zh-CN"/>
              </w:rPr>
              <w:t>，</w:t>
            </w:r>
            <w:r>
              <w:rPr>
                <w:rFonts w:hint="eastAsia"/>
                <w:color w:val="auto"/>
                <w:highlight w:val="none"/>
              </w:rPr>
              <w:t>建立健全的通风系统。</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840" w:leftChars="200" w:hanging="360" w:hangingChars="150"/>
              <w:textAlignment w:val="auto"/>
              <w:rPr>
                <w:rFonts w:hint="eastAsia"/>
                <w:color w:val="auto"/>
                <w:highlight w:val="none"/>
              </w:rPr>
            </w:pPr>
            <w:r>
              <w:rPr>
                <w:rFonts w:hint="eastAsia"/>
                <w:color w:val="auto"/>
                <w:highlight w:val="none"/>
              </w:rPr>
              <w:t>定期排查并消除可能导致事故的诱因，加强安全管理，将非正常工况排放的机率减到最小、采取措施杜绝风险事故的发生。</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840" w:leftChars="200" w:hanging="360" w:hangingChars="150"/>
              <w:textAlignment w:val="auto"/>
              <w:rPr>
                <w:rFonts w:hint="eastAsia"/>
                <w:color w:val="auto"/>
                <w:highlight w:val="none"/>
              </w:rPr>
            </w:pPr>
            <w:r>
              <w:rPr>
                <w:rFonts w:hint="eastAsia"/>
                <w:color w:val="auto"/>
                <w:highlight w:val="none"/>
              </w:rPr>
              <w:t>定期清灰，以保证除尘器的高效除尘。</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840" w:leftChars="200" w:hanging="360" w:hangingChars="150"/>
              <w:textAlignment w:val="auto"/>
              <w:rPr>
                <w:rFonts w:hint="eastAsia"/>
                <w:color w:val="auto"/>
                <w:highlight w:val="none"/>
              </w:rPr>
            </w:pPr>
            <w:r>
              <w:rPr>
                <w:rFonts w:hint="eastAsia"/>
                <w:color w:val="auto"/>
                <w:highlight w:val="none"/>
              </w:rPr>
              <w:t>为了防范可能的非正常排放，减轻环境污染，环评要求在炉体开炉时，必须先行运行布袋除尘设施</w:t>
            </w:r>
            <w:r>
              <w:rPr>
                <w:rFonts w:hint="eastAsia"/>
                <w:color w:val="auto"/>
                <w:highlight w:val="none"/>
                <w:lang w:eastAsia="zh-CN"/>
              </w:rPr>
              <w:t>；</w:t>
            </w:r>
            <w:r>
              <w:rPr>
                <w:rFonts w:hint="eastAsia"/>
                <w:color w:val="auto"/>
                <w:highlight w:val="none"/>
              </w:rPr>
              <w:t>停产、检修时先关闭炉体后，方可停止布袋除尘设施。防止开炉、闭炉时烟气污染物未经处理直接排放，造成环境影响。</w:t>
            </w:r>
          </w:p>
          <w:p>
            <w:pPr>
              <w:keepNext w:val="0"/>
              <w:keepLines w:val="0"/>
              <w:pageBreakBefore w:val="0"/>
              <w:kinsoku/>
              <w:wordWrap/>
              <w:overflowPunct/>
              <w:topLinePunct w:val="0"/>
              <w:autoSpaceDE/>
              <w:autoSpaceDN/>
              <w:bidi w:val="0"/>
              <w:adjustRightInd/>
              <w:snapToGrid/>
              <w:spacing w:line="480" w:lineRule="exact"/>
              <w:textAlignment w:val="auto"/>
              <w:rPr>
                <w:rFonts w:hint="eastAsia"/>
                <w:lang w:val="en-US" w:eastAsia="zh-CN"/>
              </w:rPr>
            </w:pPr>
            <w:r>
              <w:rPr>
                <w:rFonts w:hint="eastAsia"/>
                <w:bCs/>
              </w:rPr>
              <w:t>②</w:t>
            </w:r>
            <w:r>
              <w:rPr>
                <w:rFonts w:hint="eastAsia"/>
                <w:lang w:val="en-US" w:eastAsia="zh-CN"/>
              </w:rPr>
              <w:t xml:space="preserve"> 火灾爆炸风险防范措施</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840" w:leftChars="200" w:hanging="360" w:hangingChars="15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入炉物料严格分捡，防止易燃易爆、有毒物品及密闭</w:t>
            </w:r>
            <w:r>
              <w:rPr>
                <w:rFonts w:hint="eastAsia" w:ascii="Times New Roman" w:hAnsi="Times New Roman" w:eastAsia="宋体" w:cs="Times New Roman"/>
                <w:color w:val="auto"/>
                <w:highlight w:val="none"/>
                <w:lang w:val="en-US" w:eastAsia="zh-CN"/>
              </w:rPr>
              <w:t>器皿</w:t>
            </w:r>
            <w:r>
              <w:rPr>
                <w:rFonts w:hint="default" w:ascii="Times New Roman" w:hAnsi="Times New Roman" w:eastAsia="宋体" w:cs="Times New Roman"/>
                <w:color w:val="auto"/>
                <w:highlight w:val="none"/>
                <w:lang w:val="en-US" w:eastAsia="zh-CN"/>
              </w:rPr>
              <w:t>入炉而发生爆炸事故。贮运高温熔融金属和熔渣的地方有严密的防水措施。易发生泄漏区域附近的坑、沟采用防水结构并设有排水设施。设备水冷却系统设温度、流量、压力监测和报警装置。</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840" w:leftChars="200" w:hanging="360" w:hangingChars="15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电缆隧道、电缆沟、电缆桥架设防火分隔和防火门。选用阻燃电缆，刷电缆防火涂料或缠绕防火包带，电缆穿越的孔洞处采用防火材料封堵。</w:t>
            </w:r>
          </w:p>
          <w:p>
            <w:pPr>
              <w:keepNext w:val="0"/>
              <w:keepLines w:val="0"/>
              <w:pageBreakBefore w:val="0"/>
              <w:widowControl w:val="0"/>
              <w:numPr>
                <w:ilvl w:val="0"/>
                <w:numId w:val="2"/>
              </w:numPr>
              <w:kinsoku/>
              <w:wordWrap/>
              <w:overflowPunct/>
              <w:topLinePunct w:val="0"/>
              <w:autoSpaceDE/>
              <w:autoSpaceDN/>
              <w:bidi w:val="0"/>
              <w:adjustRightInd/>
              <w:snapToGrid/>
              <w:spacing w:line="480" w:lineRule="exact"/>
              <w:ind w:left="840" w:leftChars="200" w:hanging="360" w:hangingChars="15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火灾危险场所设自动报警装置和灭火装置。火灾爆炸危险场所的电气设备、仪表及照明均为防爆型，并设置相应的安全标志及报警信号装置。</w:t>
            </w:r>
          </w:p>
          <w:p>
            <w:pPr>
              <w:keepNext w:val="0"/>
              <w:keepLines w:val="0"/>
              <w:pageBreakBefore w:val="0"/>
              <w:kinsoku/>
              <w:wordWrap/>
              <w:overflowPunct/>
              <w:topLinePunct w:val="0"/>
              <w:autoSpaceDE/>
              <w:autoSpaceDN/>
              <w:bidi w:val="0"/>
              <w:adjustRightInd/>
              <w:snapToGrid/>
              <w:spacing w:line="480" w:lineRule="exact"/>
              <w:textAlignment w:val="auto"/>
              <w:rPr>
                <w:rFonts w:hint="default"/>
                <w:lang w:val="en-US" w:eastAsia="zh-CN"/>
              </w:rPr>
            </w:pPr>
            <w:r>
              <w:rPr>
                <w:rFonts w:hint="eastAsia"/>
                <w:bCs/>
              </w:rPr>
              <w:t>③</w:t>
            </w:r>
            <w:r>
              <w:rPr>
                <w:rFonts w:hint="default"/>
                <w:lang w:val="en-US" w:eastAsia="zh-CN"/>
              </w:rPr>
              <w:t>/伴生污染防治</w:t>
            </w:r>
            <w:r>
              <w:rPr>
                <w:rFonts w:hint="eastAsia"/>
                <w:lang w:val="en-US" w:eastAsia="zh-CN"/>
              </w:rPr>
              <w:t>措施</w:t>
            </w:r>
          </w:p>
          <w:p>
            <w:pPr>
              <w:keepNext w:val="0"/>
              <w:keepLines w:val="0"/>
              <w:pageBreakBefore w:val="0"/>
              <w:kinsoku/>
              <w:wordWrap/>
              <w:overflowPunct/>
              <w:topLinePunct w:val="0"/>
              <w:autoSpaceDE/>
              <w:autoSpaceDN/>
              <w:bidi w:val="0"/>
              <w:adjustRightInd/>
              <w:snapToGrid/>
              <w:spacing w:line="480" w:lineRule="exact"/>
              <w:textAlignment w:val="auto"/>
              <w:rPr>
                <w:rFonts w:hint="default"/>
                <w:color w:val="auto"/>
                <w:highlight w:val="none"/>
                <w:lang w:val="en-US" w:eastAsia="zh-CN"/>
              </w:rPr>
            </w:pPr>
            <w:r>
              <w:rPr>
                <w:rFonts w:hint="default"/>
                <w:color w:val="auto"/>
                <w:highlight w:val="none"/>
                <w:lang w:val="en-US" w:eastAsia="zh-CN"/>
              </w:rPr>
              <w:t>发生火灾后，首先要进行灭火，降低着火时间，减少燃烧产物对环境空气造成的影响</w:t>
            </w:r>
            <w:r>
              <w:rPr>
                <w:rFonts w:hint="eastAsia"/>
                <w:color w:val="auto"/>
                <w:highlight w:val="none"/>
                <w:lang w:val="en-US" w:eastAsia="zh-CN"/>
              </w:rPr>
              <w:t>；</w:t>
            </w:r>
            <w:r>
              <w:rPr>
                <w:rFonts w:hint="default"/>
                <w:color w:val="auto"/>
                <w:highlight w:val="none"/>
                <w:lang w:val="en-US" w:eastAsia="zh-CN"/>
              </w:rPr>
              <w:t>事故救援过程中产生的喷淋废水和消防废水应引入厂内事故废水池暂时收集，然后分批进入公司污水站处理。特别应注意的是，对于可能引起沸</w:t>
            </w:r>
            <w:r>
              <w:rPr>
                <w:rFonts w:hint="eastAsia"/>
                <w:color w:val="auto"/>
                <w:highlight w:val="none"/>
                <w:lang w:val="en-US" w:eastAsia="zh-CN"/>
              </w:rPr>
              <w:t>溅</w:t>
            </w:r>
            <w:r>
              <w:rPr>
                <w:rFonts w:hint="default"/>
                <w:color w:val="auto"/>
                <w:highlight w:val="none"/>
                <w:lang w:val="en-US" w:eastAsia="zh-CN"/>
              </w:rPr>
              <w:t>、发生二次反应物料的泄漏，应使用覆土、砂石等材料覆盖，尽量避免使用消防水抢救，防止产生二次污染。</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b/>
                <w:bCs/>
                <w:lang w:val="en-US" w:eastAsia="zh-CN"/>
              </w:rPr>
            </w:pPr>
            <w:r>
              <w:rPr>
                <w:rFonts w:hint="eastAsia"/>
                <w:b/>
                <w:bCs/>
                <w:lang w:val="en-US" w:eastAsia="zh-CN"/>
              </w:rPr>
              <w:t>(4) 环境风险管理要求</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lang w:val="en-US" w:eastAsia="zh-CN"/>
              </w:rPr>
            </w:pPr>
            <w:r>
              <w:rPr>
                <w:rFonts w:hint="eastAsia"/>
                <w:lang w:val="en-US" w:eastAsia="zh-CN"/>
              </w:rPr>
              <w:t>① 组织环境风险应急预案的编制，定期对员工进行风险应急演练，定期参加上级主管机构和各级行政主管部门组织的风险技术培训，提高环境风险管理和技术水平。</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lang w:val="en-US" w:eastAsia="zh-CN"/>
              </w:rPr>
            </w:pPr>
            <w:r>
              <w:rPr>
                <w:rFonts w:hint="eastAsia"/>
                <w:lang w:val="en-US" w:eastAsia="zh-CN"/>
              </w:rPr>
              <w:t>② 监督落实各项环境风险措施。</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lang w:val="en-US" w:eastAsia="zh-CN"/>
              </w:rPr>
            </w:pPr>
            <w:r>
              <w:rPr>
                <w:rFonts w:hint="eastAsia"/>
                <w:lang w:val="en-US" w:eastAsia="zh-CN"/>
              </w:rPr>
              <w:t>③ 督促操作人员经过专门培训，严格遵守操作规程。</w:t>
            </w:r>
          </w:p>
          <w:p>
            <w:pPr>
              <w:bidi w:val="0"/>
            </w:pPr>
          </w:p>
        </w:tc>
      </w:tr>
    </w:tbl>
    <w:p>
      <w:pPr>
        <w:spacing w:line="480" w:lineRule="exact"/>
        <w:ind w:firstLine="0" w:firstLineChars="0"/>
        <w:sectPr>
          <w:pgSz w:w="11906" w:h="16838"/>
          <w:pgMar w:top="1418" w:right="1418" w:bottom="1418" w:left="1418" w:header="851" w:footer="851" w:gutter="0"/>
          <w:cols w:space="425" w:num="1"/>
          <w:docGrid w:type="lines" w:linePitch="326" w:charSpace="0"/>
        </w:sectPr>
      </w:pPr>
    </w:p>
    <w:p>
      <w:pPr>
        <w:widowControl/>
        <w:spacing w:line="480" w:lineRule="exact"/>
        <w:ind w:firstLine="0" w:firstLineChars="0"/>
        <w:outlineLvl w:val="0"/>
        <w:rPr>
          <w:rFonts w:eastAsia="黑体"/>
          <w:snapToGrid w:val="0"/>
          <w:kern w:val="0"/>
          <w:sz w:val="30"/>
          <w:szCs w:val="30"/>
        </w:rPr>
      </w:pPr>
      <w:r>
        <w:rPr>
          <w:rFonts w:eastAsia="黑体"/>
          <w:snapToGrid w:val="0"/>
          <w:kern w:val="0"/>
          <w:sz w:val="30"/>
          <w:szCs w:val="30"/>
        </w:rPr>
        <w:t>五、</w:t>
      </w:r>
      <w:bookmarkStart w:id="4" w:name="_Hlk54167917"/>
      <w:r>
        <w:rPr>
          <w:rFonts w:eastAsia="黑体"/>
          <w:snapToGrid w:val="0"/>
          <w:kern w:val="0"/>
          <w:sz w:val="30"/>
          <w:szCs w:val="30"/>
        </w:rPr>
        <w:t>环境保护措施监督检查清单</w:t>
      </w:r>
      <w:bookmarkEnd w:id="4"/>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1845"/>
        <w:gridCol w:w="1791"/>
        <w:gridCol w:w="2181"/>
        <w:gridCol w:w="17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928" w:type="pct"/>
            <w:tcBorders>
              <w:tl2br w:val="single" w:color="auto" w:sz="4" w:space="0"/>
            </w:tcBorders>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right"/>
              <w:textAlignment w:val="auto"/>
              <w:rPr>
                <w:b/>
                <w:bCs/>
              </w:rPr>
            </w:pPr>
            <w:r>
              <w:rPr>
                <w:b/>
                <w:bCs/>
              </w:rPr>
              <w:t>内容</w:t>
            </w:r>
          </w:p>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b/>
                <w:bCs/>
              </w:rPr>
            </w:pPr>
            <w:r>
              <w:rPr>
                <w:b/>
                <w:bCs/>
              </w:rPr>
              <w:t>要素</w:t>
            </w:r>
          </w:p>
        </w:tc>
        <w:tc>
          <w:tcPr>
            <w:tcW w:w="993"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rPr>
                <w:b/>
                <w:bCs/>
              </w:rPr>
            </w:pPr>
            <w:r>
              <w:rPr>
                <w:b/>
                <w:bCs/>
              </w:rPr>
              <w:t>排放口(编号、名称)/污染源</w:t>
            </w:r>
          </w:p>
        </w:tc>
        <w:tc>
          <w:tcPr>
            <w:tcW w:w="96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rPr>
                <w:b/>
                <w:bCs/>
              </w:rPr>
            </w:pPr>
            <w:r>
              <w:rPr>
                <w:b/>
                <w:bCs/>
              </w:rPr>
              <w:t>污染物项目</w:t>
            </w:r>
          </w:p>
        </w:tc>
        <w:tc>
          <w:tcPr>
            <w:tcW w:w="117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rPr>
                <w:b/>
                <w:bCs/>
              </w:rPr>
            </w:pPr>
            <w:r>
              <w:rPr>
                <w:b/>
                <w:bCs/>
              </w:rPr>
              <w:t>环境保护措施</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rPr>
                <w:b/>
                <w:bCs/>
              </w:rPr>
            </w:pPr>
            <w:r>
              <w:rPr>
                <w:b/>
                <w:bCs/>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8"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r>
              <w:t>大气环境</w:t>
            </w:r>
          </w:p>
        </w:tc>
        <w:tc>
          <w:tcPr>
            <w:tcW w:w="993"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DA001</w:t>
            </w:r>
          </w:p>
        </w:tc>
        <w:tc>
          <w:tcPr>
            <w:tcW w:w="96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颗粒物、氟化物、二噁英</w:t>
            </w:r>
          </w:p>
        </w:tc>
        <w:tc>
          <w:tcPr>
            <w:tcW w:w="117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rPr>
              <w:t>屋顶罩收集+布袋除尘器处理，捕集效率90%</w:t>
            </w:r>
            <w:r>
              <w:rPr>
                <w:rFonts w:hint="eastAsia"/>
                <w:lang w:eastAsia="zh-CN"/>
              </w:rPr>
              <w:t>，</w:t>
            </w:r>
            <w:r>
              <w:rPr>
                <w:rFonts w:hint="eastAsia"/>
                <w:lang w:val="en-US" w:eastAsia="zh-CN"/>
              </w:rPr>
              <w:t>颗粒物和氟化物去除效率98%，二噁英去除效率30%</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颗粒物执行</w:t>
            </w:r>
            <w:r>
              <w:rPr>
                <w:rFonts w:hint="eastAsia"/>
                <w:color w:val="auto"/>
                <w:kern w:val="0"/>
              </w:rPr>
              <w:t>《铸造工业大气污染物排放标准》</w:t>
            </w:r>
            <w:r>
              <w:rPr>
                <w:rFonts w:hint="eastAsia"/>
                <w:color w:val="auto"/>
                <w:kern w:val="0"/>
                <w:lang w:eastAsia="zh-CN"/>
              </w:rPr>
              <w:t>(</w:t>
            </w:r>
            <w:r>
              <w:rPr>
                <w:rFonts w:hint="eastAsia"/>
                <w:color w:val="auto"/>
                <w:kern w:val="0"/>
              </w:rPr>
              <w:t>GB</w:t>
            </w:r>
            <w:r>
              <w:rPr>
                <w:color w:val="auto"/>
                <w:kern w:val="0"/>
              </w:rPr>
              <w:t xml:space="preserve"> 39726-2020</w:t>
            </w:r>
            <w:r>
              <w:rPr>
                <w:rFonts w:hint="eastAsia"/>
                <w:color w:val="auto"/>
                <w:kern w:val="0"/>
                <w:lang w:eastAsia="zh-CN"/>
              </w:rPr>
              <w:t>)、</w:t>
            </w:r>
            <w:r>
              <w:rPr>
                <w:rFonts w:hint="eastAsia"/>
                <w:color w:val="auto"/>
                <w:kern w:val="0"/>
              </w:rPr>
              <w:t>电弧炉工序排放</w:t>
            </w:r>
            <w:r>
              <w:rPr>
                <w:rFonts w:hint="eastAsia"/>
                <w:color w:val="auto"/>
                <w:kern w:val="0"/>
                <w:lang w:val="en-US" w:eastAsia="zh-CN"/>
              </w:rPr>
              <w:t>氟化物、</w:t>
            </w:r>
            <w:r>
              <w:rPr>
                <w:rFonts w:hint="eastAsia"/>
                <w:color w:val="auto"/>
                <w:kern w:val="0"/>
              </w:rPr>
              <w:t>二噁英参照执行《炼钢工业大气污染物排放标准》</w:t>
            </w:r>
            <w:r>
              <w:rPr>
                <w:rFonts w:hint="eastAsia"/>
                <w:color w:val="auto"/>
                <w:kern w:val="0"/>
                <w:lang w:eastAsia="zh-CN"/>
              </w:rPr>
              <w:t>(</w:t>
            </w:r>
            <w:r>
              <w:rPr>
                <w:rFonts w:hint="eastAsia"/>
                <w:color w:val="auto"/>
                <w:kern w:val="0"/>
              </w:rPr>
              <w:t>GB</w:t>
            </w:r>
            <w:r>
              <w:rPr>
                <w:color w:val="auto"/>
                <w:kern w:val="0"/>
              </w:rPr>
              <w:t xml:space="preserve"> </w:t>
            </w:r>
            <w:r>
              <w:rPr>
                <w:rFonts w:hint="eastAsia"/>
                <w:color w:val="auto"/>
                <w:kern w:val="0"/>
              </w:rPr>
              <w:t>28664-2012</w:t>
            </w:r>
            <w:r>
              <w:rPr>
                <w:rFonts w:hint="eastAsia"/>
                <w:color w:val="auto"/>
                <w:kern w:val="0"/>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p>
        </w:tc>
        <w:tc>
          <w:tcPr>
            <w:tcW w:w="993"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DA002</w:t>
            </w:r>
          </w:p>
        </w:tc>
        <w:tc>
          <w:tcPr>
            <w:tcW w:w="96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颗粒物、二氧化硫、氮氧化物</w:t>
            </w:r>
          </w:p>
        </w:tc>
        <w:tc>
          <w:tcPr>
            <w:tcW w:w="117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eastAsia" w:eastAsia="宋体"/>
                <w:lang w:val="en-US" w:eastAsia="zh-CN"/>
              </w:rPr>
            </w:pPr>
            <w:r>
              <w:rPr>
                <w:rFonts w:hint="eastAsia"/>
                <w:lang w:val="en-US" w:eastAsia="zh-CN"/>
              </w:rPr>
              <w:t>低氮燃烧</w:t>
            </w:r>
          </w:p>
        </w:tc>
        <w:tc>
          <w:tcPr>
            <w:tcW w:w="939"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color w:val="auto"/>
                <w:kern w:val="0"/>
              </w:rPr>
              <w:t>《铸造工业大气污染物排放标准》</w:t>
            </w:r>
            <w:r>
              <w:rPr>
                <w:rFonts w:hint="eastAsia"/>
                <w:color w:val="auto"/>
                <w:kern w:val="0"/>
                <w:lang w:eastAsia="zh-CN"/>
              </w:rPr>
              <w:t>(</w:t>
            </w:r>
            <w:r>
              <w:rPr>
                <w:rFonts w:hint="eastAsia"/>
                <w:color w:val="auto"/>
                <w:kern w:val="0"/>
              </w:rPr>
              <w:t>GB</w:t>
            </w:r>
            <w:r>
              <w:rPr>
                <w:color w:val="auto"/>
                <w:kern w:val="0"/>
              </w:rPr>
              <w:t xml:space="preserve"> 39726-2020</w:t>
            </w:r>
            <w:r>
              <w:rPr>
                <w:rFonts w:hint="eastAsia"/>
                <w:color w:val="auto"/>
                <w:kern w:val="0"/>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8"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p>
        </w:tc>
        <w:tc>
          <w:tcPr>
            <w:tcW w:w="993"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eastAsia="宋体"/>
                <w:lang w:val="en-US" w:eastAsia="zh-CN"/>
              </w:rPr>
              <w:t>生产车间</w:t>
            </w:r>
          </w:p>
        </w:tc>
        <w:tc>
          <w:tcPr>
            <w:tcW w:w="96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eastAsia" w:eastAsia="宋体"/>
                <w:lang w:val="en-US" w:eastAsia="zh-CN"/>
              </w:rPr>
            </w:pPr>
            <w:r>
              <w:rPr>
                <w:rFonts w:hint="eastAsia"/>
                <w:lang w:val="en-US" w:eastAsia="zh-CN"/>
              </w:rPr>
              <w:t>颗粒物</w:t>
            </w:r>
          </w:p>
        </w:tc>
        <w:tc>
          <w:tcPr>
            <w:tcW w:w="117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物料棚内分区堆存；未收集颗粒物经封闭车间阻隔</w:t>
            </w:r>
          </w:p>
        </w:tc>
        <w:tc>
          <w:tcPr>
            <w:tcW w:w="939"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8"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r>
              <w:t>地表水环境</w:t>
            </w:r>
          </w:p>
        </w:tc>
        <w:tc>
          <w:tcPr>
            <w:tcW w:w="993"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DW001</w:t>
            </w:r>
          </w:p>
        </w:tc>
        <w:tc>
          <w:tcPr>
            <w:tcW w:w="96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pH、COD、BOD</w:t>
            </w:r>
            <w:r>
              <w:rPr>
                <w:rFonts w:hint="eastAsia"/>
                <w:vertAlign w:val="subscript"/>
                <w:lang w:val="en-US" w:eastAsia="zh-CN"/>
              </w:rPr>
              <w:t>5</w:t>
            </w:r>
            <w:r>
              <w:rPr>
                <w:rFonts w:hint="eastAsia"/>
                <w:lang w:val="en-US" w:eastAsia="zh-CN"/>
              </w:rPr>
              <w:t>、SS、NH</w:t>
            </w:r>
            <w:r>
              <w:rPr>
                <w:rFonts w:hint="eastAsia"/>
                <w:vertAlign w:val="subscript"/>
                <w:lang w:val="en-US" w:eastAsia="zh-CN"/>
              </w:rPr>
              <w:t>3</w:t>
            </w:r>
            <w:r>
              <w:rPr>
                <w:rFonts w:hint="eastAsia"/>
                <w:lang w:val="en-US" w:eastAsia="zh-CN"/>
              </w:rPr>
              <w:t>-N</w:t>
            </w:r>
          </w:p>
        </w:tc>
        <w:tc>
          <w:tcPr>
            <w:tcW w:w="117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生活污水经化粪池处理后，与循环冷却废水经由总排口排入怀远经济开发区污水处理厂一期工程集中处理</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rPr>
              <w:t>怀远经济开发区污水处理厂</w:t>
            </w:r>
            <w:r>
              <w:rPr>
                <w:rFonts w:hint="eastAsia"/>
                <w:lang w:val="en-US" w:eastAsia="zh-CN"/>
              </w:rPr>
              <w:t>(</w:t>
            </w:r>
            <w:r>
              <w:rPr>
                <w:rFonts w:hint="eastAsia"/>
              </w:rPr>
              <w:t>一期</w:t>
            </w:r>
            <w:r>
              <w:rPr>
                <w:rFonts w:hint="eastAsia"/>
                <w:lang w:val="en-US" w:eastAsia="zh-CN"/>
              </w:rPr>
              <w:t>)接管标准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8"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r>
              <w:t>声环境</w:t>
            </w:r>
          </w:p>
        </w:tc>
        <w:tc>
          <w:tcPr>
            <w:tcW w:w="993"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生产设备</w:t>
            </w:r>
          </w:p>
        </w:tc>
        <w:tc>
          <w:tcPr>
            <w:tcW w:w="96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lang w:val="en-US" w:eastAsia="zh-CN"/>
              </w:rPr>
              <w:t>等效连续A声级</w:t>
            </w:r>
          </w:p>
        </w:tc>
        <w:tc>
          <w:tcPr>
            <w:tcW w:w="117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选用低噪声的设备；采取隔音、消声、减振等措施</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《工业企业厂界环境噪声排放标准》(GB</w:t>
            </w:r>
            <w:r>
              <w:t xml:space="preserve"> </w:t>
            </w:r>
            <w:r>
              <w:rPr>
                <w:rFonts w:hint="eastAsia"/>
              </w:rPr>
              <w:t>12348-2008)中3类标准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8"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r>
              <w:t>电磁辐射</w:t>
            </w:r>
          </w:p>
        </w:tc>
        <w:tc>
          <w:tcPr>
            <w:tcW w:w="993"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w:t>
            </w:r>
          </w:p>
        </w:tc>
        <w:tc>
          <w:tcPr>
            <w:tcW w:w="96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w:t>
            </w:r>
          </w:p>
        </w:tc>
        <w:tc>
          <w:tcPr>
            <w:tcW w:w="1174"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w:t>
            </w:r>
          </w:p>
        </w:tc>
        <w:tc>
          <w:tcPr>
            <w:tcW w:w="939"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28"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r>
              <w:t>固体废物</w:t>
            </w:r>
          </w:p>
        </w:tc>
        <w:tc>
          <w:tcPr>
            <w:tcW w:w="4071" w:type="pct"/>
            <w:gridSpan w:val="4"/>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color w:val="auto"/>
                <w:lang w:val="en-US" w:eastAsia="zh-CN"/>
              </w:rPr>
            </w:pPr>
            <w:r>
              <w:rPr>
                <w:rFonts w:hint="eastAsia"/>
                <w:color w:val="auto"/>
                <w:lang w:val="en-US" w:eastAsia="zh-CN"/>
              </w:rPr>
              <w:t>生活垃圾收集后由环卫部门定期清运处置；冶炼废渣外售综合利用；钢渣作为原料回电弧炉冶炼；废耐火材料由厂家回收利用；除尘灰、废机油委托有资质单位处置；</w:t>
            </w:r>
            <w:r>
              <w:t>严格按照</w:t>
            </w:r>
            <w:r>
              <w:rPr>
                <w:color w:val="auto"/>
              </w:rPr>
              <w:t>《危险废物贮存污染控制标准》</w:t>
            </w:r>
            <w:r>
              <w:rPr>
                <w:rFonts w:hint="eastAsia"/>
                <w:color w:val="auto"/>
                <w:lang w:eastAsia="zh-CN"/>
              </w:rPr>
              <w:t>(</w:t>
            </w:r>
            <w:r>
              <w:rPr>
                <w:color w:val="auto"/>
              </w:rPr>
              <w:t>GB</w:t>
            </w:r>
            <w:r>
              <w:rPr>
                <w:rFonts w:hint="eastAsia"/>
                <w:color w:val="auto"/>
                <w:lang w:val="en-US" w:eastAsia="zh-CN"/>
              </w:rPr>
              <w:t xml:space="preserve"> </w:t>
            </w:r>
            <w:r>
              <w:rPr>
                <w:color w:val="auto"/>
              </w:rPr>
              <w:t>18597-20</w:t>
            </w:r>
            <w:r>
              <w:rPr>
                <w:rFonts w:hint="eastAsia"/>
                <w:color w:val="auto"/>
                <w:lang w:val="en-US" w:eastAsia="zh-CN"/>
              </w:rPr>
              <w:t>23</w:t>
            </w:r>
            <w:r>
              <w:rPr>
                <w:rFonts w:hint="eastAsia"/>
                <w:color w:val="auto"/>
                <w:lang w:eastAsia="zh-CN"/>
              </w:rPr>
              <w:t>)</w:t>
            </w:r>
            <w:r>
              <w:t>的相关要求</w:t>
            </w:r>
            <w:r>
              <w:rPr>
                <w:rFonts w:hint="eastAsia"/>
                <w:lang w:val="en-US" w:eastAsia="zh-CN"/>
              </w:rPr>
              <w:t>改造</w:t>
            </w:r>
            <w:r>
              <w:t>危险废物暂存</w:t>
            </w:r>
            <w:r>
              <w:rPr>
                <w:rFonts w:hint="eastAsia"/>
              </w:rPr>
              <w:t>间</w:t>
            </w:r>
            <w:r>
              <w:rPr>
                <w:rFonts w:hint="eastAsia"/>
                <w:lang w:val="en-US" w:eastAsia="zh-CN"/>
              </w:rPr>
              <w:t>(50m</w:t>
            </w:r>
            <w:r>
              <w:rPr>
                <w:rFonts w:hint="eastAsia"/>
                <w:vertAlign w:val="superscript"/>
                <w:lang w:val="en-US" w:eastAsia="zh-CN"/>
              </w:rPr>
              <w:t>2</w:t>
            </w: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28"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r>
              <w:t>土壤及地下水</w:t>
            </w:r>
          </w:p>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r>
              <w:t>污染防治措施</w:t>
            </w:r>
          </w:p>
        </w:tc>
        <w:tc>
          <w:tcPr>
            <w:tcW w:w="4071" w:type="pct"/>
            <w:gridSpan w:val="4"/>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color w:val="auto"/>
              </w:rPr>
            </w:pPr>
            <w:r>
              <w:rPr>
                <w:rFonts w:hint="eastAsia"/>
                <w:color w:val="auto"/>
                <w:lang w:val="en-US" w:eastAsia="zh-CN"/>
              </w:rPr>
              <w:t>采取</w:t>
            </w:r>
            <w:r>
              <w:rPr>
                <w:rFonts w:hint="eastAsia"/>
                <w:color w:val="auto"/>
              </w:rPr>
              <w:t>分区防渗措施，对循环水池、废水收集管网及废水收集池等采取重点防渗措施；</w:t>
            </w:r>
            <w:r>
              <w:rPr>
                <w:rFonts w:hint="eastAsia"/>
                <w:color w:val="auto"/>
                <w:lang w:val="en-US" w:eastAsia="zh-CN"/>
              </w:rPr>
              <w:t>生产车间</w:t>
            </w:r>
            <w:r>
              <w:rPr>
                <w:rFonts w:hint="eastAsia"/>
                <w:color w:val="auto"/>
              </w:rPr>
              <w:t>采取一般防渗措施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928"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pPr>
            <w:r>
              <w:t>生态保护措施</w:t>
            </w:r>
          </w:p>
        </w:tc>
        <w:tc>
          <w:tcPr>
            <w:tcW w:w="4071" w:type="pct"/>
            <w:gridSpan w:val="4"/>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28"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rPr>
                <w:spacing w:val="-8"/>
              </w:rPr>
            </w:pPr>
            <w:r>
              <w:rPr>
                <w:spacing w:val="-8"/>
              </w:rPr>
              <w:t>环境风险</w:t>
            </w:r>
          </w:p>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rPr>
                <w:spacing w:val="-8"/>
              </w:rPr>
            </w:pPr>
            <w:r>
              <w:rPr>
                <w:spacing w:val="-8"/>
              </w:rPr>
              <w:t>防范措施</w:t>
            </w:r>
          </w:p>
        </w:tc>
        <w:tc>
          <w:tcPr>
            <w:tcW w:w="4071" w:type="pct"/>
            <w:gridSpan w:val="4"/>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rPr>
                <w:rFonts w:hint="default" w:eastAsia="宋体"/>
                <w:lang w:val="en-US" w:eastAsia="zh-CN"/>
              </w:rPr>
            </w:pPr>
            <w:r>
              <w:rPr>
                <w:rFonts w:hint="eastAsia"/>
              </w:rPr>
              <w:t>按照《建筑设计防火规范》等规范要求进行设置，各风险单元配套完善的消防设施；</w:t>
            </w:r>
            <w:r>
              <w:rPr>
                <w:rFonts w:hint="eastAsia"/>
                <w:lang w:val="en-US" w:eastAsia="zh-CN"/>
              </w:rPr>
              <w:t>分区防渗，</w:t>
            </w:r>
            <w:r>
              <w:rPr>
                <w:rFonts w:hint="eastAsia"/>
                <w:color w:val="auto"/>
              </w:rPr>
              <w:t>并编制突发性环境事件应急预案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928" w:type="pct"/>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rPr>
                <w:spacing w:val="-8"/>
              </w:rPr>
            </w:pPr>
            <w:r>
              <w:rPr>
                <w:spacing w:val="-8"/>
              </w:rPr>
              <w:t>其他环境</w:t>
            </w:r>
          </w:p>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jc w:val="center"/>
              <w:textAlignment w:val="auto"/>
              <w:rPr>
                <w:spacing w:val="-8"/>
              </w:rPr>
            </w:pPr>
            <w:r>
              <w:rPr>
                <w:spacing w:val="-8"/>
              </w:rPr>
              <w:t>管理要求</w:t>
            </w:r>
          </w:p>
        </w:tc>
        <w:tc>
          <w:tcPr>
            <w:tcW w:w="4071" w:type="pct"/>
            <w:gridSpan w:val="4"/>
            <w:vAlign w:val="center"/>
          </w:tcPr>
          <w:p>
            <w:pPr>
              <w:keepNext w:val="0"/>
              <w:keepLines w:val="0"/>
              <w:pageBreakBefore w:val="0"/>
              <w:widowControl w:val="0"/>
              <w:kinsoku/>
              <w:wordWrap/>
              <w:overflowPunct/>
              <w:topLinePunct w:val="0"/>
              <w:autoSpaceDE/>
              <w:autoSpaceDN/>
              <w:bidi w:val="0"/>
              <w:adjustRightInd w:val="0"/>
              <w:snapToGrid w:val="0"/>
              <w:spacing w:line="440" w:lineRule="exact"/>
              <w:ind w:firstLine="0" w:firstLineChars="0"/>
              <w:textAlignment w:val="auto"/>
            </w:pPr>
            <w:r>
              <w:rPr>
                <w:rFonts w:hint="eastAsia"/>
              </w:rPr>
              <w:t>设置专门的环保机构及专职人员负责环保管理工作，每日检查环保工作情况，污染治理设施运转情况，保证</w:t>
            </w:r>
            <w:r>
              <w:rPr>
                <w:rFonts w:hint="eastAsia"/>
                <w:lang w:val="en-US" w:eastAsia="zh-CN"/>
              </w:rPr>
              <w:t>污染物</w:t>
            </w:r>
            <w:r>
              <w:rPr>
                <w:rFonts w:hint="eastAsia"/>
              </w:rPr>
              <w:t>达标排放；建立污染源监测数据档案，定期对污染源进行监测并记录，出现超标情况及时整改；排污口规范化管理并设置标志牌；根据《固定污染源排污许可分类管理名录》</w:t>
            </w:r>
            <w:r>
              <w:rPr>
                <w:rFonts w:hint="eastAsia"/>
                <w:lang w:eastAsia="zh-CN"/>
              </w:rPr>
              <w:t>(</w:t>
            </w:r>
            <w:r>
              <w:rPr>
                <w:rFonts w:hint="eastAsia"/>
              </w:rPr>
              <w:t>2019年版</w:t>
            </w:r>
            <w:r>
              <w:rPr>
                <w:rFonts w:hint="eastAsia"/>
                <w:lang w:eastAsia="zh-CN"/>
              </w:rPr>
              <w:t>)</w:t>
            </w:r>
            <w:r>
              <w:rPr>
                <w:rFonts w:hint="eastAsia"/>
              </w:rPr>
              <w:t>，项目排污许可证实施</w:t>
            </w:r>
            <w:r>
              <w:rPr>
                <w:rFonts w:hint="eastAsia"/>
                <w:lang w:val="en-US" w:eastAsia="zh-CN"/>
              </w:rPr>
              <w:t>简化</w:t>
            </w:r>
            <w:r>
              <w:rPr>
                <w:rFonts w:hint="eastAsia"/>
              </w:rPr>
              <w:t>管理</w:t>
            </w:r>
          </w:p>
        </w:tc>
      </w:tr>
    </w:tbl>
    <w:p>
      <w:pPr>
        <w:spacing w:line="480" w:lineRule="exact"/>
        <w:ind w:firstLine="0" w:firstLineChars="0"/>
        <w:sectPr>
          <w:pgSz w:w="11906" w:h="16838"/>
          <w:pgMar w:top="1418" w:right="1418" w:bottom="1418" w:left="1418" w:header="851" w:footer="851" w:gutter="0"/>
          <w:cols w:space="425" w:num="1"/>
          <w:docGrid w:type="lines" w:linePitch="326" w:charSpace="0"/>
        </w:sectPr>
      </w:pPr>
    </w:p>
    <w:p>
      <w:pPr>
        <w:widowControl/>
        <w:spacing w:line="480" w:lineRule="exact"/>
        <w:ind w:firstLine="0" w:firstLineChars="0"/>
        <w:outlineLvl w:val="0"/>
        <w:rPr>
          <w:rFonts w:ascii="Times New Roman" w:hAnsi="Times New Roman" w:eastAsia="黑体" w:cs="Times New Roman"/>
          <w:snapToGrid w:val="0"/>
          <w:kern w:val="0"/>
          <w:sz w:val="30"/>
          <w:szCs w:val="30"/>
        </w:rPr>
      </w:pPr>
      <w:r>
        <w:rPr>
          <w:rFonts w:ascii="Times New Roman" w:hAnsi="Times New Roman" w:eastAsia="黑体" w:cs="Times New Roman"/>
          <w:snapToGrid w:val="0"/>
          <w:kern w:val="0"/>
          <w:sz w:val="30"/>
          <w:szCs w:val="30"/>
        </w:rPr>
        <w:t>六、结论</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8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41" w:hRule="atLeast"/>
          <w:jc w:val="center"/>
        </w:trPr>
        <w:tc>
          <w:tcPr>
            <w:tcW w:w="5000" w:type="pct"/>
          </w:tcPr>
          <w:p>
            <w:pPr>
              <w:spacing w:line="480" w:lineRule="exact"/>
            </w:pPr>
            <w:r>
              <w:rPr>
                <w:rFonts w:hint="eastAsia"/>
              </w:rPr>
              <w:t>项目在生产过程中会产生废气、废水、噪声、固体废物等，在全面落实报告表提出的各项环境保护措施的基础上，切实做到“三同时”，并在营运期内持之以恒加强环境管理的前提下，从环境影响角度，项目建设可行。</w:t>
            </w:r>
          </w:p>
        </w:tc>
      </w:tr>
    </w:tbl>
    <w:p>
      <w:pPr>
        <w:pStyle w:val="2"/>
        <w:sectPr>
          <w:pgSz w:w="11906" w:h="16838"/>
          <w:pgMar w:top="1418" w:right="1418" w:bottom="1418" w:left="1418" w:header="851" w:footer="851" w:gutter="0"/>
          <w:cols w:space="425" w:num="1"/>
          <w:docGrid w:type="lines" w:linePitch="326" w:charSpace="0"/>
        </w:sectPr>
      </w:pPr>
    </w:p>
    <w:p>
      <w:pPr>
        <w:widowControl/>
        <w:spacing w:line="480" w:lineRule="exact"/>
        <w:ind w:firstLine="0" w:firstLineChars="0"/>
        <w:outlineLvl w:val="0"/>
        <w:rPr>
          <w:rFonts w:eastAsia="方正小标宋_GBK"/>
          <w:snapToGrid w:val="0"/>
          <w:kern w:val="0"/>
          <w:sz w:val="38"/>
          <w:szCs w:val="38"/>
        </w:rPr>
      </w:pPr>
      <w:r>
        <w:rPr>
          <w:rFonts w:eastAsia="黑体"/>
          <w:snapToGrid w:val="0"/>
          <w:kern w:val="0"/>
          <w:sz w:val="30"/>
          <w:szCs w:val="30"/>
        </w:rPr>
        <w:t>附表  建设项目污染物排放量汇总表</w:t>
      </w:r>
    </w:p>
    <w:tbl>
      <w:tblPr>
        <w:tblStyle w:val="16"/>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1458"/>
        <w:gridCol w:w="1201"/>
        <w:gridCol w:w="1738"/>
        <w:gridCol w:w="1201"/>
        <w:gridCol w:w="2036"/>
        <w:gridCol w:w="2140"/>
        <w:gridCol w:w="1634"/>
        <w:gridCol w:w="121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tcBorders>
              <w:tl2br w:val="single" w:color="auto" w:sz="4" w:space="0"/>
            </w:tcBorders>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right"/>
              <w:textAlignment w:val="auto"/>
              <w:rPr>
                <w:b/>
                <w:bCs/>
                <w:snapToGrid w:val="0"/>
                <w:color w:val="000000"/>
                <w:spacing w:val="-6"/>
                <w:kern w:val="21"/>
                <w:sz w:val="24"/>
                <w:szCs w:val="24"/>
              </w:rPr>
            </w:pPr>
            <w:r>
              <w:rPr>
                <w:b/>
                <w:bCs/>
                <w:snapToGrid w:val="0"/>
                <w:color w:val="000000"/>
                <w:spacing w:val="-6"/>
                <w:kern w:val="21"/>
                <w:sz w:val="24"/>
                <w:szCs w:val="24"/>
              </w:rPr>
              <w:t>项目</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left"/>
              <w:textAlignment w:val="auto"/>
              <w:rPr>
                <w:b/>
                <w:bCs/>
                <w:snapToGrid w:val="0"/>
                <w:color w:val="000000"/>
                <w:spacing w:val="-6"/>
                <w:kern w:val="21"/>
                <w:sz w:val="24"/>
                <w:szCs w:val="24"/>
              </w:rPr>
            </w:pPr>
            <w:r>
              <w:rPr>
                <w:b/>
                <w:bCs/>
                <w:snapToGrid w:val="0"/>
                <w:color w:val="000000"/>
                <w:spacing w:val="-6"/>
                <w:kern w:val="21"/>
                <w:sz w:val="24"/>
                <w:szCs w:val="24"/>
              </w:rPr>
              <w:t>分类</w:t>
            </w:r>
          </w:p>
        </w:tc>
        <w:tc>
          <w:tcPr>
            <w:tcW w:w="519" w:type="pc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污染物名称</w:t>
            </w:r>
          </w:p>
        </w:tc>
        <w:tc>
          <w:tcPr>
            <w:tcW w:w="427" w:type="pc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现有工程</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排放量</w:t>
            </w:r>
            <w:r>
              <w:rPr>
                <w:b/>
                <w:bCs/>
                <w:snapToGrid w:val="0"/>
                <w:color w:val="000000"/>
                <w:spacing w:val="-6"/>
                <w:kern w:val="21"/>
                <w:sz w:val="24"/>
                <w:szCs w:val="24"/>
              </w:rPr>
              <w:fldChar w:fldCharType="begin"/>
            </w:r>
            <w:r>
              <w:rPr>
                <w:b/>
                <w:bCs/>
                <w:snapToGrid w:val="0"/>
                <w:color w:val="000000"/>
                <w:spacing w:val="-6"/>
                <w:kern w:val="21"/>
                <w:sz w:val="24"/>
                <w:szCs w:val="24"/>
              </w:rPr>
              <w:instrText xml:space="preserve"> = 1 \* GB3 \* MERGEFORMAT </w:instrText>
            </w:r>
            <w:r>
              <w:rPr>
                <w:b/>
                <w:bCs/>
                <w:snapToGrid w:val="0"/>
                <w:color w:val="000000"/>
                <w:spacing w:val="-6"/>
                <w:kern w:val="21"/>
                <w:sz w:val="24"/>
                <w:szCs w:val="24"/>
              </w:rPr>
              <w:fldChar w:fldCharType="separate"/>
            </w:r>
            <w:r>
              <w:rPr>
                <w:rFonts w:hint="eastAsia" w:ascii="宋体" w:hAnsi="宋体" w:cs="宋体"/>
                <w:b/>
                <w:bCs/>
                <w:sz w:val="24"/>
                <w:szCs w:val="24"/>
              </w:rPr>
              <w:t>①</w:t>
            </w:r>
            <w:r>
              <w:rPr>
                <w:b/>
                <w:bCs/>
                <w:snapToGrid w:val="0"/>
                <w:color w:val="000000"/>
                <w:spacing w:val="-6"/>
                <w:kern w:val="21"/>
                <w:sz w:val="24"/>
                <w:szCs w:val="24"/>
              </w:rPr>
              <w:fldChar w:fldCharType="end"/>
            </w:r>
          </w:p>
        </w:tc>
        <w:tc>
          <w:tcPr>
            <w:tcW w:w="618" w:type="pc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现有工程</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许可排放量</w:t>
            </w:r>
            <w:r>
              <w:rPr>
                <w:b/>
                <w:bCs/>
                <w:snapToGrid w:val="0"/>
                <w:color w:val="000000"/>
                <w:spacing w:val="-6"/>
                <w:kern w:val="21"/>
                <w:sz w:val="24"/>
                <w:szCs w:val="24"/>
              </w:rPr>
              <w:fldChar w:fldCharType="begin"/>
            </w:r>
            <w:r>
              <w:rPr>
                <w:b/>
                <w:bCs/>
                <w:snapToGrid w:val="0"/>
                <w:color w:val="000000"/>
                <w:spacing w:val="-6"/>
                <w:kern w:val="21"/>
                <w:sz w:val="24"/>
                <w:szCs w:val="24"/>
              </w:rPr>
              <w:instrText xml:space="preserve"> = 2 \* GB3 \* MERGEFORMAT </w:instrText>
            </w:r>
            <w:r>
              <w:rPr>
                <w:b/>
                <w:bCs/>
                <w:snapToGrid w:val="0"/>
                <w:color w:val="000000"/>
                <w:spacing w:val="-6"/>
                <w:kern w:val="21"/>
                <w:sz w:val="24"/>
                <w:szCs w:val="24"/>
              </w:rPr>
              <w:fldChar w:fldCharType="separate"/>
            </w:r>
            <w:r>
              <w:rPr>
                <w:rFonts w:hint="eastAsia" w:ascii="宋体" w:hAnsi="宋体" w:cs="宋体"/>
                <w:b/>
                <w:bCs/>
                <w:snapToGrid w:val="0"/>
                <w:color w:val="000000"/>
                <w:spacing w:val="-6"/>
                <w:kern w:val="21"/>
                <w:sz w:val="24"/>
                <w:szCs w:val="24"/>
              </w:rPr>
              <w:t>②</w:t>
            </w:r>
            <w:r>
              <w:rPr>
                <w:b/>
                <w:bCs/>
                <w:snapToGrid w:val="0"/>
                <w:color w:val="000000"/>
                <w:spacing w:val="-6"/>
                <w:kern w:val="21"/>
                <w:sz w:val="24"/>
                <w:szCs w:val="24"/>
              </w:rPr>
              <w:fldChar w:fldCharType="end"/>
            </w:r>
          </w:p>
        </w:tc>
        <w:tc>
          <w:tcPr>
            <w:tcW w:w="427" w:type="pc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在建工程</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排放量</w:t>
            </w:r>
            <w:r>
              <w:rPr>
                <w:b/>
                <w:bCs/>
                <w:snapToGrid w:val="0"/>
                <w:color w:val="000000"/>
                <w:spacing w:val="-6"/>
                <w:kern w:val="21"/>
                <w:sz w:val="24"/>
                <w:szCs w:val="24"/>
              </w:rPr>
              <w:fldChar w:fldCharType="begin"/>
            </w:r>
            <w:r>
              <w:rPr>
                <w:b/>
                <w:bCs/>
                <w:snapToGrid w:val="0"/>
                <w:color w:val="000000"/>
                <w:spacing w:val="-6"/>
                <w:kern w:val="21"/>
                <w:sz w:val="24"/>
                <w:szCs w:val="24"/>
              </w:rPr>
              <w:instrText xml:space="preserve"> = 3 \* GB3 \* MERGEFORMAT </w:instrText>
            </w:r>
            <w:r>
              <w:rPr>
                <w:b/>
                <w:bCs/>
                <w:snapToGrid w:val="0"/>
                <w:color w:val="000000"/>
                <w:spacing w:val="-6"/>
                <w:kern w:val="21"/>
                <w:sz w:val="24"/>
                <w:szCs w:val="24"/>
              </w:rPr>
              <w:fldChar w:fldCharType="separate"/>
            </w:r>
            <w:r>
              <w:rPr>
                <w:rFonts w:hint="eastAsia" w:ascii="宋体" w:hAnsi="宋体" w:cs="宋体"/>
                <w:b/>
                <w:bCs/>
                <w:sz w:val="24"/>
                <w:szCs w:val="24"/>
              </w:rPr>
              <w:t>③</w:t>
            </w:r>
            <w:r>
              <w:rPr>
                <w:b/>
                <w:bCs/>
                <w:snapToGrid w:val="0"/>
                <w:color w:val="000000"/>
                <w:spacing w:val="-6"/>
                <w:kern w:val="21"/>
                <w:sz w:val="24"/>
                <w:szCs w:val="24"/>
              </w:rPr>
              <w:fldChar w:fldCharType="end"/>
            </w:r>
          </w:p>
        </w:tc>
        <w:tc>
          <w:tcPr>
            <w:tcW w:w="724" w:type="pc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本项目排放量</w:t>
            </w:r>
            <w:r>
              <w:rPr>
                <w:b/>
                <w:bCs/>
                <w:snapToGrid w:val="0"/>
                <w:color w:val="000000"/>
                <w:spacing w:val="-6"/>
                <w:kern w:val="21"/>
                <w:sz w:val="24"/>
                <w:szCs w:val="24"/>
              </w:rPr>
              <w:fldChar w:fldCharType="begin"/>
            </w:r>
            <w:r>
              <w:rPr>
                <w:b/>
                <w:bCs/>
                <w:snapToGrid w:val="0"/>
                <w:color w:val="000000"/>
                <w:spacing w:val="-6"/>
                <w:kern w:val="21"/>
                <w:sz w:val="24"/>
                <w:szCs w:val="24"/>
              </w:rPr>
              <w:instrText xml:space="preserve"> = 4 \* GB3 \* MERGEFORMAT </w:instrText>
            </w:r>
            <w:r>
              <w:rPr>
                <w:b/>
                <w:bCs/>
                <w:snapToGrid w:val="0"/>
                <w:color w:val="000000"/>
                <w:spacing w:val="-6"/>
                <w:kern w:val="21"/>
                <w:sz w:val="24"/>
                <w:szCs w:val="24"/>
              </w:rPr>
              <w:fldChar w:fldCharType="separate"/>
            </w:r>
            <w:r>
              <w:rPr>
                <w:rFonts w:hint="eastAsia" w:ascii="宋体" w:hAnsi="宋体" w:cs="宋体"/>
                <w:b/>
                <w:bCs/>
                <w:sz w:val="24"/>
                <w:szCs w:val="24"/>
              </w:rPr>
              <w:t>④</w:t>
            </w:r>
            <w:r>
              <w:rPr>
                <w:b/>
                <w:bCs/>
                <w:snapToGrid w:val="0"/>
                <w:color w:val="000000"/>
                <w:spacing w:val="-6"/>
                <w:kern w:val="21"/>
                <w:sz w:val="24"/>
                <w:szCs w:val="24"/>
              </w:rPr>
              <w:fldChar w:fldCharType="end"/>
            </w:r>
          </w:p>
        </w:tc>
        <w:tc>
          <w:tcPr>
            <w:tcW w:w="761" w:type="pc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16"/>
                <w:kern w:val="21"/>
                <w:sz w:val="24"/>
                <w:szCs w:val="24"/>
              </w:rPr>
            </w:pPr>
            <w:r>
              <w:rPr>
                <w:b/>
                <w:bCs/>
                <w:snapToGrid w:val="0"/>
                <w:color w:val="000000"/>
                <w:spacing w:val="-16"/>
                <w:kern w:val="21"/>
                <w:sz w:val="24"/>
                <w:szCs w:val="24"/>
              </w:rPr>
              <w:t>以新带老削减量</w:t>
            </w:r>
            <w:r>
              <w:rPr>
                <w:b/>
                <w:bCs/>
                <w:snapToGrid w:val="0"/>
                <w:color w:val="000000"/>
                <w:spacing w:val="-16"/>
                <w:kern w:val="21"/>
                <w:sz w:val="24"/>
                <w:szCs w:val="24"/>
              </w:rPr>
              <w:fldChar w:fldCharType="begin"/>
            </w:r>
            <w:r>
              <w:rPr>
                <w:b/>
                <w:bCs/>
                <w:snapToGrid w:val="0"/>
                <w:color w:val="000000"/>
                <w:spacing w:val="-16"/>
                <w:kern w:val="21"/>
                <w:sz w:val="24"/>
                <w:szCs w:val="24"/>
              </w:rPr>
              <w:instrText xml:space="preserve"> = 5 \* GB3 \* MERGEFORMAT </w:instrText>
            </w:r>
            <w:r>
              <w:rPr>
                <w:b/>
                <w:bCs/>
                <w:snapToGrid w:val="0"/>
                <w:color w:val="000000"/>
                <w:spacing w:val="-16"/>
                <w:kern w:val="21"/>
                <w:sz w:val="24"/>
                <w:szCs w:val="24"/>
              </w:rPr>
              <w:fldChar w:fldCharType="separate"/>
            </w:r>
            <w:r>
              <w:rPr>
                <w:rFonts w:hint="eastAsia" w:ascii="宋体" w:hAnsi="宋体" w:cs="宋体"/>
                <w:b/>
                <w:bCs/>
                <w:sz w:val="24"/>
                <w:szCs w:val="24"/>
              </w:rPr>
              <w:t>⑤</w:t>
            </w:r>
            <w:r>
              <w:rPr>
                <w:b/>
                <w:bCs/>
                <w:snapToGrid w:val="0"/>
                <w:color w:val="000000"/>
                <w:spacing w:val="-16"/>
                <w:kern w:val="21"/>
                <w:sz w:val="24"/>
                <w:szCs w:val="24"/>
              </w:rPr>
              <w:fldChar w:fldCharType="end"/>
            </w:r>
          </w:p>
        </w:tc>
        <w:tc>
          <w:tcPr>
            <w:tcW w:w="581" w:type="pc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16"/>
                <w:kern w:val="21"/>
                <w:sz w:val="24"/>
                <w:szCs w:val="24"/>
              </w:rPr>
            </w:pPr>
            <w:r>
              <w:rPr>
                <w:b/>
                <w:bCs/>
                <w:snapToGrid w:val="0"/>
                <w:color w:val="000000"/>
                <w:spacing w:val="-16"/>
                <w:kern w:val="21"/>
                <w:sz w:val="24"/>
                <w:szCs w:val="24"/>
              </w:rPr>
              <w:t>本项目建成后</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16"/>
                <w:kern w:val="21"/>
                <w:sz w:val="24"/>
                <w:szCs w:val="24"/>
              </w:rPr>
            </w:pPr>
            <w:r>
              <w:rPr>
                <w:b/>
                <w:bCs/>
                <w:snapToGrid w:val="0"/>
                <w:color w:val="000000"/>
                <w:spacing w:val="-16"/>
                <w:kern w:val="21"/>
                <w:sz w:val="24"/>
                <w:szCs w:val="24"/>
              </w:rPr>
              <w:t>全厂排放量</w:t>
            </w:r>
            <w:r>
              <w:rPr>
                <w:b/>
                <w:bCs/>
                <w:snapToGrid w:val="0"/>
                <w:color w:val="000000"/>
                <w:spacing w:val="-16"/>
                <w:kern w:val="21"/>
                <w:sz w:val="24"/>
                <w:szCs w:val="24"/>
              </w:rPr>
              <w:fldChar w:fldCharType="begin"/>
            </w:r>
            <w:r>
              <w:rPr>
                <w:b/>
                <w:bCs/>
                <w:snapToGrid w:val="0"/>
                <w:color w:val="000000"/>
                <w:spacing w:val="-16"/>
                <w:kern w:val="21"/>
                <w:sz w:val="24"/>
                <w:szCs w:val="24"/>
              </w:rPr>
              <w:instrText xml:space="preserve"> = 6 \* GB3 \* MERGEFORMAT </w:instrText>
            </w:r>
            <w:r>
              <w:rPr>
                <w:b/>
                <w:bCs/>
                <w:snapToGrid w:val="0"/>
                <w:color w:val="000000"/>
                <w:spacing w:val="-16"/>
                <w:kern w:val="21"/>
                <w:sz w:val="24"/>
                <w:szCs w:val="24"/>
              </w:rPr>
              <w:fldChar w:fldCharType="separate"/>
            </w:r>
            <w:r>
              <w:rPr>
                <w:rFonts w:hint="eastAsia" w:ascii="宋体" w:hAnsi="宋体" w:cs="宋体"/>
                <w:b/>
                <w:bCs/>
                <w:sz w:val="24"/>
                <w:szCs w:val="24"/>
              </w:rPr>
              <w:t>⑥</w:t>
            </w:r>
            <w:r>
              <w:rPr>
                <w:b/>
                <w:bCs/>
                <w:snapToGrid w:val="0"/>
                <w:color w:val="000000"/>
                <w:spacing w:val="-16"/>
                <w:kern w:val="21"/>
                <w:sz w:val="24"/>
                <w:szCs w:val="24"/>
              </w:rPr>
              <w:fldChar w:fldCharType="end"/>
            </w:r>
          </w:p>
        </w:tc>
        <w:tc>
          <w:tcPr>
            <w:tcW w:w="428" w:type="pct"/>
            <w:tcMar>
              <w:left w:w="28" w:type="dxa"/>
              <w:right w:w="2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b/>
                <w:bCs/>
                <w:snapToGrid w:val="0"/>
                <w:color w:val="000000"/>
                <w:spacing w:val="-6"/>
                <w:kern w:val="21"/>
                <w:sz w:val="24"/>
                <w:szCs w:val="24"/>
              </w:rPr>
            </w:pPr>
            <w:r>
              <w:rPr>
                <w:b/>
                <w:bCs/>
                <w:snapToGrid w:val="0"/>
                <w:color w:val="000000"/>
                <w:spacing w:val="-6"/>
                <w:kern w:val="21"/>
                <w:sz w:val="24"/>
                <w:szCs w:val="24"/>
              </w:rPr>
              <w:t>变化量</w:t>
            </w:r>
            <w:r>
              <w:rPr>
                <w:b/>
                <w:bCs/>
                <w:snapToGrid w:val="0"/>
                <w:color w:val="000000"/>
                <w:spacing w:val="-6"/>
                <w:kern w:val="21"/>
                <w:sz w:val="24"/>
                <w:szCs w:val="24"/>
              </w:rPr>
              <w:fldChar w:fldCharType="begin"/>
            </w:r>
            <w:r>
              <w:rPr>
                <w:b/>
                <w:bCs/>
                <w:snapToGrid w:val="0"/>
                <w:color w:val="000000"/>
                <w:spacing w:val="-6"/>
                <w:kern w:val="21"/>
                <w:sz w:val="24"/>
                <w:szCs w:val="24"/>
              </w:rPr>
              <w:instrText xml:space="preserve"> = 7 \* GB3 \* MERGEFORMAT </w:instrText>
            </w:r>
            <w:r>
              <w:rPr>
                <w:b/>
                <w:bCs/>
                <w:snapToGrid w:val="0"/>
                <w:color w:val="000000"/>
                <w:spacing w:val="-6"/>
                <w:kern w:val="21"/>
                <w:sz w:val="24"/>
                <w:szCs w:val="24"/>
              </w:rPr>
              <w:fldChar w:fldCharType="separate"/>
            </w:r>
            <w:r>
              <w:rPr>
                <w:rFonts w:hint="eastAsia" w:ascii="宋体" w:hAnsi="宋体" w:cs="宋体"/>
                <w:b/>
                <w:bCs/>
                <w:sz w:val="24"/>
                <w:szCs w:val="24"/>
              </w:rPr>
              <w:t>⑦</w:t>
            </w:r>
            <w:r>
              <w:rPr>
                <w:b/>
                <w:bCs/>
                <w:snapToGrid w:val="0"/>
                <w:color w:val="000000"/>
                <w:spacing w:val="-6"/>
                <w:kern w:val="21"/>
                <w:sz w:val="24"/>
                <w:szCs w:val="24"/>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restar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snapToGrid w:val="0"/>
                <w:color w:val="000000"/>
                <w:kern w:val="21"/>
                <w:sz w:val="24"/>
                <w:szCs w:val="24"/>
              </w:rPr>
              <w:t>废气</w:t>
            </w:r>
          </w:p>
        </w:tc>
        <w:tc>
          <w:tcPr>
            <w:tcW w:w="1458"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color w:val="auto"/>
                <w:sz w:val="24"/>
                <w:szCs w:val="24"/>
                <w:highlight w:val="none"/>
                <w:lang w:val="en-US" w:eastAsia="zh-CN"/>
              </w:rPr>
              <w:t>颗粒物</w:t>
            </w:r>
          </w:p>
        </w:tc>
        <w:tc>
          <w:tcPr>
            <w:tcW w:w="1201"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2036"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eastAsia="等线"/>
                <w:color w:val="auto"/>
                <w:sz w:val="24"/>
                <w:szCs w:val="24"/>
                <w:highlight w:val="none"/>
                <w:lang w:val="en-US" w:eastAsia="zh-CN"/>
              </w:rPr>
              <w:t>11.37</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1634"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eastAsia="等线"/>
                <w:color w:val="auto"/>
                <w:sz w:val="24"/>
                <w:szCs w:val="24"/>
                <w:highlight w:val="none"/>
                <w:lang w:val="en-US" w:eastAsia="zh-CN"/>
              </w:rPr>
              <w:t>11.37</w:t>
            </w:r>
          </w:p>
        </w:tc>
        <w:tc>
          <w:tcPr>
            <w:tcW w:w="1217"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eastAsia="等线"/>
                <w:color w:val="auto"/>
                <w:sz w:val="24"/>
                <w:szCs w:val="24"/>
                <w:highlight w:val="none"/>
                <w:lang w:val="en-US" w:eastAsia="zh-CN"/>
              </w:rPr>
              <w:t>+11.37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p>
        </w:tc>
        <w:tc>
          <w:tcPr>
            <w:tcW w:w="1458"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color w:val="auto"/>
                <w:sz w:val="24"/>
                <w:szCs w:val="24"/>
                <w:highlight w:val="none"/>
                <w:lang w:val="en-US" w:eastAsia="zh-CN"/>
              </w:rPr>
              <w:t>二氧化硫</w:t>
            </w:r>
          </w:p>
        </w:tc>
        <w:tc>
          <w:tcPr>
            <w:tcW w:w="1201"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2036"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z w:val="24"/>
                <w:szCs w:val="24"/>
                <w:lang w:val="en-US" w:eastAsia="zh-CN"/>
              </w:rPr>
              <w:t>0.22</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1634"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z w:val="24"/>
                <w:szCs w:val="24"/>
                <w:lang w:val="en-US" w:eastAsia="zh-CN"/>
              </w:rPr>
              <w:t>0.22</w:t>
            </w:r>
          </w:p>
        </w:tc>
        <w:tc>
          <w:tcPr>
            <w:tcW w:w="1217"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z w:val="24"/>
                <w:szCs w:val="24"/>
                <w:lang w:val="en-US" w:eastAsia="zh-CN"/>
              </w:rPr>
              <w:t>+0.22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p>
        </w:tc>
        <w:tc>
          <w:tcPr>
            <w:tcW w:w="1458"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color w:val="auto"/>
                <w:sz w:val="24"/>
                <w:szCs w:val="24"/>
                <w:highlight w:val="none"/>
                <w:lang w:val="en-US" w:eastAsia="zh-CN"/>
              </w:rPr>
              <w:t>氮氧化物</w:t>
            </w:r>
          </w:p>
        </w:tc>
        <w:tc>
          <w:tcPr>
            <w:tcW w:w="1201"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2036"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z w:val="24"/>
                <w:szCs w:val="24"/>
                <w:lang w:val="en-US" w:eastAsia="zh-CN"/>
              </w:rPr>
              <w:t>0.51</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1634"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z w:val="24"/>
                <w:szCs w:val="24"/>
                <w:lang w:val="en-US" w:eastAsia="zh-CN"/>
              </w:rPr>
              <w:t>0.51</w:t>
            </w:r>
          </w:p>
        </w:tc>
        <w:tc>
          <w:tcPr>
            <w:tcW w:w="1217"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z w:val="24"/>
                <w:szCs w:val="24"/>
                <w:lang w:val="en-US" w:eastAsia="zh-CN"/>
              </w:rPr>
              <w:t>+0.51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p>
        </w:tc>
        <w:tc>
          <w:tcPr>
            <w:tcW w:w="1458"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color w:val="auto"/>
                <w:sz w:val="24"/>
                <w:szCs w:val="24"/>
                <w:highlight w:val="none"/>
                <w:lang w:val="en-US" w:eastAsia="zh-CN"/>
              </w:rPr>
              <w:t>氟化物</w:t>
            </w:r>
          </w:p>
        </w:tc>
        <w:tc>
          <w:tcPr>
            <w:tcW w:w="1201"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2036"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color w:val="auto"/>
                <w:sz w:val="24"/>
                <w:szCs w:val="24"/>
                <w:highlight w:val="none"/>
                <w:lang w:val="en-US" w:eastAsia="zh-CN"/>
              </w:rPr>
              <w:t>0.11</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1634"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color w:val="auto"/>
                <w:sz w:val="24"/>
                <w:szCs w:val="24"/>
                <w:highlight w:val="none"/>
                <w:lang w:val="en-US" w:eastAsia="zh-CN"/>
              </w:rPr>
              <w:t>0.11</w:t>
            </w:r>
          </w:p>
        </w:tc>
        <w:tc>
          <w:tcPr>
            <w:tcW w:w="1217" w:type="dxa"/>
            <w:vAlign w:val="center"/>
          </w:tcPr>
          <w:p>
            <w:pPr>
              <w:pStyle w:val="19"/>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color w:val="auto"/>
                <w:sz w:val="24"/>
                <w:szCs w:val="24"/>
                <w:highlight w:val="none"/>
                <w:lang w:val="en-US" w:eastAsia="zh-CN"/>
              </w:rPr>
              <w:t>+0.11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510" w:type="pct"/>
            <w:vMerge w:val="restar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snapToGrid w:val="0"/>
                <w:color w:val="000000"/>
                <w:kern w:val="21"/>
                <w:sz w:val="24"/>
                <w:szCs w:val="24"/>
              </w:rPr>
              <w:t>废水</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bCs/>
                <w:color w:val="auto"/>
                <w:kern w:val="0"/>
                <w:sz w:val="24"/>
                <w:szCs w:val="24"/>
              </w:rPr>
              <w:t>水量</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240</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1485</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58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1725</w:t>
            </w:r>
          </w:p>
        </w:tc>
        <w:tc>
          <w:tcPr>
            <w:tcW w:w="42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+1485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snapToGrid w:val="0"/>
                <w:color w:val="000000"/>
                <w:kern w:val="21"/>
                <w:sz w:val="24"/>
                <w:szCs w:val="24"/>
                <w:lang w:val="en-US" w:eastAsia="zh-CN"/>
              </w:rPr>
            </w:pPr>
            <w:r>
              <w:rPr>
                <w:rFonts w:hint="eastAsia"/>
                <w:bCs/>
                <w:color w:val="auto"/>
                <w:kern w:val="0"/>
                <w:sz w:val="24"/>
                <w:szCs w:val="24"/>
              </w:rPr>
              <w:t>COD</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0.07</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0.30</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1634" w:type="dxa"/>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napToGrid w:val="0"/>
                <w:color w:val="000000"/>
                <w:kern w:val="21"/>
                <w:sz w:val="24"/>
                <w:szCs w:val="24"/>
                <w:lang w:val="en-US" w:eastAsia="zh-CN"/>
              </w:rPr>
              <w:t>0.37</w:t>
            </w:r>
          </w:p>
        </w:tc>
        <w:tc>
          <w:tcPr>
            <w:tcW w:w="42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bCs/>
                <w:color w:val="auto"/>
                <w:kern w:val="0"/>
                <w:sz w:val="24"/>
                <w:szCs w:val="24"/>
              </w:rPr>
              <w:t>NH</w:t>
            </w:r>
            <w:r>
              <w:rPr>
                <w:rFonts w:hint="eastAsia"/>
                <w:bCs/>
                <w:color w:val="auto"/>
                <w:kern w:val="0"/>
                <w:sz w:val="24"/>
                <w:szCs w:val="24"/>
                <w:vertAlign w:val="subscript"/>
              </w:rPr>
              <w:t>3</w:t>
            </w:r>
            <w:r>
              <w:rPr>
                <w:rFonts w:hint="eastAsia"/>
                <w:bCs/>
                <w:color w:val="auto"/>
                <w:kern w:val="0"/>
                <w:sz w:val="24"/>
                <w:szCs w:val="24"/>
              </w:rPr>
              <w:t>-N</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0.01</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0.02</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1634" w:type="dxa"/>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napToGrid w:val="0"/>
                <w:color w:val="000000"/>
                <w:kern w:val="21"/>
                <w:sz w:val="24"/>
                <w:szCs w:val="24"/>
                <w:lang w:val="en-US" w:eastAsia="zh-CN"/>
              </w:rPr>
              <w:t>0.03</w:t>
            </w:r>
          </w:p>
        </w:tc>
        <w:tc>
          <w:tcPr>
            <w:tcW w:w="42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510" w:type="pct"/>
            <w:vMerge w:val="restar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snapToGrid w:val="0"/>
                <w:color w:val="000000"/>
                <w:kern w:val="21"/>
                <w:sz w:val="24"/>
                <w:szCs w:val="24"/>
              </w:rPr>
              <w:t>一般工业</w:t>
            </w:r>
          </w:p>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snapToGrid w:val="0"/>
                <w:color w:val="000000"/>
                <w:kern w:val="21"/>
                <w:sz w:val="24"/>
                <w:szCs w:val="24"/>
              </w:rPr>
              <w:t>固体废物</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冶炼废渣</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6278.63</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58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6278.63</w:t>
            </w:r>
          </w:p>
        </w:tc>
        <w:tc>
          <w:tcPr>
            <w:tcW w:w="42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napToGrid w:val="0"/>
                <w:color w:val="000000"/>
                <w:kern w:val="21"/>
                <w:sz w:val="24"/>
                <w:szCs w:val="24"/>
                <w:lang w:val="en-US" w:eastAsia="zh-CN"/>
              </w:rPr>
              <w:t>+6278.63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钢渣</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646.16</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58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646.16</w:t>
            </w:r>
          </w:p>
        </w:tc>
        <w:tc>
          <w:tcPr>
            <w:tcW w:w="42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rFonts w:hint="eastAsia"/>
                <w:snapToGrid w:val="0"/>
                <w:color w:val="000000"/>
                <w:kern w:val="21"/>
                <w:sz w:val="24"/>
                <w:szCs w:val="24"/>
                <w:lang w:val="en-US" w:eastAsia="zh-CN"/>
              </w:rPr>
              <w:t>+646.16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restar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r>
              <w:rPr>
                <w:snapToGrid w:val="0"/>
                <w:color w:val="000000"/>
                <w:kern w:val="21"/>
                <w:sz w:val="24"/>
                <w:szCs w:val="24"/>
              </w:rPr>
              <w:t>危险废物</w:t>
            </w: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除尘灰</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392.69</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58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392.69</w:t>
            </w:r>
          </w:p>
        </w:tc>
        <w:tc>
          <w:tcPr>
            <w:tcW w:w="42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+392.69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10" w:type="pct"/>
            <w:vMerge w:val="continue"/>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snapToGrid w:val="0"/>
                <w:color w:val="000000"/>
                <w:kern w:val="21"/>
                <w:sz w:val="24"/>
                <w:szCs w:val="24"/>
              </w:rPr>
            </w:pPr>
          </w:p>
        </w:tc>
        <w:tc>
          <w:tcPr>
            <w:tcW w:w="519"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废机油</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0.02</w:t>
            </w:r>
          </w:p>
        </w:tc>
        <w:tc>
          <w:tcPr>
            <w:tcW w:w="61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w:t>
            </w:r>
          </w:p>
        </w:tc>
        <w:tc>
          <w:tcPr>
            <w:tcW w:w="427"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724"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0.75</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eastAsia" w:eastAsia="宋体"/>
                <w:snapToGrid w:val="0"/>
                <w:color w:val="000000"/>
                <w:kern w:val="21"/>
                <w:sz w:val="24"/>
                <w:szCs w:val="24"/>
                <w:lang w:val="en-US" w:eastAsia="zh-CN"/>
              </w:rPr>
            </w:pPr>
            <w:r>
              <w:rPr>
                <w:rFonts w:hint="eastAsia"/>
                <w:snapToGrid w:val="0"/>
                <w:color w:val="000000"/>
                <w:kern w:val="21"/>
                <w:sz w:val="24"/>
                <w:szCs w:val="24"/>
                <w:lang w:val="en-US" w:eastAsia="zh-CN"/>
              </w:rPr>
              <w:t>0</w:t>
            </w:r>
          </w:p>
        </w:tc>
        <w:tc>
          <w:tcPr>
            <w:tcW w:w="581"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0.77</w:t>
            </w:r>
          </w:p>
        </w:tc>
        <w:tc>
          <w:tcPr>
            <w:tcW w:w="428" w:type="pct"/>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eastAsia="宋体"/>
                <w:snapToGrid w:val="0"/>
                <w:color w:val="000000"/>
                <w:kern w:val="21"/>
                <w:sz w:val="24"/>
                <w:szCs w:val="24"/>
                <w:lang w:val="en-US" w:eastAsia="zh-CN"/>
              </w:rPr>
            </w:pPr>
            <w:r>
              <w:rPr>
                <w:rFonts w:hint="eastAsia"/>
                <w:snapToGrid w:val="0"/>
                <w:color w:val="000000"/>
                <w:kern w:val="21"/>
                <w:sz w:val="24"/>
                <w:szCs w:val="24"/>
                <w:lang w:val="en-US" w:eastAsia="zh-CN"/>
              </w:rPr>
              <w:t>+0.75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9"/>
            <w:vAlign w:val="center"/>
          </w:tcPr>
          <w:p>
            <w:pPr>
              <w:keepNext w:val="0"/>
              <w:keepLines w:val="0"/>
              <w:pageBreakBefore w:val="0"/>
              <w:widowControl w:val="0"/>
              <w:kinsoku/>
              <w:wordWrap/>
              <w:overflowPunct/>
              <w:topLinePunct w:val="0"/>
              <w:autoSpaceDE/>
              <w:autoSpaceDN/>
              <w:bidi w:val="0"/>
              <w:adjustRightInd/>
              <w:snapToGrid/>
              <w:spacing w:line="480" w:lineRule="exact"/>
              <w:ind w:firstLine="0" w:firstLineChars="0"/>
              <w:textAlignment w:val="auto"/>
              <w:rPr>
                <w:snapToGrid w:val="0"/>
                <w:sz w:val="24"/>
                <w:szCs w:val="24"/>
              </w:rPr>
            </w:pPr>
            <w:r>
              <w:rPr>
                <w:snapToGrid w:val="0"/>
                <w:color w:val="000000"/>
                <w:kern w:val="21"/>
                <w:sz w:val="24"/>
                <w:szCs w:val="24"/>
              </w:rPr>
              <w:t>注：</w:t>
            </w:r>
            <w:r>
              <w:rPr>
                <w:snapToGrid w:val="0"/>
                <w:color w:val="000000"/>
                <w:spacing w:val="-6"/>
                <w:kern w:val="21"/>
                <w:sz w:val="24"/>
                <w:szCs w:val="24"/>
              </w:rPr>
              <w:t>固体废物产生量；</w:t>
            </w:r>
            <w:r>
              <w:rPr>
                <w:snapToGrid w:val="0"/>
                <w:color w:val="000000"/>
                <w:spacing w:val="-16"/>
                <w:kern w:val="21"/>
                <w:sz w:val="24"/>
                <w:szCs w:val="24"/>
              </w:rPr>
              <w:fldChar w:fldCharType="begin"/>
            </w:r>
            <w:r>
              <w:rPr>
                <w:snapToGrid w:val="0"/>
                <w:color w:val="000000"/>
                <w:spacing w:val="-16"/>
                <w:kern w:val="21"/>
                <w:sz w:val="24"/>
                <w:szCs w:val="24"/>
              </w:rPr>
              <w:instrText xml:space="preserve"> = 6 \* GB3 \* MERGEFORMAT </w:instrText>
            </w:r>
            <w:r>
              <w:rPr>
                <w:snapToGrid w:val="0"/>
                <w:color w:val="000000"/>
                <w:spacing w:val="-16"/>
                <w:kern w:val="21"/>
                <w:sz w:val="24"/>
                <w:szCs w:val="24"/>
              </w:rPr>
              <w:fldChar w:fldCharType="separate"/>
            </w:r>
            <w:r>
              <w:rPr>
                <w:rFonts w:hint="eastAsia" w:ascii="宋体" w:hAnsi="宋体" w:cs="宋体"/>
                <w:kern w:val="0"/>
                <w:sz w:val="24"/>
                <w:szCs w:val="24"/>
              </w:rPr>
              <w:t>⑥</w:t>
            </w:r>
            <w:r>
              <w:rPr>
                <w:snapToGrid w:val="0"/>
                <w:color w:val="000000"/>
                <w:spacing w:val="-16"/>
                <w:kern w:val="21"/>
                <w:sz w:val="24"/>
                <w:szCs w:val="24"/>
              </w:rPr>
              <w:fldChar w:fldCharType="end"/>
            </w:r>
            <w:r>
              <w:rPr>
                <w:snapToGrid w:val="0"/>
                <w:color w:val="000000"/>
                <w:spacing w:val="-16"/>
                <w:kern w:val="21"/>
                <w:sz w:val="24"/>
                <w:szCs w:val="24"/>
              </w:rPr>
              <w:t>=</w:t>
            </w:r>
            <w:r>
              <w:rPr>
                <w:snapToGrid w:val="0"/>
                <w:color w:val="000000"/>
                <w:spacing w:val="-6"/>
                <w:kern w:val="21"/>
                <w:sz w:val="24"/>
                <w:szCs w:val="24"/>
              </w:rPr>
              <w:fldChar w:fldCharType="begin"/>
            </w:r>
            <w:r>
              <w:rPr>
                <w:snapToGrid w:val="0"/>
                <w:color w:val="000000"/>
                <w:spacing w:val="-6"/>
                <w:kern w:val="21"/>
                <w:sz w:val="24"/>
                <w:szCs w:val="24"/>
              </w:rPr>
              <w:instrText xml:space="preserve"> = 1 \* GB3 \* MERGEFORMAT </w:instrText>
            </w:r>
            <w:r>
              <w:rPr>
                <w:snapToGrid w:val="0"/>
                <w:color w:val="000000"/>
                <w:spacing w:val="-6"/>
                <w:kern w:val="21"/>
                <w:sz w:val="24"/>
                <w:szCs w:val="24"/>
              </w:rPr>
              <w:fldChar w:fldCharType="separate"/>
            </w:r>
            <w:r>
              <w:rPr>
                <w:rFonts w:hint="eastAsia" w:ascii="宋体" w:hAnsi="宋体" w:cs="宋体"/>
                <w:kern w:val="0"/>
                <w:sz w:val="24"/>
                <w:szCs w:val="24"/>
              </w:rPr>
              <w:t>①</w:t>
            </w:r>
            <w:r>
              <w:rPr>
                <w:snapToGrid w:val="0"/>
                <w:color w:val="000000"/>
                <w:spacing w:val="-6"/>
                <w:kern w:val="21"/>
                <w:sz w:val="24"/>
                <w:szCs w:val="24"/>
              </w:rPr>
              <w:fldChar w:fldCharType="end"/>
            </w:r>
            <w:r>
              <w:rPr>
                <w:snapToGrid w:val="0"/>
                <w:color w:val="000000"/>
                <w:spacing w:val="-6"/>
                <w:kern w:val="21"/>
                <w:sz w:val="24"/>
                <w:szCs w:val="24"/>
              </w:rPr>
              <w:t>+</w:t>
            </w:r>
            <w:r>
              <w:rPr>
                <w:snapToGrid w:val="0"/>
                <w:color w:val="000000"/>
                <w:spacing w:val="-6"/>
                <w:kern w:val="21"/>
                <w:sz w:val="24"/>
                <w:szCs w:val="24"/>
              </w:rPr>
              <w:fldChar w:fldCharType="begin"/>
            </w:r>
            <w:r>
              <w:rPr>
                <w:snapToGrid w:val="0"/>
                <w:color w:val="000000"/>
                <w:spacing w:val="-6"/>
                <w:kern w:val="21"/>
                <w:sz w:val="24"/>
                <w:szCs w:val="24"/>
              </w:rPr>
              <w:instrText xml:space="preserve"> = 3 \* GB3 \* MERGEFORMAT </w:instrText>
            </w:r>
            <w:r>
              <w:rPr>
                <w:snapToGrid w:val="0"/>
                <w:color w:val="000000"/>
                <w:spacing w:val="-6"/>
                <w:kern w:val="21"/>
                <w:sz w:val="24"/>
                <w:szCs w:val="24"/>
              </w:rPr>
              <w:fldChar w:fldCharType="separate"/>
            </w:r>
            <w:r>
              <w:rPr>
                <w:rFonts w:hint="eastAsia" w:ascii="宋体" w:hAnsi="宋体" w:cs="宋体"/>
                <w:kern w:val="0"/>
                <w:sz w:val="24"/>
                <w:szCs w:val="24"/>
              </w:rPr>
              <w:t>③</w:t>
            </w:r>
            <w:r>
              <w:rPr>
                <w:snapToGrid w:val="0"/>
                <w:color w:val="000000"/>
                <w:spacing w:val="-6"/>
                <w:kern w:val="21"/>
                <w:sz w:val="24"/>
                <w:szCs w:val="24"/>
              </w:rPr>
              <w:fldChar w:fldCharType="end"/>
            </w:r>
            <w:r>
              <w:rPr>
                <w:snapToGrid w:val="0"/>
                <w:color w:val="000000"/>
                <w:spacing w:val="-6"/>
                <w:kern w:val="21"/>
                <w:sz w:val="24"/>
                <w:szCs w:val="24"/>
              </w:rPr>
              <w:t>+</w:t>
            </w:r>
            <w:r>
              <w:rPr>
                <w:snapToGrid w:val="0"/>
                <w:color w:val="000000"/>
                <w:spacing w:val="-6"/>
                <w:kern w:val="21"/>
                <w:sz w:val="24"/>
                <w:szCs w:val="24"/>
              </w:rPr>
              <w:fldChar w:fldCharType="begin"/>
            </w:r>
            <w:r>
              <w:rPr>
                <w:snapToGrid w:val="0"/>
                <w:color w:val="000000"/>
                <w:spacing w:val="-6"/>
                <w:kern w:val="21"/>
                <w:sz w:val="24"/>
                <w:szCs w:val="24"/>
              </w:rPr>
              <w:instrText xml:space="preserve"> = 4 \* GB3 \* MERGEFORMAT </w:instrText>
            </w:r>
            <w:r>
              <w:rPr>
                <w:snapToGrid w:val="0"/>
                <w:color w:val="000000"/>
                <w:spacing w:val="-6"/>
                <w:kern w:val="21"/>
                <w:sz w:val="24"/>
                <w:szCs w:val="24"/>
              </w:rPr>
              <w:fldChar w:fldCharType="separate"/>
            </w:r>
            <w:r>
              <w:rPr>
                <w:rFonts w:hint="eastAsia" w:ascii="宋体" w:hAnsi="宋体" w:cs="宋体"/>
                <w:kern w:val="0"/>
                <w:sz w:val="24"/>
                <w:szCs w:val="24"/>
              </w:rPr>
              <w:t>④</w:t>
            </w:r>
            <w:r>
              <w:rPr>
                <w:snapToGrid w:val="0"/>
                <w:color w:val="000000"/>
                <w:spacing w:val="-6"/>
                <w:kern w:val="21"/>
                <w:sz w:val="24"/>
                <w:szCs w:val="24"/>
              </w:rPr>
              <w:fldChar w:fldCharType="end"/>
            </w:r>
            <w:r>
              <w:rPr>
                <w:snapToGrid w:val="0"/>
                <w:color w:val="000000"/>
                <w:spacing w:val="-6"/>
                <w:kern w:val="21"/>
                <w:sz w:val="24"/>
                <w:szCs w:val="24"/>
              </w:rPr>
              <w:t>-</w:t>
            </w:r>
            <w:r>
              <w:rPr>
                <w:snapToGrid w:val="0"/>
                <w:color w:val="000000"/>
                <w:spacing w:val="-16"/>
                <w:kern w:val="21"/>
                <w:sz w:val="24"/>
                <w:szCs w:val="24"/>
              </w:rPr>
              <w:fldChar w:fldCharType="begin"/>
            </w:r>
            <w:r>
              <w:rPr>
                <w:snapToGrid w:val="0"/>
                <w:color w:val="000000"/>
                <w:spacing w:val="-16"/>
                <w:kern w:val="21"/>
                <w:sz w:val="24"/>
                <w:szCs w:val="24"/>
              </w:rPr>
              <w:instrText xml:space="preserve"> = 5 \* GB3 \* MERGEFORMAT </w:instrText>
            </w:r>
            <w:r>
              <w:rPr>
                <w:snapToGrid w:val="0"/>
                <w:color w:val="000000"/>
                <w:spacing w:val="-16"/>
                <w:kern w:val="21"/>
                <w:sz w:val="24"/>
                <w:szCs w:val="24"/>
              </w:rPr>
              <w:fldChar w:fldCharType="separate"/>
            </w:r>
            <w:r>
              <w:rPr>
                <w:rFonts w:hint="eastAsia" w:ascii="宋体" w:hAnsi="宋体" w:cs="宋体"/>
                <w:kern w:val="0"/>
                <w:sz w:val="24"/>
                <w:szCs w:val="24"/>
              </w:rPr>
              <w:t>⑤</w:t>
            </w:r>
            <w:r>
              <w:rPr>
                <w:snapToGrid w:val="0"/>
                <w:color w:val="000000"/>
                <w:spacing w:val="-16"/>
                <w:kern w:val="21"/>
                <w:sz w:val="24"/>
                <w:szCs w:val="24"/>
              </w:rPr>
              <w:fldChar w:fldCharType="end"/>
            </w:r>
            <w:r>
              <w:rPr>
                <w:snapToGrid w:val="0"/>
                <w:color w:val="000000"/>
                <w:spacing w:val="-16"/>
                <w:kern w:val="21"/>
                <w:sz w:val="24"/>
                <w:szCs w:val="24"/>
              </w:rPr>
              <w:t>，</w:t>
            </w:r>
            <w:r>
              <w:rPr>
                <w:snapToGrid w:val="0"/>
                <w:color w:val="000000"/>
                <w:spacing w:val="-6"/>
                <w:kern w:val="21"/>
                <w:sz w:val="24"/>
                <w:szCs w:val="24"/>
              </w:rPr>
              <w:fldChar w:fldCharType="begin"/>
            </w:r>
            <w:r>
              <w:rPr>
                <w:snapToGrid w:val="0"/>
                <w:color w:val="000000"/>
                <w:spacing w:val="-6"/>
                <w:kern w:val="21"/>
                <w:sz w:val="24"/>
                <w:szCs w:val="24"/>
              </w:rPr>
              <w:instrText xml:space="preserve"> = 7 \* GB3 \* MERGEFORMAT </w:instrText>
            </w:r>
            <w:r>
              <w:rPr>
                <w:snapToGrid w:val="0"/>
                <w:color w:val="000000"/>
                <w:spacing w:val="-6"/>
                <w:kern w:val="21"/>
                <w:sz w:val="24"/>
                <w:szCs w:val="24"/>
              </w:rPr>
              <w:fldChar w:fldCharType="separate"/>
            </w:r>
            <w:r>
              <w:rPr>
                <w:rFonts w:hint="eastAsia" w:ascii="宋体" w:hAnsi="宋体" w:cs="宋体"/>
                <w:kern w:val="0"/>
                <w:sz w:val="24"/>
                <w:szCs w:val="24"/>
              </w:rPr>
              <w:t>⑦</w:t>
            </w:r>
            <w:r>
              <w:rPr>
                <w:snapToGrid w:val="0"/>
                <w:color w:val="000000"/>
                <w:spacing w:val="-6"/>
                <w:kern w:val="21"/>
                <w:sz w:val="24"/>
                <w:szCs w:val="24"/>
              </w:rPr>
              <w:fldChar w:fldCharType="end"/>
            </w:r>
            <w:r>
              <w:rPr>
                <w:snapToGrid w:val="0"/>
                <w:color w:val="000000"/>
                <w:spacing w:val="-6"/>
                <w:kern w:val="21"/>
                <w:sz w:val="24"/>
                <w:szCs w:val="24"/>
              </w:rPr>
              <w:t>=</w:t>
            </w:r>
            <w:r>
              <w:rPr>
                <w:snapToGrid w:val="0"/>
                <w:color w:val="000000"/>
                <w:spacing w:val="-16"/>
                <w:kern w:val="21"/>
                <w:sz w:val="24"/>
                <w:szCs w:val="24"/>
              </w:rPr>
              <w:fldChar w:fldCharType="begin"/>
            </w:r>
            <w:r>
              <w:rPr>
                <w:snapToGrid w:val="0"/>
                <w:color w:val="000000"/>
                <w:spacing w:val="-16"/>
                <w:kern w:val="21"/>
                <w:sz w:val="24"/>
                <w:szCs w:val="24"/>
              </w:rPr>
              <w:instrText xml:space="preserve"> = 6 \* GB3 \* MERGEFORMAT </w:instrText>
            </w:r>
            <w:r>
              <w:rPr>
                <w:snapToGrid w:val="0"/>
                <w:color w:val="000000"/>
                <w:spacing w:val="-16"/>
                <w:kern w:val="21"/>
                <w:sz w:val="24"/>
                <w:szCs w:val="24"/>
              </w:rPr>
              <w:fldChar w:fldCharType="separate"/>
            </w:r>
            <w:r>
              <w:rPr>
                <w:rFonts w:hint="eastAsia" w:ascii="宋体" w:hAnsi="宋体" w:cs="宋体"/>
                <w:kern w:val="0"/>
                <w:sz w:val="24"/>
                <w:szCs w:val="24"/>
              </w:rPr>
              <w:t>⑥</w:t>
            </w:r>
            <w:r>
              <w:rPr>
                <w:snapToGrid w:val="0"/>
                <w:color w:val="000000"/>
                <w:spacing w:val="-16"/>
                <w:kern w:val="21"/>
                <w:sz w:val="24"/>
                <w:szCs w:val="24"/>
              </w:rPr>
              <w:fldChar w:fldCharType="end"/>
            </w:r>
            <w:r>
              <w:rPr>
                <w:snapToGrid w:val="0"/>
                <w:color w:val="000000"/>
                <w:spacing w:val="-16"/>
                <w:kern w:val="21"/>
                <w:sz w:val="24"/>
                <w:szCs w:val="24"/>
              </w:rPr>
              <w:t>-</w:t>
            </w:r>
            <w:r>
              <w:rPr>
                <w:snapToGrid w:val="0"/>
                <w:color w:val="000000"/>
                <w:spacing w:val="-6"/>
                <w:kern w:val="21"/>
                <w:sz w:val="24"/>
                <w:szCs w:val="24"/>
              </w:rPr>
              <w:fldChar w:fldCharType="begin"/>
            </w:r>
            <w:r>
              <w:rPr>
                <w:snapToGrid w:val="0"/>
                <w:color w:val="000000"/>
                <w:spacing w:val="-6"/>
                <w:kern w:val="21"/>
                <w:sz w:val="24"/>
                <w:szCs w:val="24"/>
              </w:rPr>
              <w:instrText xml:space="preserve"> = 1 \* GB3 \* MERGEFORMAT </w:instrText>
            </w:r>
            <w:r>
              <w:rPr>
                <w:snapToGrid w:val="0"/>
                <w:color w:val="000000"/>
                <w:spacing w:val="-6"/>
                <w:kern w:val="21"/>
                <w:sz w:val="24"/>
                <w:szCs w:val="24"/>
              </w:rPr>
              <w:fldChar w:fldCharType="separate"/>
            </w:r>
            <w:r>
              <w:rPr>
                <w:rFonts w:hint="eastAsia" w:ascii="宋体" w:hAnsi="宋体" w:cs="宋体"/>
                <w:kern w:val="0"/>
                <w:sz w:val="24"/>
                <w:szCs w:val="24"/>
              </w:rPr>
              <w:t>①</w:t>
            </w:r>
            <w:r>
              <w:rPr>
                <w:snapToGrid w:val="0"/>
                <w:color w:val="000000"/>
                <w:spacing w:val="-6"/>
                <w:kern w:val="21"/>
                <w:sz w:val="24"/>
                <w:szCs w:val="24"/>
              </w:rPr>
              <w:fldChar w:fldCharType="end"/>
            </w:r>
            <w:r>
              <w:rPr>
                <w:snapToGrid w:val="0"/>
                <w:color w:val="000000"/>
                <w:spacing w:val="-6"/>
                <w:kern w:val="21"/>
                <w:sz w:val="24"/>
                <w:szCs w:val="24"/>
              </w:rPr>
              <w:t>。</w:t>
            </w:r>
          </w:p>
        </w:tc>
      </w:tr>
    </w:tbl>
    <w:p>
      <w:pPr>
        <w:spacing w:line="480" w:lineRule="exact"/>
        <w:ind w:firstLine="0" w:firstLineChars="0"/>
        <w:jc w:val="left"/>
        <w:rPr>
          <w:snapToGrid w:val="0"/>
          <w:color w:val="000000"/>
          <w:spacing w:val="-6"/>
          <w:kern w:val="21"/>
          <w:sz w:val="21"/>
          <w:szCs w:val="21"/>
        </w:rPr>
      </w:pPr>
    </w:p>
    <w:p>
      <w:pPr>
        <w:adjustRightInd w:val="0"/>
        <w:snapToGrid w:val="0"/>
        <w:spacing w:before="260" w:beforeLines="80" w:line="480" w:lineRule="exact"/>
        <w:ind w:firstLine="0" w:firstLineChars="0"/>
        <w:rPr>
          <w:sz w:val="21"/>
          <w:szCs w:val="21"/>
        </w:rPr>
      </w:pPr>
    </w:p>
    <w:p>
      <w:pPr>
        <w:ind w:firstLine="0" w:firstLineChars="0"/>
        <w:sectPr>
          <w:pgSz w:w="16838" w:h="11906" w:orient="landscape"/>
          <w:pgMar w:top="1418" w:right="1418" w:bottom="1418" w:left="1418" w:header="851" w:footer="851" w:gutter="0"/>
          <w:cols w:space="425" w:num="1"/>
          <w:docGrid w:type="lines" w:linePitch="326" w:charSpace="0"/>
        </w:sectPr>
      </w:pP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ind w:firstLine="0" w:firstLineChars="0"/>
        <w:jc w:val="center"/>
        <w:rPr>
          <w:rFonts w:eastAsia="楷体_GB2312"/>
          <w:sz w:val="48"/>
          <w:szCs w:val="48"/>
        </w:rPr>
      </w:pPr>
      <w:r>
        <w:rPr>
          <w:rFonts w:hint="eastAsia" w:eastAsia="楷体_GB2312"/>
          <w:sz w:val="48"/>
          <w:szCs w:val="48"/>
        </w:rPr>
        <w:t>安徽泰昌特殊合金制造有限公司</w:t>
      </w:r>
    </w:p>
    <w:p>
      <w:pPr>
        <w:ind w:firstLine="0" w:firstLineChars="0"/>
        <w:jc w:val="center"/>
        <w:rPr>
          <w:rFonts w:eastAsia="方正小标宋_GBK"/>
          <w:bCs/>
          <w:sz w:val="48"/>
          <w:szCs w:val="48"/>
        </w:rPr>
      </w:pPr>
      <w:r>
        <w:rPr>
          <w:rFonts w:hint="eastAsia" w:eastAsia="楷体_GB2312"/>
          <w:sz w:val="48"/>
          <w:szCs w:val="48"/>
        </w:rPr>
        <w:t>3万吨/年特殊钢铸件项目</w:t>
      </w: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ind w:firstLine="0" w:firstLineChars="0"/>
        <w:jc w:val="center"/>
        <w:outlineLvl w:val="0"/>
        <w:rPr>
          <w:rFonts w:eastAsia="方正小标宋_GBK"/>
          <w:bCs/>
          <w:color w:val="000000" w:themeColor="text1"/>
          <w:sz w:val="72"/>
          <w:szCs w:val="72"/>
          <w14:textFill>
            <w14:solidFill>
              <w14:schemeClr w14:val="tx1"/>
            </w14:solidFill>
          </w14:textFill>
        </w:rPr>
      </w:pPr>
      <w:r>
        <w:rPr>
          <w:rFonts w:hint="eastAsia" w:eastAsia="方正小标宋_GBK"/>
          <w:bCs/>
          <w:sz w:val="72"/>
          <w:szCs w:val="72"/>
        </w:rPr>
        <w:t>大气环境</w:t>
      </w:r>
      <w:r>
        <w:rPr>
          <w:rFonts w:hint="eastAsia" w:eastAsia="方正小标宋_GBK"/>
          <w:bCs/>
          <w:sz w:val="72"/>
          <w:szCs w:val="72"/>
          <w:lang w:val="en-US" w:eastAsia="zh-CN"/>
        </w:rPr>
        <w:t>影响</w:t>
      </w:r>
      <w:r>
        <w:rPr>
          <w:rFonts w:hint="eastAsia" w:eastAsia="方正小标宋_GBK"/>
          <w:bCs/>
          <w:sz w:val="72"/>
          <w:szCs w:val="72"/>
        </w:rPr>
        <w:t>专项评价</w:t>
      </w: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pStyle w:val="51"/>
        <w:ind w:firstLine="643"/>
        <w:rPr>
          <w:b/>
          <w:color w:val="000000" w:themeColor="text1"/>
          <w:sz w:val="32"/>
          <w:szCs w:val="32"/>
          <w14:textFill>
            <w14:solidFill>
              <w14:schemeClr w14:val="tx1"/>
            </w14:solidFill>
          </w14:textFill>
        </w:rPr>
      </w:pPr>
    </w:p>
    <w:p>
      <w:pPr>
        <w:ind w:firstLine="0" w:firstLineChars="0"/>
        <w:jc w:val="center"/>
        <w:rPr>
          <w:rFonts w:eastAsia="楷体_GB2312"/>
          <w:sz w:val="36"/>
          <w:szCs w:val="36"/>
        </w:rPr>
        <w:sectPr>
          <w:pgSz w:w="11906" w:h="16838"/>
          <w:pgMar w:top="1418" w:right="1418" w:bottom="1418" w:left="1418" w:header="851" w:footer="851" w:gutter="0"/>
          <w:cols w:space="425" w:num="1"/>
          <w:docGrid w:type="lines" w:linePitch="326" w:charSpace="0"/>
        </w:sectPr>
      </w:pPr>
      <w:r>
        <w:rPr>
          <w:rFonts w:eastAsia="楷体_GB2312"/>
          <w:sz w:val="36"/>
          <w:szCs w:val="36"/>
        </w:rPr>
        <w:t>二</w:t>
      </w:r>
      <w:r>
        <w:rPr>
          <w:rFonts w:hint="eastAsia" w:ascii="微软雅黑" w:hAnsi="微软雅黑" w:eastAsia="微软雅黑" w:cs="微软雅黑"/>
          <w:sz w:val="36"/>
          <w:szCs w:val="36"/>
        </w:rPr>
        <w:t>〇</w:t>
      </w:r>
      <w:r>
        <w:rPr>
          <w:rFonts w:hint="eastAsia" w:ascii="楷体_GB2312" w:hAnsi="楷体_GB2312" w:eastAsia="楷体_GB2312" w:cs="楷体_GB2312"/>
          <w:sz w:val="36"/>
          <w:szCs w:val="36"/>
        </w:rPr>
        <w:t>二</w:t>
      </w:r>
      <w:r>
        <w:rPr>
          <w:rFonts w:hint="eastAsia" w:eastAsia="楷体_GB2312"/>
          <w:sz w:val="36"/>
          <w:szCs w:val="36"/>
        </w:rPr>
        <w:t>四</w:t>
      </w:r>
      <w:r>
        <w:rPr>
          <w:rFonts w:eastAsia="楷体_GB2312"/>
          <w:sz w:val="36"/>
          <w:szCs w:val="36"/>
        </w:rPr>
        <w:t>年</w:t>
      </w:r>
      <w:r>
        <w:rPr>
          <w:rFonts w:hint="eastAsia" w:eastAsia="楷体_GB2312"/>
          <w:sz w:val="36"/>
          <w:szCs w:val="36"/>
          <w:lang w:val="en-US" w:eastAsia="zh-CN"/>
        </w:rPr>
        <w:t>三</w:t>
      </w:r>
      <w:r>
        <w:rPr>
          <w:rFonts w:eastAsia="楷体_GB2312"/>
          <w:sz w:val="36"/>
          <w:szCs w:val="36"/>
        </w:rPr>
        <w:t>月</w:t>
      </w:r>
    </w:p>
    <w:p>
      <w:pPr>
        <w:pStyle w:val="31"/>
        <w:rPr>
          <w:rFonts w:hint="default"/>
          <w:lang w:val="en-US" w:eastAsia="zh-CN"/>
        </w:rPr>
      </w:pPr>
      <w:r>
        <w:rPr>
          <w:rFonts w:hint="eastAsia"/>
          <w:lang w:val="en-US" w:eastAsia="zh-CN"/>
        </w:rPr>
        <w:t>1 总论</w:t>
      </w:r>
    </w:p>
    <w:p>
      <w:pPr>
        <w:pStyle w:val="29"/>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1.1 任务由来</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bCs/>
          <w:lang w:val="en-US" w:eastAsia="zh-CN"/>
        </w:rPr>
      </w:pPr>
      <w:r>
        <w:rPr>
          <w:rFonts w:hint="eastAsia"/>
          <w:bCs/>
        </w:rPr>
        <w:t>根据《建设项目环境影响评价分类管理名录</w:t>
      </w:r>
      <w:r>
        <w:rPr>
          <w:rFonts w:hint="eastAsia"/>
          <w:bCs/>
          <w:lang w:eastAsia="zh-CN"/>
        </w:rPr>
        <w:t>(</w:t>
      </w:r>
      <w:r>
        <w:rPr>
          <w:rFonts w:hint="eastAsia"/>
          <w:bCs/>
        </w:rPr>
        <w:t>2021年版</w:t>
      </w:r>
      <w:r>
        <w:rPr>
          <w:rFonts w:hint="eastAsia"/>
          <w:bCs/>
          <w:lang w:eastAsia="zh-CN"/>
        </w:rPr>
        <w:t>)</w:t>
      </w:r>
      <w:r>
        <w:rPr>
          <w:rFonts w:hint="eastAsia"/>
          <w:bCs/>
        </w:rPr>
        <w:t>》</w:t>
      </w:r>
      <w:r>
        <w:rPr>
          <w:rFonts w:hint="eastAsia"/>
          <w:bCs/>
          <w:lang w:eastAsia="zh-CN"/>
        </w:rPr>
        <w:t>，</w:t>
      </w:r>
      <w:r>
        <w:rPr>
          <w:rFonts w:hint="eastAsia"/>
          <w:bCs/>
          <w:lang w:val="en-US" w:eastAsia="zh-CN"/>
        </w:rPr>
        <w:t>名录中“三十、金属制品业 33”之下的“68、铸造及其他金属制品制造 339”报告书项为：黑色金属铸造年产10万吨及以上的；有色金属铸造年产10万吨及以上的；报告表项为：其他(仅分割、焊接、组装的除外)。项目建成后年产3万吨特殊钢铸件，属于其他范畴，需要编制环境影响报告表。</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rPr>
      </w:pPr>
      <w:r>
        <w:rPr>
          <w:rFonts w:hint="eastAsia"/>
        </w:rPr>
        <w:t>根据《建设项目环境影响报告表编制技术指南</w:t>
      </w:r>
      <w:r>
        <w:rPr>
          <w:rFonts w:hint="eastAsia"/>
          <w:lang w:eastAsia="zh-CN"/>
        </w:rPr>
        <w:t>(</w:t>
      </w:r>
      <w:r>
        <w:rPr>
          <w:rFonts w:hint="eastAsia"/>
        </w:rPr>
        <w:t>污染影响类</w:t>
      </w:r>
      <w:r>
        <w:rPr>
          <w:rFonts w:hint="eastAsia"/>
          <w:lang w:eastAsia="zh-CN"/>
        </w:rPr>
        <w:t>)(</w:t>
      </w:r>
      <w:r>
        <w:rPr>
          <w:rFonts w:hint="eastAsia"/>
        </w:rPr>
        <w:t>试行</w:t>
      </w:r>
      <w:r>
        <w:rPr>
          <w:rFonts w:hint="eastAsia"/>
          <w:lang w:eastAsia="zh-CN"/>
        </w:rPr>
        <w:t>)</w:t>
      </w:r>
      <w:r>
        <w:rPr>
          <w:rFonts w:hint="eastAsia"/>
        </w:rPr>
        <w:t>》，排放废气含有毒有害污染物、</w:t>
      </w:r>
      <w:r>
        <w:rPr>
          <w:rFonts w:hint="eastAsia"/>
          <w:lang w:val="en-US" w:eastAsia="zh-CN"/>
        </w:rPr>
        <w:t>二噁英</w:t>
      </w:r>
      <w:r>
        <w:rPr>
          <w:rFonts w:hint="eastAsia"/>
        </w:rPr>
        <w:t>、苯并[a]芘、</w:t>
      </w:r>
      <w:r>
        <w:rPr>
          <w:rFonts w:hint="eastAsia"/>
          <w:lang w:val="en-US" w:eastAsia="zh-CN"/>
        </w:rPr>
        <w:t>氰化物</w:t>
      </w:r>
      <w:r>
        <w:rPr>
          <w:rFonts w:hint="eastAsia"/>
        </w:rPr>
        <w:t>、氯气且厂界外500</w:t>
      </w:r>
      <w:r>
        <w:rPr>
          <w:rFonts w:hint="eastAsia"/>
          <w:lang w:val="en-US" w:eastAsia="zh-CN"/>
        </w:rPr>
        <w:t>m</w:t>
      </w:r>
      <w:r>
        <w:rPr>
          <w:rFonts w:hint="eastAsia"/>
        </w:rPr>
        <w:t>范围内有环境空气保护目标的建设项目，需要设置大气</w:t>
      </w:r>
      <w:r>
        <w:rPr>
          <w:rFonts w:hint="eastAsia"/>
          <w:lang w:val="en-US" w:eastAsia="zh-CN"/>
        </w:rPr>
        <w:t>环境影响</w:t>
      </w:r>
      <w:r>
        <w:rPr>
          <w:rFonts w:hint="eastAsia"/>
        </w:rPr>
        <w:t>专项评价。</w:t>
      </w:r>
      <w:r>
        <w:rPr>
          <w:rFonts w:hint="eastAsia"/>
          <w:kern w:val="0"/>
          <w:lang w:val="en-US" w:eastAsia="zh-CN"/>
        </w:rPr>
        <w:t>项目产生的特征污染物主要为TSP、氟化物以及二噁英，涉及二噁英，且500m范围内有环境空气保护目标(</w:t>
      </w:r>
      <w:r>
        <w:rPr>
          <w:rFonts w:hint="eastAsia"/>
          <w:lang w:val="en-US" w:eastAsia="zh-CN"/>
        </w:rPr>
        <w:t>万福园</w:t>
      </w:r>
      <w:r>
        <w:rPr>
          <w:rFonts w:hint="eastAsia"/>
          <w:kern w:val="0"/>
          <w:lang w:val="en-US" w:eastAsia="zh-CN"/>
        </w:rPr>
        <w:t>)，</w:t>
      </w:r>
      <w:r>
        <w:rPr>
          <w:rFonts w:hint="eastAsia"/>
        </w:rPr>
        <w:t>因此</w:t>
      </w:r>
      <w:r>
        <w:rPr>
          <w:rFonts w:hint="eastAsia"/>
          <w:lang w:val="en-US" w:eastAsia="zh-CN"/>
        </w:rPr>
        <w:t>本次评价</w:t>
      </w:r>
      <w:r>
        <w:rPr>
          <w:rFonts w:hint="eastAsia"/>
        </w:rPr>
        <w:t>大气</w:t>
      </w:r>
      <w:r>
        <w:rPr>
          <w:rFonts w:hint="eastAsia"/>
          <w:lang w:val="en-US" w:eastAsia="zh-CN"/>
        </w:rPr>
        <w:t>环境影响</w:t>
      </w:r>
      <w:r>
        <w:rPr>
          <w:rFonts w:hint="eastAsia"/>
        </w:rPr>
        <w:t>专项评价。</w:t>
      </w:r>
    </w:p>
    <w:p>
      <w:pPr>
        <w:pStyle w:val="29"/>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1.2 编制依据</w:t>
      </w:r>
    </w:p>
    <w:p>
      <w:pPr>
        <w:keepNext w:val="0"/>
        <w:keepLines w:val="0"/>
        <w:pageBreakBefore w:val="0"/>
        <w:widowControl w:val="0"/>
        <w:numPr>
          <w:ilvl w:val="0"/>
          <w:numId w:val="3"/>
        </w:numPr>
        <w:kinsoku/>
        <w:wordWrap/>
        <w:overflowPunct/>
        <w:topLinePunct w:val="0"/>
        <w:autoSpaceDE/>
        <w:autoSpaceDN/>
        <w:bidi w:val="0"/>
        <w:adjustRightInd/>
        <w:snapToGrid/>
        <w:spacing w:line="480" w:lineRule="exact"/>
        <w:ind w:left="960" w:leftChars="200" w:hanging="480" w:hangingChars="200"/>
        <w:textAlignment w:val="auto"/>
        <w:rPr>
          <w:color w:val="auto"/>
          <w:highlight w:val="none"/>
        </w:rPr>
      </w:pPr>
      <w:r>
        <w:rPr>
          <w:rFonts w:hint="eastAsia"/>
          <w:color w:val="auto"/>
          <w:highlight w:val="none"/>
        </w:rPr>
        <w:t>《中华人民共和国环境保护法》(2015年1月1日施行)；</w:t>
      </w:r>
    </w:p>
    <w:p>
      <w:pPr>
        <w:keepNext w:val="0"/>
        <w:keepLines w:val="0"/>
        <w:pageBreakBefore w:val="0"/>
        <w:widowControl w:val="0"/>
        <w:numPr>
          <w:ilvl w:val="0"/>
          <w:numId w:val="3"/>
        </w:numPr>
        <w:kinsoku/>
        <w:wordWrap/>
        <w:overflowPunct/>
        <w:topLinePunct w:val="0"/>
        <w:autoSpaceDE/>
        <w:autoSpaceDN/>
        <w:bidi w:val="0"/>
        <w:adjustRightInd/>
        <w:snapToGrid/>
        <w:spacing w:line="480" w:lineRule="exact"/>
        <w:ind w:left="960" w:leftChars="200" w:hanging="480" w:hangingChars="200"/>
        <w:textAlignment w:val="auto"/>
        <w:rPr>
          <w:color w:val="auto"/>
          <w:highlight w:val="none"/>
        </w:rPr>
      </w:pPr>
      <w:r>
        <w:rPr>
          <w:rFonts w:hint="eastAsia"/>
          <w:color w:val="auto"/>
          <w:highlight w:val="none"/>
        </w:rPr>
        <w:t>《中华人民共和国环境影响评价法》(2018年12月29日修正)；</w:t>
      </w:r>
    </w:p>
    <w:p>
      <w:pPr>
        <w:keepNext w:val="0"/>
        <w:keepLines w:val="0"/>
        <w:pageBreakBefore w:val="0"/>
        <w:widowControl w:val="0"/>
        <w:numPr>
          <w:ilvl w:val="0"/>
          <w:numId w:val="3"/>
        </w:numPr>
        <w:kinsoku/>
        <w:wordWrap/>
        <w:overflowPunct/>
        <w:topLinePunct w:val="0"/>
        <w:autoSpaceDE/>
        <w:autoSpaceDN/>
        <w:bidi w:val="0"/>
        <w:adjustRightInd/>
        <w:snapToGrid/>
        <w:spacing w:line="480" w:lineRule="exact"/>
        <w:ind w:left="960" w:leftChars="200" w:hanging="480" w:hangingChars="200"/>
        <w:textAlignment w:val="auto"/>
        <w:rPr>
          <w:color w:val="auto"/>
          <w:highlight w:val="none"/>
        </w:rPr>
      </w:pPr>
      <w:r>
        <w:rPr>
          <w:rFonts w:hint="eastAsia"/>
          <w:color w:val="auto"/>
          <w:highlight w:val="none"/>
        </w:rPr>
        <w:t>《中华人民共和国大气污染防治法》(2018年10月26日修正)；</w:t>
      </w:r>
    </w:p>
    <w:p>
      <w:pPr>
        <w:keepNext w:val="0"/>
        <w:keepLines w:val="0"/>
        <w:pageBreakBefore w:val="0"/>
        <w:widowControl w:val="0"/>
        <w:numPr>
          <w:ilvl w:val="0"/>
          <w:numId w:val="3"/>
        </w:numPr>
        <w:kinsoku/>
        <w:wordWrap/>
        <w:overflowPunct/>
        <w:topLinePunct w:val="0"/>
        <w:autoSpaceDE/>
        <w:autoSpaceDN/>
        <w:bidi w:val="0"/>
        <w:adjustRightInd/>
        <w:snapToGrid/>
        <w:spacing w:line="480" w:lineRule="exact"/>
        <w:ind w:left="960" w:leftChars="200" w:hanging="480" w:hangingChars="200"/>
        <w:textAlignment w:val="auto"/>
        <w:rPr>
          <w:color w:val="auto"/>
          <w:highlight w:val="none"/>
        </w:rPr>
      </w:pPr>
      <w:r>
        <w:rPr>
          <w:rFonts w:hint="eastAsia"/>
          <w:color w:val="auto"/>
          <w:highlight w:val="none"/>
        </w:rPr>
        <w:t>《建设项目环境保护管理条例》(2017年7月16日修订)；</w:t>
      </w:r>
    </w:p>
    <w:p>
      <w:pPr>
        <w:keepNext w:val="0"/>
        <w:keepLines w:val="0"/>
        <w:pageBreakBefore w:val="0"/>
        <w:widowControl w:val="0"/>
        <w:numPr>
          <w:ilvl w:val="0"/>
          <w:numId w:val="3"/>
        </w:numPr>
        <w:kinsoku/>
        <w:wordWrap/>
        <w:overflowPunct/>
        <w:topLinePunct w:val="0"/>
        <w:autoSpaceDE/>
        <w:autoSpaceDN/>
        <w:bidi w:val="0"/>
        <w:adjustRightInd/>
        <w:snapToGrid/>
        <w:spacing w:line="480" w:lineRule="exact"/>
        <w:ind w:left="960" w:leftChars="200" w:hanging="480" w:hangingChars="200"/>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《建设项目环境影响评价分类管理名录》</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2021年</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w:t>
      </w:r>
    </w:p>
    <w:p>
      <w:pPr>
        <w:keepNext w:val="0"/>
        <w:keepLines w:val="0"/>
        <w:pageBreakBefore w:val="0"/>
        <w:widowControl w:val="0"/>
        <w:numPr>
          <w:ilvl w:val="0"/>
          <w:numId w:val="3"/>
        </w:numPr>
        <w:kinsoku/>
        <w:wordWrap/>
        <w:overflowPunct/>
        <w:topLinePunct w:val="0"/>
        <w:autoSpaceDE/>
        <w:autoSpaceDN/>
        <w:bidi w:val="0"/>
        <w:adjustRightInd/>
        <w:snapToGrid/>
        <w:spacing w:line="480" w:lineRule="exact"/>
        <w:ind w:left="960" w:leftChars="200" w:hanging="480" w:hangingChars="200"/>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《建设项目环境影响评价技术导则</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rPr>
        <w:t>总纲》</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HJ</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rPr>
        <w:t>2.1</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rPr>
        <w:t>2016</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w:t>
      </w:r>
    </w:p>
    <w:p>
      <w:pPr>
        <w:keepNext w:val="0"/>
        <w:keepLines w:val="0"/>
        <w:pageBreakBefore w:val="0"/>
        <w:widowControl w:val="0"/>
        <w:numPr>
          <w:ilvl w:val="0"/>
          <w:numId w:val="3"/>
        </w:numPr>
        <w:kinsoku/>
        <w:wordWrap/>
        <w:overflowPunct/>
        <w:topLinePunct w:val="0"/>
        <w:autoSpaceDE/>
        <w:autoSpaceDN/>
        <w:bidi w:val="0"/>
        <w:adjustRightInd/>
        <w:snapToGrid/>
        <w:spacing w:line="480" w:lineRule="exact"/>
        <w:ind w:left="960" w:leftChars="200" w:hanging="480" w:hangingChars="200"/>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《环境影响评价技术导则</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rPr>
        <w:t>大气环境》(HJ</w:t>
      </w: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rPr>
        <w:t>2.2</w:t>
      </w:r>
      <w:r>
        <w:rPr>
          <w:rFonts w:hint="eastAsia"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rPr>
        <w:t>2018</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w:t>
      </w:r>
    </w:p>
    <w:p>
      <w:pPr>
        <w:pStyle w:val="29"/>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 xml:space="preserve">1.3 </w:t>
      </w:r>
      <w:r>
        <w:rPr>
          <w:rFonts w:hint="eastAsia" w:cs="Times New Roman"/>
          <w:lang w:val="en-US" w:eastAsia="zh-CN"/>
        </w:rPr>
        <w:t>评价</w:t>
      </w:r>
      <w:r>
        <w:rPr>
          <w:rFonts w:hint="eastAsia" w:ascii="Times New Roman" w:hAnsi="Times New Roman" w:eastAsia="宋体" w:cs="Times New Roman"/>
          <w:lang w:val="en-US" w:eastAsia="zh-CN"/>
        </w:rPr>
        <w:t>因子</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highlight w:val="none"/>
        </w:rPr>
      </w:pPr>
      <w:r>
        <w:rPr>
          <w:rFonts w:hint="eastAsia"/>
          <w:color w:val="auto"/>
          <w:highlight w:val="none"/>
        </w:rPr>
        <w:t>根据环境影响因素识别和项目工程分析，确定环境影响评价因子见表</w:t>
      </w:r>
      <w:r>
        <w:rPr>
          <w:rFonts w:hint="eastAsia"/>
          <w:color w:val="auto"/>
          <w:highlight w:val="none"/>
          <w:lang w:val="en-US" w:eastAsia="zh-CN"/>
        </w:rPr>
        <w:t>1.3-1</w:t>
      </w:r>
      <w:r>
        <w:rPr>
          <w:rFonts w:hint="eastAsia"/>
          <w:color w:val="auto"/>
          <w:highlight w:val="none"/>
        </w:rPr>
        <w:t>。</w:t>
      </w:r>
    </w:p>
    <w:p>
      <w:pPr>
        <w:spacing w:before="120" w:line="240" w:lineRule="auto"/>
        <w:ind w:firstLine="0" w:firstLineChars="0"/>
        <w:jc w:val="center"/>
        <w:rPr>
          <w:rFonts w:cstheme="minorBidi"/>
          <w:b/>
          <w:color w:val="auto"/>
          <w:sz w:val="21"/>
          <w:szCs w:val="52"/>
          <w:highlight w:val="none"/>
        </w:rPr>
      </w:pPr>
      <w:r>
        <w:rPr>
          <w:rFonts w:hint="eastAsia" w:cstheme="minorBidi"/>
          <w:b/>
          <w:color w:val="auto"/>
          <w:sz w:val="21"/>
          <w:szCs w:val="52"/>
          <w:highlight w:val="none"/>
        </w:rPr>
        <w:t>表</w:t>
      </w:r>
      <w:r>
        <w:rPr>
          <w:rFonts w:hint="eastAsia" w:cstheme="minorBidi"/>
          <w:b/>
          <w:color w:val="auto"/>
          <w:sz w:val="21"/>
          <w:szCs w:val="52"/>
          <w:highlight w:val="none"/>
          <w:lang w:val="en-US" w:eastAsia="zh-CN"/>
        </w:rPr>
        <w:t>1.3-1</w:t>
      </w:r>
      <w:r>
        <w:rPr>
          <w:rFonts w:hint="eastAsia" w:cstheme="minorBidi"/>
          <w:b/>
          <w:color w:val="auto"/>
          <w:sz w:val="21"/>
          <w:szCs w:val="52"/>
          <w:highlight w:val="none"/>
        </w:rPr>
        <w:t xml:space="preserve"> </w:t>
      </w:r>
      <w:r>
        <w:rPr>
          <w:rFonts w:hint="eastAsia" w:cstheme="minorBidi"/>
          <w:b/>
          <w:color w:val="auto"/>
          <w:sz w:val="21"/>
          <w:szCs w:val="52"/>
          <w:highlight w:val="none"/>
          <w:lang w:val="en-US" w:eastAsia="zh-CN"/>
        </w:rPr>
        <w:t xml:space="preserve"> </w:t>
      </w:r>
      <w:r>
        <w:rPr>
          <w:rFonts w:hint="eastAsia" w:cstheme="minorBidi"/>
          <w:b/>
          <w:color w:val="auto"/>
          <w:sz w:val="21"/>
          <w:szCs w:val="52"/>
          <w:highlight w:val="none"/>
        </w:rPr>
        <w:t>评价因子一览表</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3"/>
        <w:gridCol w:w="3833"/>
        <w:gridCol w:w="2401"/>
        <w:gridCol w:w="1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pct"/>
            <w:tcBorders>
              <w:insideH w:val="single" w:sz="4" w:space="0"/>
            </w:tcBorders>
            <w:shd w:val="clear" w:color="auto" w:fill="auto"/>
            <w:vAlign w:val="center"/>
          </w:tcPr>
          <w:p>
            <w:pPr>
              <w:spacing w:line="360" w:lineRule="exact"/>
              <w:ind w:firstLine="0" w:firstLineChars="0"/>
              <w:jc w:val="both"/>
              <w:rPr>
                <w:rFonts w:ascii="Times New Roman" w:hAnsi="Times New Roman" w:eastAsia="宋体"/>
                <w:b w:val="0"/>
                <w:bCs/>
                <w:color w:val="auto"/>
                <w:kern w:val="0"/>
                <w:sz w:val="21"/>
                <w:szCs w:val="21"/>
                <w:highlight w:val="none"/>
              </w:rPr>
            </w:pPr>
            <w:r>
              <w:rPr>
                <w:rFonts w:hint="eastAsia" w:ascii="Times New Roman" w:hAnsi="Times New Roman" w:eastAsia="宋体"/>
                <w:b/>
                <w:bCs/>
                <w:color w:val="auto"/>
                <w:kern w:val="0"/>
                <w:sz w:val="21"/>
                <w:szCs w:val="21"/>
                <w:highlight w:val="none"/>
              </w:rPr>
              <w:t>环境要素</w:t>
            </w:r>
          </w:p>
        </w:tc>
        <w:tc>
          <w:tcPr>
            <w:tcW w:w="2063" w:type="pct"/>
            <w:tcBorders>
              <w:insideH w:val="single" w:sz="4" w:space="0"/>
            </w:tcBorders>
            <w:shd w:val="clear" w:color="auto" w:fill="auto"/>
            <w:vAlign w:val="center"/>
          </w:tcPr>
          <w:p>
            <w:pPr>
              <w:spacing w:line="360" w:lineRule="exact"/>
              <w:ind w:firstLine="0" w:firstLineChars="0"/>
              <w:jc w:val="both"/>
              <w:rPr>
                <w:rFonts w:ascii="Times New Roman" w:hAnsi="Times New Roman" w:eastAsia="宋体"/>
                <w:b w:val="0"/>
                <w:bCs/>
                <w:color w:val="auto"/>
                <w:kern w:val="0"/>
                <w:sz w:val="21"/>
                <w:szCs w:val="21"/>
                <w:highlight w:val="none"/>
              </w:rPr>
            </w:pPr>
            <w:r>
              <w:rPr>
                <w:rFonts w:hint="eastAsia" w:ascii="Times New Roman" w:hAnsi="Times New Roman" w:eastAsia="宋体"/>
                <w:b/>
                <w:bCs/>
                <w:color w:val="auto"/>
                <w:kern w:val="0"/>
                <w:sz w:val="21"/>
                <w:szCs w:val="21"/>
                <w:highlight w:val="none"/>
              </w:rPr>
              <w:t>现状评价因子</w:t>
            </w:r>
          </w:p>
        </w:tc>
        <w:tc>
          <w:tcPr>
            <w:tcW w:w="1292" w:type="pct"/>
            <w:tcBorders>
              <w:insideH w:val="single" w:sz="4" w:space="0"/>
            </w:tcBorders>
            <w:shd w:val="clear" w:color="auto" w:fill="auto"/>
            <w:vAlign w:val="center"/>
          </w:tcPr>
          <w:p>
            <w:pPr>
              <w:spacing w:line="360" w:lineRule="exact"/>
              <w:ind w:firstLine="0" w:firstLineChars="0"/>
              <w:jc w:val="both"/>
              <w:rPr>
                <w:rFonts w:ascii="Times New Roman" w:hAnsi="Times New Roman" w:eastAsia="宋体"/>
                <w:b w:val="0"/>
                <w:bCs/>
                <w:color w:val="auto"/>
                <w:kern w:val="0"/>
                <w:sz w:val="21"/>
                <w:szCs w:val="21"/>
                <w:highlight w:val="none"/>
              </w:rPr>
            </w:pPr>
            <w:r>
              <w:rPr>
                <w:rFonts w:hint="eastAsia" w:ascii="Times New Roman" w:hAnsi="Times New Roman" w:eastAsia="宋体"/>
                <w:b/>
                <w:bCs/>
                <w:color w:val="auto"/>
                <w:kern w:val="0"/>
                <w:sz w:val="21"/>
                <w:szCs w:val="21"/>
                <w:highlight w:val="none"/>
              </w:rPr>
              <w:t>影响评价因子</w:t>
            </w:r>
          </w:p>
        </w:tc>
        <w:tc>
          <w:tcPr>
            <w:tcW w:w="1049" w:type="pct"/>
            <w:tcBorders>
              <w:insideH w:val="single" w:sz="4" w:space="0"/>
            </w:tcBorders>
            <w:shd w:val="clear" w:color="auto" w:fill="auto"/>
            <w:vAlign w:val="center"/>
          </w:tcPr>
          <w:p>
            <w:pPr>
              <w:spacing w:line="360" w:lineRule="exact"/>
              <w:ind w:firstLine="0" w:firstLineChars="0"/>
              <w:jc w:val="both"/>
              <w:rPr>
                <w:rFonts w:ascii="Times New Roman" w:hAnsi="Times New Roman" w:eastAsia="宋体"/>
                <w:b w:val="0"/>
                <w:bCs/>
                <w:color w:val="auto"/>
                <w:kern w:val="0"/>
                <w:sz w:val="21"/>
                <w:szCs w:val="21"/>
                <w:highlight w:val="none"/>
              </w:rPr>
            </w:pPr>
            <w:r>
              <w:rPr>
                <w:rFonts w:hint="eastAsia" w:ascii="Times New Roman" w:hAnsi="Times New Roman" w:eastAsia="宋体"/>
                <w:b/>
                <w:bCs/>
                <w:color w:val="auto"/>
                <w:kern w:val="0"/>
                <w:sz w:val="21"/>
                <w:szCs w:val="21"/>
                <w:highlight w:val="none"/>
              </w:rPr>
              <w:t>总量控制因子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4" w:type="pct"/>
            <w:shd w:val="clear" w:color="auto" w:fill="auto"/>
            <w:vAlign w:val="center"/>
          </w:tcPr>
          <w:p>
            <w:pPr>
              <w:spacing w:line="360" w:lineRule="exact"/>
              <w:ind w:firstLine="0" w:firstLineChars="0"/>
              <w:jc w:val="both"/>
              <w:rPr>
                <w:color w:val="auto"/>
                <w:kern w:val="0"/>
                <w:sz w:val="21"/>
                <w:szCs w:val="21"/>
                <w:highlight w:val="none"/>
              </w:rPr>
            </w:pPr>
            <w:r>
              <w:rPr>
                <w:rFonts w:hint="eastAsia"/>
                <w:color w:val="auto"/>
                <w:kern w:val="0"/>
                <w:sz w:val="21"/>
                <w:szCs w:val="21"/>
                <w:highlight w:val="none"/>
              </w:rPr>
              <w:t>大气环境</w:t>
            </w:r>
          </w:p>
        </w:tc>
        <w:tc>
          <w:tcPr>
            <w:tcW w:w="2063" w:type="pct"/>
            <w:shd w:val="clear" w:color="auto" w:fill="auto"/>
            <w:vAlign w:val="center"/>
          </w:tcPr>
          <w:p>
            <w:pPr>
              <w:adjustRightInd w:val="0"/>
              <w:spacing w:line="360" w:lineRule="exact"/>
              <w:ind w:firstLine="0" w:firstLineChars="0"/>
              <w:jc w:val="both"/>
              <w:rPr>
                <w:rFonts w:hint="default" w:eastAsia="宋体" w:cs="宋体"/>
                <w:color w:val="auto"/>
                <w:spacing w:val="-2"/>
                <w:kern w:val="0"/>
                <w:sz w:val="21"/>
                <w:szCs w:val="21"/>
                <w:highlight w:val="none"/>
                <w:lang w:val="en-US" w:eastAsia="zh-CN"/>
              </w:rPr>
            </w:pPr>
            <w:r>
              <w:rPr>
                <w:color w:val="auto"/>
                <w:spacing w:val="-2"/>
                <w:kern w:val="0"/>
                <w:sz w:val="21"/>
                <w:szCs w:val="21"/>
                <w:highlight w:val="none"/>
              </w:rPr>
              <w:t>SO</w:t>
            </w:r>
            <w:r>
              <w:rPr>
                <w:color w:val="auto"/>
                <w:spacing w:val="-2"/>
                <w:kern w:val="0"/>
                <w:sz w:val="21"/>
                <w:szCs w:val="21"/>
                <w:highlight w:val="none"/>
                <w:vertAlign w:val="subscript"/>
              </w:rPr>
              <w:t>2</w:t>
            </w:r>
            <w:r>
              <w:rPr>
                <w:color w:val="auto"/>
                <w:spacing w:val="-2"/>
                <w:kern w:val="0"/>
                <w:sz w:val="21"/>
                <w:szCs w:val="21"/>
                <w:highlight w:val="none"/>
              </w:rPr>
              <w:t>、NO</w:t>
            </w:r>
            <w:r>
              <w:rPr>
                <w:color w:val="auto"/>
                <w:spacing w:val="-2"/>
                <w:kern w:val="0"/>
                <w:sz w:val="21"/>
                <w:szCs w:val="21"/>
                <w:highlight w:val="none"/>
                <w:vertAlign w:val="subscript"/>
              </w:rPr>
              <w:t>2</w:t>
            </w:r>
            <w:r>
              <w:rPr>
                <w:color w:val="auto"/>
                <w:spacing w:val="-2"/>
                <w:kern w:val="0"/>
                <w:sz w:val="21"/>
                <w:szCs w:val="21"/>
                <w:highlight w:val="none"/>
              </w:rPr>
              <w:t>、PM</w:t>
            </w:r>
            <w:r>
              <w:rPr>
                <w:color w:val="auto"/>
                <w:spacing w:val="-2"/>
                <w:kern w:val="0"/>
                <w:sz w:val="21"/>
                <w:szCs w:val="21"/>
                <w:highlight w:val="none"/>
                <w:vertAlign w:val="subscript"/>
              </w:rPr>
              <w:t>10</w:t>
            </w:r>
            <w:r>
              <w:rPr>
                <w:color w:val="auto"/>
                <w:spacing w:val="-2"/>
                <w:kern w:val="0"/>
                <w:sz w:val="21"/>
                <w:szCs w:val="21"/>
                <w:highlight w:val="none"/>
              </w:rPr>
              <w:t>、PM</w:t>
            </w:r>
            <w:r>
              <w:rPr>
                <w:color w:val="auto"/>
                <w:spacing w:val="-2"/>
                <w:kern w:val="0"/>
                <w:sz w:val="21"/>
                <w:szCs w:val="21"/>
                <w:highlight w:val="none"/>
                <w:vertAlign w:val="subscript"/>
              </w:rPr>
              <w:t>2.5</w:t>
            </w:r>
            <w:r>
              <w:rPr>
                <w:color w:val="auto"/>
                <w:spacing w:val="-2"/>
                <w:kern w:val="0"/>
                <w:sz w:val="21"/>
                <w:szCs w:val="21"/>
                <w:highlight w:val="none"/>
              </w:rPr>
              <w:t>、O</w:t>
            </w:r>
            <w:r>
              <w:rPr>
                <w:color w:val="auto"/>
                <w:spacing w:val="-2"/>
                <w:kern w:val="0"/>
                <w:sz w:val="21"/>
                <w:szCs w:val="21"/>
                <w:highlight w:val="none"/>
                <w:vertAlign w:val="subscript"/>
              </w:rPr>
              <w:t>3</w:t>
            </w:r>
            <w:r>
              <w:rPr>
                <w:color w:val="auto"/>
                <w:spacing w:val="-2"/>
                <w:kern w:val="0"/>
                <w:sz w:val="21"/>
                <w:szCs w:val="21"/>
                <w:highlight w:val="none"/>
              </w:rPr>
              <w:t>、CO、TSP</w:t>
            </w:r>
            <w:r>
              <w:rPr>
                <w:rFonts w:hint="eastAsia"/>
                <w:color w:val="auto"/>
                <w:spacing w:val="-2"/>
                <w:kern w:val="0"/>
                <w:sz w:val="21"/>
                <w:szCs w:val="21"/>
                <w:highlight w:val="none"/>
                <w:lang w:eastAsia="zh-CN"/>
              </w:rPr>
              <w:t>、</w:t>
            </w:r>
            <w:r>
              <w:rPr>
                <w:rFonts w:hint="eastAsia"/>
                <w:color w:val="auto"/>
                <w:spacing w:val="-2"/>
                <w:kern w:val="0"/>
                <w:sz w:val="21"/>
                <w:szCs w:val="21"/>
                <w:highlight w:val="none"/>
                <w:lang w:val="en-US" w:eastAsia="zh-CN"/>
              </w:rPr>
              <w:t>氟化物、二噁英</w:t>
            </w:r>
          </w:p>
        </w:tc>
        <w:tc>
          <w:tcPr>
            <w:tcW w:w="1292" w:type="pct"/>
            <w:shd w:val="clear" w:color="auto" w:fill="auto"/>
            <w:vAlign w:val="center"/>
          </w:tcPr>
          <w:p>
            <w:pPr>
              <w:spacing w:line="360" w:lineRule="exact"/>
              <w:ind w:firstLine="0" w:firstLineChars="0"/>
              <w:jc w:val="both"/>
              <w:rPr>
                <w:rFonts w:hint="default" w:eastAsia="宋体"/>
                <w:color w:val="auto"/>
                <w:kern w:val="0"/>
                <w:sz w:val="21"/>
                <w:szCs w:val="21"/>
                <w:highlight w:val="none"/>
                <w:lang w:val="en-US" w:eastAsia="zh-CN"/>
              </w:rPr>
            </w:pPr>
            <w:r>
              <w:rPr>
                <w:color w:val="auto"/>
                <w:kern w:val="0"/>
                <w:sz w:val="21"/>
                <w:szCs w:val="21"/>
                <w:highlight w:val="none"/>
              </w:rPr>
              <w:t>PM</w:t>
            </w:r>
            <w:r>
              <w:rPr>
                <w:color w:val="auto"/>
                <w:kern w:val="0"/>
                <w:sz w:val="21"/>
                <w:szCs w:val="21"/>
                <w:highlight w:val="none"/>
                <w:vertAlign w:val="subscript"/>
              </w:rPr>
              <w:t>10</w:t>
            </w:r>
            <w:r>
              <w:rPr>
                <w:color w:val="auto"/>
                <w:kern w:val="0"/>
                <w:sz w:val="21"/>
                <w:szCs w:val="21"/>
                <w:highlight w:val="none"/>
              </w:rPr>
              <w:t>、PM</w:t>
            </w:r>
            <w:r>
              <w:rPr>
                <w:color w:val="auto"/>
                <w:kern w:val="0"/>
                <w:sz w:val="21"/>
                <w:szCs w:val="21"/>
                <w:highlight w:val="none"/>
                <w:vertAlign w:val="subscript"/>
              </w:rPr>
              <w:t>2.5</w:t>
            </w:r>
            <w:r>
              <w:rPr>
                <w:color w:val="auto"/>
                <w:kern w:val="0"/>
                <w:sz w:val="21"/>
                <w:szCs w:val="21"/>
                <w:highlight w:val="none"/>
              </w:rPr>
              <w:t>、TSP</w:t>
            </w:r>
            <w:r>
              <w:rPr>
                <w:rFonts w:hint="eastAsia"/>
                <w:color w:val="auto"/>
                <w:kern w:val="0"/>
                <w:sz w:val="21"/>
                <w:szCs w:val="21"/>
                <w:highlight w:val="none"/>
                <w:lang w:eastAsia="zh-CN"/>
              </w:rPr>
              <w:t>、</w:t>
            </w:r>
            <w:r>
              <w:rPr>
                <w:rFonts w:hint="eastAsia"/>
                <w:color w:val="auto"/>
                <w:kern w:val="0"/>
                <w:sz w:val="21"/>
                <w:szCs w:val="21"/>
                <w:highlight w:val="none"/>
                <w:lang w:val="en-US" w:eastAsia="zh-CN"/>
              </w:rPr>
              <w:t>氟化物、二噁英</w:t>
            </w:r>
          </w:p>
        </w:tc>
        <w:tc>
          <w:tcPr>
            <w:tcW w:w="1049" w:type="pct"/>
            <w:shd w:val="clear" w:color="auto" w:fill="auto"/>
            <w:vAlign w:val="center"/>
          </w:tcPr>
          <w:p>
            <w:pPr>
              <w:spacing w:line="360" w:lineRule="exact"/>
              <w:ind w:firstLine="0" w:firstLineChars="0"/>
              <w:jc w:val="both"/>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颗粒物</w:t>
            </w:r>
          </w:p>
        </w:tc>
      </w:tr>
    </w:tbl>
    <w:p>
      <w:pPr>
        <w:bidi w:val="0"/>
      </w:pPr>
    </w:p>
    <w:p>
      <w:pPr>
        <w:pStyle w:val="2"/>
      </w:pPr>
    </w:p>
    <w:p>
      <w:pPr>
        <w:pStyle w:val="29"/>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1.4 评价标准</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b/>
          <w:bCs/>
          <w:lang w:val="en-US" w:eastAsia="zh-CN"/>
        </w:rPr>
        <w:t xml:space="preserve"> 环境空气质量标准</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highlight w:val="none"/>
        </w:rPr>
      </w:pPr>
      <w:r>
        <w:rPr>
          <w:color w:val="auto"/>
          <w:highlight w:val="none"/>
        </w:rPr>
        <w:t>SO</w:t>
      </w:r>
      <w:r>
        <w:rPr>
          <w:color w:val="auto"/>
          <w:highlight w:val="none"/>
          <w:vertAlign w:val="subscript"/>
        </w:rPr>
        <w:t>2</w:t>
      </w:r>
      <w:r>
        <w:rPr>
          <w:color w:val="auto"/>
          <w:highlight w:val="none"/>
        </w:rPr>
        <w:t>、NO</w:t>
      </w:r>
      <w:r>
        <w:rPr>
          <w:color w:val="auto"/>
          <w:highlight w:val="none"/>
          <w:vertAlign w:val="subscript"/>
        </w:rPr>
        <w:t>2</w:t>
      </w:r>
      <w:r>
        <w:rPr>
          <w:color w:val="auto"/>
          <w:highlight w:val="none"/>
        </w:rPr>
        <w:t>、PM</w:t>
      </w:r>
      <w:r>
        <w:rPr>
          <w:color w:val="auto"/>
          <w:highlight w:val="none"/>
          <w:vertAlign w:val="subscript"/>
        </w:rPr>
        <w:t>10</w:t>
      </w:r>
      <w:r>
        <w:rPr>
          <w:color w:val="auto"/>
          <w:highlight w:val="none"/>
        </w:rPr>
        <w:t>、PM</w:t>
      </w:r>
      <w:r>
        <w:rPr>
          <w:color w:val="auto"/>
          <w:highlight w:val="none"/>
          <w:vertAlign w:val="subscript"/>
        </w:rPr>
        <w:t>2.5</w:t>
      </w:r>
      <w:r>
        <w:rPr>
          <w:color w:val="auto"/>
          <w:highlight w:val="none"/>
        </w:rPr>
        <w:t>、CO、O</w:t>
      </w:r>
      <w:r>
        <w:rPr>
          <w:color w:val="auto"/>
          <w:highlight w:val="none"/>
          <w:vertAlign w:val="subscript"/>
        </w:rPr>
        <w:t>3</w:t>
      </w:r>
      <w:r>
        <w:rPr>
          <w:color w:val="auto"/>
          <w:highlight w:val="none"/>
        </w:rPr>
        <w:t>、TSP</w:t>
      </w:r>
      <w:r>
        <w:rPr>
          <w:rFonts w:hint="eastAsia"/>
          <w:color w:val="auto"/>
          <w:highlight w:val="none"/>
          <w:lang w:eastAsia="zh-CN"/>
        </w:rPr>
        <w:t>、</w:t>
      </w:r>
      <w:r>
        <w:rPr>
          <w:rFonts w:hint="eastAsia"/>
          <w:color w:val="auto"/>
          <w:highlight w:val="none"/>
          <w:lang w:val="en-US" w:eastAsia="zh-CN"/>
        </w:rPr>
        <w:t>氟化物</w:t>
      </w:r>
      <w:r>
        <w:rPr>
          <w:color w:val="auto"/>
          <w:highlight w:val="none"/>
        </w:rPr>
        <w:t>执行《环境空气质量标准》(GB</w:t>
      </w:r>
      <w:r>
        <w:rPr>
          <w:rFonts w:hint="eastAsia"/>
          <w:color w:val="auto"/>
          <w:highlight w:val="none"/>
        </w:rPr>
        <w:t xml:space="preserve"> </w:t>
      </w:r>
      <w:r>
        <w:rPr>
          <w:color w:val="auto"/>
          <w:highlight w:val="none"/>
        </w:rPr>
        <w:t>3095-2012)</w:t>
      </w:r>
      <w:r>
        <w:rPr>
          <w:rFonts w:hint="eastAsia"/>
          <w:color w:val="auto"/>
          <w:highlight w:val="none"/>
          <w:lang w:val="en-US" w:eastAsia="zh-CN"/>
        </w:rPr>
        <w:t>及修改单</w:t>
      </w:r>
      <w:r>
        <w:rPr>
          <w:color w:val="auto"/>
          <w:highlight w:val="none"/>
        </w:rPr>
        <w:t>二级标准。</w:t>
      </w:r>
      <w:r>
        <w:rPr>
          <w:rFonts w:hint="eastAsia"/>
          <w:color w:val="auto"/>
          <w:highlight w:val="none"/>
          <w:lang w:val="en-US" w:eastAsia="zh-CN"/>
        </w:rPr>
        <w:t>二噁英参考执行日本年平均浓度标准</w:t>
      </w:r>
      <w:r>
        <w:rPr>
          <w:rFonts w:hint="eastAsia"/>
          <w:color w:val="auto"/>
          <w:highlight w:val="none"/>
        </w:rPr>
        <w:t>。</w:t>
      </w:r>
      <w:r>
        <w:rPr>
          <w:color w:val="auto"/>
          <w:highlight w:val="none"/>
        </w:rPr>
        <w:t>具体标准值如下</w:t>
      </w:r>
      <w:r>
        <w:rPr>
          <w:rFonts w:hint="eastAsia"/>
          <w:color w:val="auto"/>
          <w:highlight w:val="none"/>
        </w:rPr>
        <w:t>表</w:t>
      </w:r>
      <w:r>
        <w:rPr>
          <w:rFonts w:hint="eastAsia"/>
          <w:color w:val="auto"/>
          <w:highlight w:val="none"/>
          <w:lang w:val="en-US" w:eastAsia="zh-CN"/>
        </w:rPr>
        <w:t>1.4-1</w:t>
      </w:r>
      <w:r>
        <w:rPr>
          <w:rFonts w:hint="eastAsia"/>
          <w:color w:val="auto"/>
          <w:highlight w:val="none"/>
        </w:rPr>
        <w:t>。</w:t>
      </w:r>
    </w:p>
    <w:p>
      <w:pPr>
        <w:spacing w:before="120" w:line="240" w:lineRule="auto"/>
        <w:ind w:firstLine="0" w:firstLineChars="0"/>
        <w:jc w:val="center"/>
        <w:rPr>
          <w:rFonts w:cstheme="minorBidi"/>
          <w:b/>
          <w:color w:val="auto"/>
          <w:sz w:val="21"/>
          <w:szCs w:val="52"/>
          <w:highlight w:val="none"/>
        </w:rPr>
      </w:pPr>
      <w:r>
        <w:rPr>
          <w:rFonts w:cstheme="minorBidi"/>
          <w:b/>
          <w:color w:val="auto"/>
          <w:sz w:val="21"/>
          <w:szCs w:val="52"/>
          <w:highlight w:val="none"/>
        </w:rPr>
        <w:t>表</w:t>
      </w:r>
      <w:r>
        <w:rPr>
          <w:rFonts w:hint="eastAsia" w:cstheme="minorBidi"/>
          <w:b/>
          <w:color w:val="auto"/>
          <w:sz w:val="21"/>
          <w:szCs w:val="52"/>
          <w:highlight w:val="none"/>
          <w:lang w:val="en-US" w:eastAsia="zh-CN"/>
        </w:rPr>
        <w:t>1.4-1</w:t>
      </w:r>
      <w:r>
        <w:rPr>
          <w:rFonts w:cstheme="minorBidi"/>
          <w:b/>
          <w:color w:val="auto"/>
          <w:sz w:val="21"/>
          <w:szCs w:val="52"/>
          <w:highlight w:val="none"/>
        </w:rPr>
        <w:t xml:space="preserve">  环境空气质量标准</w:t>
      </w:r>
    </w:p>
    <w:tbl>
      <w:tblPr>
        <w:tblStyle w:val="37"/>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701"/>
        <w:gridCol w:w="1417"/>
        <w:gridCol w:w="1559"/>
        <w:gridCol w:w="3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blHeader/>
        </w:trPr>
        <w:tc>
          <w:tcPr>
            <w:tcW w:w="993" w:type="dxa"/>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highlight w:val="none"/>
              </w:rPr>
            </w:pPr>
            <w:r>
              <w:rPr>
                <w:rFonts w:hint="eastAsia" w:ascii="Times New Roman" w:hAnsi="Times New Roman" w:eastAsia="宋体"/>
                <w:b/>
                <w:color w:val="auto"/>
                <w:highlight w:val="none"/>
              </w:rPr>
              <w:t>污染物</w:t>
            </w:r>
          </w:p>
        </w:tc>
        <w:tc>
          <w:tcPr>
            <w:tcW w:w="1701" w:type="dxa"/>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highlight w:val="none"/>
              </w:rPr>
            </w:pPr>
            <w:r>
              <w:rPr>
                <w:rFonts w:hint="eastAsia" w:ascii="Times New Roman" w:hAnsi="Times New Roman" w:eastAsia="宋体"/>
                <w:b/>
                <w:color w:val="auto"/>
                <w:highlight w:val="none"/>
              </w:rPr>
              <w:t>取值时间</w:t>
            </w:r>
          </w:p>
        </w:tc>
        <w:tc>
          <w:tcPr>
            <w:tcW w:w="1417" w:type="dxa"/>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highlight w:val="none"/>
              </w:rPr>
            </w:pPr>
            <w:r>
              <w:rPr>
                <w:rFonts w:hint="eastAsia" w:ascii="Times New Roman" w:hAnsi="Times New Roman" w:eastAsia="宋体"/>
                <w:b/>
                <w:color w:val="auto"/>
                <w:highlight w:val="none"/>
              </w:rPr>
              <w:t>单位</w:t>
            </w:r>
          </w:p>
        </w:tc>
        <w:tc>
          <w:tcPr>
            <w:tcW w:w="1559" w:type="dxa"/>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highlight w:val="none"/>
              </w:rPr>
            </w:pPr>
            <w:r>
              <w:rPr>
                <w:rFonts w:hint="eastAsia" w:ascii="Times New Roman" w:hAnsi="Times New Roman" w:eastAsia="宋体"/>
                <w:b/>
                <w:color w:val="auto"/>
                <w:highlight w:val="none"/>
              </w:rPr>
              <w:t>浓度限值</w:t>
            </w:r>
          </w:p>
        </w:tc>
        <w:tc>
          <w:tcPr>
            <w:tcW w:w="3616" w:type="dxa"/>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highlight w:val="none"/>
              </w:rPr>
            </w:pPr>
            <w:r>
              <w:rPr>
                <w:rFonts w:hint="eastAsia" w:ascii="Times New Roman" w:hAnsi="Times New Roman" w:eastAsia="宋体"/>
                <w:b/>
                <w:color w:val="auto"/>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993" w:type="dxa"/>
            <w:vMerge w:val="restart"/>
            <w:shd w:val="clear" w:color="auto" w:fill="auto"/>
            <w:vAlign w:val="center"/>
          </w:tcPr>
          <w:p>
            <w:pPr>
              <w:pStyle w:val="19"/>
              <w:snapToGrid w:val="0"/>
              <w:rPr>
                <w:color w:val="auto"/>
                <w:highlight w:val="none"/>
              </w:rPr>
            </w:pPr>
            <w:r>
              <w:rPr>
                <w:color w:val="auto"/>
                <w:highlight w:val="none"/>
              </w:rPr>
              <w:t>SO</w:t>
            </w:r>
            <w:r>
              <w:rPr>
                <w:color w:val="auto"/>
                <w:highlight w:val="none"/>
                <w:vertAlign w:val="subscript"/>
              </w:rPr>
              <w:t>2</w:t>
            </w:r>
          </w:p>
        </w:tc>
        <w:tc>
          <w:tcPr>
            <w:tcW w:w="1701" w:type="dxa"/>
            <w:shd w:val="clear" w:color="auto" w:fill="auto"/>
            <w:vAlign w:val="center"/>
          </w:tcPr>
          <w:p>
            <w:pPr>
              <w:pStyle w:val="19"/>
              <w:snapToGrid w:val="0"/>
              <w:rPr>
                <w:color w:val="auto"/>
                <w:highlight w:val="none"/>
              </w:rPr>
            </w:pPr>
            <w:r>
              <w:rPr>
                <w:color w:val="auto"/>
                <w:highlight w:val="none"/>
              </w:rPr>
              <w:t>年平均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60</w:t>
            </w:r>
          </w:p>
        </w:tc>
        <w:tc>
          <w:tcPr>
            <w:tcW w:w="3616" w:type="dxa"/>
            <w:vMerge w:val="restart"/>
            <w:shd w:val="clear" w:color="auto" w:fill="auto"/>
            <w:vAlign w:val="center"/>
          </w:tcPr>
          <w:p>
            <w:pPr>
              <w:pStyle w:val="19"/>
              <w:snapToGrid w:val="0"/>
              <w:jc w:val="both"/>
              <w:rPr>
                <w:color w:val="auto"/>
                <w:highlight w:val="none"/>
              </w:rPr>
            </w:pPr>
            <w:r>
              <w:rPr>
                <w:color w:val="auto"/>
                <w:highlight w:val="none"/>
              </w:rPr>
              <w:t>《环境空气质量标准》</w:t>
            </w:r>
            <w:r>
              <w:rPr>
                <w:rFonts w:hint="eastAsia"/>
                <w:color w:val="auto"/>
                <w:highlight w:val="none"/>
              </w:rPr>
              <w:t>(</w:t>
            </w:r>
            <w:r>
              <w:rPr>
                <w:color w:val="auto"/>
                <w:highlight w:val="none"/>
              </w:rPr>
              <w:t>GB 3095-2012</w:t>
            </w:r>
            <w:r>
              <w:rPr>
                <w:rFonts w:hint="eastAsia" w:ascii="宋体" w:hAnsi="宋体"/>
                <w:color w:val="auto"/>
                <w:highlight w:val="none"/>
              </w:rPr>
              <w:t>)及修改单</w:t>
            </w:r>
            <w:r>
              <w:rPr>
                <w:rFonts w:ascii="宋体" w:hAnsi="宋体"/>
                <w:color w:val="auto"/>
                <w:highlight w:val="none"/>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pStyle w:val="19"/>
              <w:snapToGrid w:val="0"/>
              <w:rPr>
                <w:color w:val="auto"/>
                <w:highlight w:val="none"/>
              </w:rPr>
            </w:pPr>
            <w:r>
              <w:rPr>
                <w:color w:val="auto"/>
                <w:highlight w:val="none"/>
              </w:rPr>
              <w:t>24h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150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pStyle w:val="19"/>
              <w:snapToGrid w:val="0"/>
              <w:rPr>
                <w:color w:val="auto"/>
                <w:highlight w:val="none"/>
              </w:rPr>
            </w:pPr>
            <w:r>
              <w:rPr>
                <w:color w:val="auto"/>
                <w:highlight w:val="none"/>
              </w:rPr>
              <w:t>1h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500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993" w:type="dxa"/>
            <w:vMerge w:val="restart"/>
            <w:shd w:val="clear" w:color="auto" w:fill="auto"/>
            <w:vAlign w:val="center"/>
          </w:tcPr>
          <w:p>
            <w:pPr>
              <w:pStyle w:val="19"/>
              <w:snapToGrid w:val="0"/>
              <w:rPr>
                <w:color w:val="auto"/>
                <w:highlight w:val="none"/>
              </w:rPr>
            </w:pPr>
            <w:r>
              <w:rPr>
                <w:color w:val="auto"/>
                <w:highlight w:val="none"/>
              </w:rPr>
              <w:t>NO</w:t>
            </w:r>
            <w:r>
              <w:rPr>
                <w:color w:val="auto"/>
                <w:highlight w:val="none"/>
                <w:vertAlign w:val="subscript"/>
              </w:rPr>
              <w:t>2</w:t>
            </w:r>
          </w:p>
        </w:tc>
        <w:tc>
          <w:tcPr>
            <w:tcW w:w="1701" w:type="dxa"/>
            <w:shd w:val="clear" w:color="auto" w:fill="auto"/>
            <w:vAlign w:val="center"/>
          </w:tcPr>
          <w:p>
            <w:pPr>
              <w:pStyle w:val="19"/>
              <w:snapToGrid w:val="0"/>
              <w:rPr>
                <w:color w:val="auto"/>
                <w:highlight w:val="none"/>
              </w:rPr>
            </w:pPr>
            <w:r>
              <w:rPr>
                <w:color w:val="auto"/>
                <w:highlight w:val="none"/>
              </w:rPr>
              <w:t>年平均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40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pStyle w:val="19"/>
              <w:snapToGrid w:val="0"/>
              <w:rPr>
                <w:color w:val="auto"/>
                <w:highlight w:val="none"/>
              </w:rPr>
            </w:pPr>
            <w:r>
              <w:rPr>
                <w:color w:val="auto"/>
                <w:highlight w:val="none"/>
              </w:rPr>
              <w:t>24h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80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pStyle w:val="19"/>
              <w:snapToGrid w:val="0"/>
              <w:rPr>
                <w:color w:val="auto"/>
                <w:highlight w:val="none"/>
              </w:rPr>
            </w:pPr>
            <w:r>
              <w:rPr>
                <w:color w:val="auto"/>
                <w:highlight w:val="none"/>
              </w:rPr>
              <w:t>1h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200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restart"/>
            <w:shd w:val="clear" w:color="auto" w:fill="auto"/>
            <w:vAlign w:val="center"/>
          </w:tcPr>
          <w:p>
            <w:pPr>
              <w:pStyle w:val="19"/>
              <w:snapToGrid w:val="0"/>
              <w:rPr>
                <w:color w:val="auto"/>
                <w:highlight w:val="none"/>
              </w:rPr>
            </w:pPr>
            <w:r>
              <w:rPr>
                <w:color w:val="auto"/>
                <w:highlight w:val="none"/>
              </w:rPr>
              <w:t>CO</w:t>
            </w:r>
          </w:p>
        </w:tc>
        <w:tc>
          <w:tcPr>
            <w:tcW w:w="1701" w:type="dxa"/>
            <w:shd w:val="clear" w:color="auto" w:fill="auto"/>
            <w:vAlign w:val="center"/>
          </w:tcPr>
          <w:p>
            <w:pPr>
              <w:pStyle w:val="19"/>
              <w:snapToGrid w:val="0"/>
              <w:rPr>
                <w:color w:val="auto"/>
                <w:highlight w:val="none"/>
              </w:rPr>
            </w:pPr>
            <w:r>
              <w:rPr>
                <w:color w:val="auto"/>
                <w:highlight w:val="none"/>
              </w:rPr>
              <w:t>24h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mg/m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rFonts w:hint="eastAsia"/>
                <w:color w:val="auto"/>
                <w:highlight w:val="none"/>
              </w:rPr>
              <w:t>4</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pStyle w:val="19"/>
              <w:snapToGrid w:val="0"/>
              <w:rPr>
                <w:color w:val="auto"/>
                <w:highlight w:val="none"/>
              </w:rPr>
            </w:pPr>
            <w:r>
              <w:rPr>
                <w:color w:val="auto"/>
                <w:highlight w:val="none"/>
              </w:rPr>
              <w:t>1h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mg/m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rFonts w:hint="eastAsia"/>
                <w:color w:val="auto"/>
                <w:highlight w:val="none"/>
              </w:rPr>
              <w:t>1</w:t>
            </w:r>
            <w:r>
              <w:rPr>
                <w:color w:val="auto"/>
                <w:highlight w:val="none"/>
              </w:rPr>
              <w:t>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restart"/>
            <w:shd w:val="clear" w:color="auto" w:fill="auto"/>
            <w:vAlign w:val="center"/>
          </w:tcPr>
          <w:p>
            <w:pPr>
              <w:pStyle w:val="19"/>
              <w:snapToGrid w:val="0"/>
              <w:rPr>
                <w:color w:val="auto"/>
                <w:highlight w:val="none"/>
              </w:rPr>
            </w:pPr>
            <w:r>
              <w:rPr>
                <w:color w:val="auto"/>
                <w:highlight w:val="none"/>
              </w:rPr>
              <w:t>O</w:t>
            </w:r>
            <w:r>
              <w:rPr>
                <w:color w:val="auto"/>
                <w:highlight w:val="none"/>
                <w:vertAlign w:val="subscript"/>
              </w:rPr>
              <w:t>3</w:t>
            </w:r>
          </w:p>
        </w:tc>
        <w:tc>
          <w:tcPr>
            <w:tcW w:w="1701" w:type="dxa"/>
            <w:shd w:val="clear" w:color="auto" w:fill="auto"/>
            <w:vAlign w:val="center"/>
          </w:tcPr>
          <w:p>
            <w:pPr>
              <w:pStyle w:val="19"/>
              <w:snapToGrid w:val="0"/>
              <w:rPr>
                <w:color w:val="auto"/>
                <w:highlight w:val="none"/>
              </w:rPr>
            </w:pPr>
            <w:r>
              <w:rPr>
                <w:color w:val="auto"/>
                <w:highlight w:val="none"/>
              </w:rPr>
              <w:t>日最大8h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rFonts w:hint="eastAsia"/>
                <w:color w:val="auto"/>
                <w:highlight w:val="none"/>
              </w:rPr>
              <w:t>1</w:t>
            </w:r>
            <w:r>
              <w:rPr>
                <w:color w:val="auto"/>
                <w:highlight w:val="none"/>
              </w:rPr>
              <w:t>60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pStyle w:val="19"/>
              <w:snapToGrid w:val="0"/>
              <w:rPr>
                <w:color w:val="auto"/>
                <w:highlight w:val="none"/>
              </w:rPr>
            </w:pPr>
            <w:r>
              <w:rPr>
                <w:color w:val="auto"/>
                <w:highlight w:val="none"/>
              </w:rPr>
              <w:t>1h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rFonts w:hint="eastAsia"/>
                <w:color w:val="auto"/>
                <w:highlight w:val="none"/>
              </w:rPr>
              <w:t>2</w:t>
            </w:r>
            <w:r>
              <w:rPr>
                <w:color w:val="auto"/>
                <w:highlight w:val="none"/>
              </w:rPr>
              <w:t>00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trPr>
        <w:tc>
          <w:tcPr>
            <w:tcW w:w="993" w:type="dxa"/>
            <w:vMerge w:val="restart"/>
            <w:shd w:val="clear" w:color="auto" w:fill="auto"/>
            <w:vAlign w:val="center"/>
          </w:tcPr>
          <w:p>
            <w:pPr>
              <w:pStyle w:val="19"/>
              <w:snapToGrid w:val="0"/>
              <w:rPr>
                <w:color w:val="auto"/>
                <w:highlight w:val="none"/>
              </w:rPr>
            </w:pPr>
            <w:r>
              <w:rPr>
                <w:color w:val="auto"/>
                <w:highlight w:val="none"/>
              </w:rPr>
              <w:t>PM</w:t>
            </w:r>
            <w:r>
              <w:rPr>
                <w:color w:val="auto"/>
                <w:highlight w:val="none"/>
                <w:vertAlign w:val="subscript"/>
              </w:rPr>
              <w:t>10</w:t>
            </w:r>
          </w:p>
        </w:tc>
        <w:tc>
          <w:tcPr>
            <w:tcW w:w="1701" w:type="dxa"/>
            <w:shd w:val="clear" w:color="auto" w:fill="auto"/>
            <w:vAlign w:val="center"/>
          </w:tcPr>
          <w:p>
            <w:pPr>
              <w:pStyle w:val="19"/>
              <w:snapToGrid w:val="0"/>
              <w:rPr>
                <w:color w:val="auto"/>
                <w:highlight w:val="none"/>
              </w:rPr>
            </w:pPr>
            <w:r>
              <w:rPr>
                <w:color w:val="auto"/>
                <w:highlight w:val="none"/>
              </w:rPr>
              <w:t>年平均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70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pStyle w:val="19"/>
              <w:snapToGrid w:val="0"/>
              <w:rPr>
                <w:color w:val="auto"/>
                <w:highlight w:val="none"/>
              </w:rPr>
            </w:pPr>
            <w:r>
              <w:rPr>
                <w:color w:val="auto"/>
                <w:highlight w:val="none"/>
              </w:rPr>
              <w:t>24h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150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993" w:type="dxa"/>
            <w:vMerge w:val="restart"/>
            <w:shd w:val="clear" w:color="auto" w:fill="auto"/>
            <w:vAlign w:val="center"/>
          </w:tcPr>
          <w:p>
            <w:pPr>
              <w:pStyle w:val="19"/>
              <w:snapToGrid w:val="0"/>
              <w:rPr>
                <w:color w:val="auto"/>
                <w:highlight w:val="none"/>
                <w:vertAlign w:val="subscript"/>
              </w:rPr>
            </w:pPr>
            <w:r>
              <w:rPr>
                <w:color w:val="auto"/>
                <w:highlight w:val="none"/>
              </w:rPr>
              <w:t>PM</w:t>
            </w:r>
            <w:r>
              <w:rPr>
                <w:color w:val="auto"/>
                <w:highlight w:val="none"/>
                <w:vertAlign w:val="subscript"/>
              </w:rPr>
              <w:t>2.5</w:t>
            </w:r>
          </w:p>
        </w:tc>
        <w:tc>
          <w:tcPr>
            <w:tcW w:w="1701" w:type="dxa"/>
            <w:shd w:val="clear" w:color="auto" w:fill="auto"/>
            <w:vAlign w:val="center"/>
          </w:tcPr>
          <w:p>
            <w:pPr>
              <w:pStyle w:val="19"/>
              <w:snapToGrid w:val="0"/>
              <w:rPr>
                <w:color w:val="auto"/>
                <w:highlight w:val="none"/>
              </w:rPr>
            </w:pPr>
            <w:r>
              <w:rPr>
                <w:color w:val="auto"/>
                <w:highlight w:val="none"/>
              </w:rPr>
              <w:t>年平均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35</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vertAlign w:val="subscript"/>
              </w:rPr>
            </w:pPr>
          </w:p>
        </w:tc>
        <w:tc>
          <w:tcPr>
            <w:tcW w:w="1701" w:type="dxa"/>
            <w:shd w:val="clear" w:color="auto" w:fill="auto"/>
            <w:vAlign w:val="center"/>
          </w:tcPr>
          <w:p>
            <w:pPr>
              <w:pStyle w:val="19"/>
              <w:snapToGrid w:val="0"/>
              <w:rPr>
                <w:color w:val="auto"/>
                <w:highlight w:val="none"/>
              </w:rPr>
            </w:pPr>
            <w:r>
              <w:rPr>
                <w:color w:val="auto"/>
                <w:highlight w:val="none"/>
              </w:rPr>
              <w:t>24h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rFonts w:hint="eastAsia"/>
                <w:color w:val="auto"/>
                <w:highlight w:val="none"/>
              </w:rPr>
              <w:t>7</w:t>
            </w:r>
            <w:r>
              <w:rPr>
                <w:color w:val="auto"/>
                <w:highlight w:val="none"/>
              </w:rPr>
              <w:t>5</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restart"/>
            <w:shd w:val="clear" w:color="auto" w:fill="auto"/>
            <w:vAlign w:val="center"/>
          </w:tcPr>
          <w:p>
            <w:pPr>
              <w:pStyle w:val="19"/>
              <w:snapToGrid w:val="0"/>
              <w:rPr>
                <w:color w:val="auto"/>
                <w:highlight w:val="none"/>
              </w:rPr>
            </w:pPr>
            <w:r>
              <w:rPr>
                <w:color w:val="auto"/>
                <w:highlight w:val="none"/>
              </w:rPr>
              <w:t>TSP</w:t>
            </w:r>
          </w:p>
        </w:tc>
        <w:tc>
          <w:tcPr>
            <w:tcW w:w="1701" w:type="dxa"/>
            <w:shd w:val="clear" w:color="auto" w:fill="auto"/>
            <w:vAlign w:val="center"/>
          </w:tcPr>
          <w:p>
            <w:pPr>
              <w:pStyle w:val="19"/>
              <w:snapToGrid w:val="0"/>
              <w:rPr>
                <w:color w:val="auto"/>
                <w:highlight w:val="none"/>
              </w:rPr>
            </w:pPr>
            <w:r>
              <w:rPr>
                <w:color w:val="auto"/>
                <w:highlight w:val="none"/>
              </w:rPr>
              <w:t>年平均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200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pStyle w:val="19"/>
              <w:snapToGrid w:val="0"/>
              <w:rPr>
                <w:color w:val="auto"/>
                <w:highlight w:val="none"/>
              </w:rPr>
            </w:pPr>
            <w:r>
              <w:rPr>
                <w:color w:val="auto"/>
                <w:highlight w:val="none"/>
              </w:rPr>
              <w:t>24h</w:t>
            </w:r>
            <w:r>
              <w:rPr>
                <w:rFonts w:ascii="宋体" w:hAnsi="宋体"/>
                <w:color w:val="auto"/>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color w:val="auto"/>
                <w:highlight w:val="none"/>
              </w:rPr>
            </w:pPr>
            <w:r>
              <w:rPr>
                <w:color w:val="auto"/>
                <w:highlight w:val="none"/>
              </w:rPr>
              <w:t>300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restart"/>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lang w:val="en-US" w:eastAsia="zh-CN"/>
              </w:rPr>
              <w:t>氟化物</w:t>
            </w:r>
          </w:p>
        </w:tc>
        <w:tc>
          <w:tcPr>
            <w:tcW w:w="1701" w:type="dxa"/>
            <w:shd w:val="clear" w:color="auto" w:fill="auto"/>
            <w:vAlign w:val="center"/>
          </w:tcPr>
          <w:p>
            <w:pPr>
              <w:snapToGrid w:val="0"/>
              <w:spacing w:line="360" w:lineRule="exact"/>
              <w:ind w:firstLine="0" w:firstLineChars="0"/>
              <w:jc w:val="left"/>
              <w:rPr>
                <w:color w:val="auto"/>
                <w:highlight w:val="none"/>
              </w:rPr>
            </w:pPr>
            <w:r>
              <w:rPr>
                <w:rFonts w:hint="eastAsia"/>
                <w:color w:val="auto"/>
                <w:kern w:val="0"/>
                <w:sz w:val="21"/>
                <w:szCs w:val="21"/>
                <w:highlight w:val="none"/>
                <w:lang w:val="en-US" w:eastAsia="zh-CN"/>
              </w:rPr>
              <w:t>1</w:t>
            </w:r>
            <w:r>
              <w:rPr>
                <w:color w:val="auto"/>
                <w:kern w:val="0"/>
                <w:sz w:val="21"/>
                <w:szCs w:val="21"/>
                <w:highlight w:val="none"/>
              </w:rPr>
              <w:t>h</w:t>
            </w:r>
            <w:r>
              <w:rPr>
                <w:rFonts w:ascii="宋体" w:hAnsi="宋体"/>
                <w:color w:val="auto"/>
                <w:kern w:val="0"/>
                <w:sz w:val="21"/>
                <w:szCs w:val="21"/>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lang w:val="en-US" w:eastAsia="zh-CN"/>
              </w:rPr>
              <w:t>20</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vMerge w:val="continue"/>
            <w:shd w:val="clear" w:color="auto" w:fill="auto"/>
            <w:vAlign w:val="center"/>
          </w:tcPr>
          <w:p>
            <w:pPr>
              <w:pStyle w:val="19"/>
              <w:snapToGrid w:val="0"/>
              <w:rPr>
                <w:color w:val="auto"/>
                <w:highlight w:val="none"/>
              </w:rPr>
            </w:pPr>
          </w:p>
        </w:tc>
        <w:tc>
          <w:tcPr>
            <w:tcW w:w="1701" w:type="dxa"/>
            <w:shd w:val="clear" w:color="auto" w:fill="auto"/>
            <w:vAlign w:val="center"/>
          </w:tcPr>
          <w:p>
            <w:pPr>
              <w:snapToGrid w:val="0"/>
              <w:spacing w:line="360" w:lineRule="exact"/>
              <w:ind w:firstLine="0" w:firstLineChars="0"/>
              <w:jc w:val="left"/>
              <w:rPr>
                <w:color w:val="auto"/>
                <w:highlight w:val="none"/>
              </w:rPr>
            </w:pPr>
            <w:r>
              <w:rPr>
                <w:rFonts w:hint="eastAsia"/>
                <w:color w:val="auto"/>
                <w:kern w:val="0"/>
                <w:sz w:val="21"/>
                <w:szCs w:val="21"/>
                <w:highlight w:val="none"/>
                <w:lang w:val="en-US" w:eastAsia="zh-CN"/>
              </w:rPr>
              <w:t>24</w:t>
            </w:r>
            <w:r>
              <w:rPr>
                <w:color w:val="auto"/>
                <w:kern w:val="0"/>
                <w:sz w:val="21"/>
                <w:szCs w:val="21"/>
                <w:highlight w:val="none"/>
              </w:rPr>
              <w:t>h</w:t>
            </w:r>
            <w:r>
              <w:rPr>
                <w:rFonts w:ascii="宋体" w:hAnsi="宋体"/>
                <w:color w:val="auto"/>
                <w:kern w:val="0"/>
                <w:sz w:val="21"/>
                <w:szCs w:val="21"/>
                <w:highlight w:val="none"/>
              </w:rPr>
              <w:t>平均</w:t>
            </w:r>
          </w:p>
        </w:tc>
        <w:tc>
          <w:tcPr>
            <w:tcW w:w="1417" w:type="dxa"/>
            <w:shd w:val="clear" w:color="auto" w:fill="auto"/>
            <w:vAlign w:val="center"/>
          </w:tcPr>
          <w:p>
            <w:pPr>
              <w:pStyle w:val="19"/>
              <w:snapToGrid w:val="0"/>
              <w:rPr>
                <w:color w:val="auto"/>
                <w:highlight w:val="none"/>
              </w:rPr>
            </w:pPr>
            <w:r>
              <w:rPr>
                <w:color w:val="auto"/>
                <w:highlight w:val="none"/>
              </w:rPr>
              <w:t>μg/m</w:t>
            </w:r>
            <w:r>
              <w:rPr>
                <w:color w:val="auto"/>
                <w:highlight w:val="none"/>
                <w:vertAlign w:val="superscript"/>
              </w:rPr>
              <w:t>3</w:t>
            </w:r>
          </w:p>
        </w:tc>
        <w:tc>
          <w:tcPr>
            <w:tcW w:w="1559" w:type="dxa"/>
            <w:shd w:val="clear" w:color="auto" w:fill="auto"/>
            <w:vAlign w:val="center"/>
          </w:tcPr>
          <w:p>
            <w:pPr>
              <w:pStyle w:val="19"/>
              <w:snapToGrid w:val="0"/>
              <w:rPr>
                <w:rFonts w:hint="eastAsia" w:eastAsia="宋体"/>
                <w:color w:val="auto"/>
                <w:highlight w:val="none"/>
                <w:lang w:eastAsia="zh-CN"/>
              </w:rPr>
            </w:pPr>
            <w:r>
              <w:rPr>
                <w:rFonts w:hint="eastAsia"/>
                <w:color w:val="auto"/>
                <w:highlight w:val="none"/>
                <w:lang w:val="en-US" w:eastAsia="zh-CN"/>
              </w:rPr>
              <w:t>7</w:t>
            </w:r>
          </w:p>
        </w:tc>
        <w:tc>
          <w:tcPr>
            <w:tcW w:w="3616" w:type="dxa"/>
            <w:vMerge w:val="continue"/>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993" w:type="dxa"/>
            <w:shd w:val="clear" w:color="auto" w:fill="auto"/>
            <w:vAlign w:val="center"/>
          </w:tcPr>
          <w:p>
            <w:pPr>
              <w:pStyle w:val="19"/>
              <w:snapToGrid w:val="0"/>
              <w:rPr>
                <w:rFonts w:hint="eastAsia" w:eastAsia="宋体"/>
                <w:color w:val="auto"/>
                <w:highlight w:val="none"/>
                <w:lang w:val="en-US" w:eastAsia="zh-CN"/>
              </w:rPr>
            </w:pPr>
            <w:r>
              <w:rPr>
                <w:rFonts w:hint="eastAsia"/>
                <w:color w:val="auto"/>
                <w:highlight w:val="none"/>
                <w:lang w:val="en-US" w:eastAsia="zh-CN"/>
              </w:rPr>
              <w:t>二噁英</w:t>
            </w:r>
          </w:p>
        </w:tc>
        <w:tc>
          <w:tcPr>
            <w:tcW w:w="1701" w:type="dxa"/>
            <w:shd w:val="clear" w:color="auto" w:fill="auto"/>
            <w:vAlign w:val="center"/>
          </w:tcPr>
          <w:p>
            <w:pPr>
              <w:snapToGrid w:val="0"/>
              <w:spacing w:line="360" w:lineRule="exact"/>
              <w:ind w:firstLine="0" w:firstLineChars="0"/>
              <w:jc w:val="left"/>
              <w:rPr>
                <w:rFonts w:hint="default"/>
                <w:color w:val="auto"/>
                <w:kern w:val="0"/>
                <w:sz w:val="21"/>
                <w:szCs w:val="21"/>
                <w:highlight w:val="none"/>
                <w:lang w:val="en-US" w:eastAsia="zh-CN"/>
              </w:rPr>
            </w:pPr>
            <w:r>
              <w:rPr>
                <w:rFonts w:hint="eastAsia"/>
                <w:color w:val="auto"/>
                <w:kern w:val="0"/>
                <w:sz w:val="21"/>
                <w:szCs w:val="21"/>
                <w:highlight w:val="none"/>
                <w:lang w:val="en-US" w:eastAsia="zh-CN"/>
              </w:rPr>
              <w:t>年平均</w:t>
            </w:r>
          </w:p>
        </w:tc>
        <w:tc>
          <w:tcPr>
            <w:tcW w:w="1417" w:type="dxa"/>
            <w:shd w:val="clear" w:color="auto" w:fill="auto"/>
            <w:vAlign w:val="center"/>
          </w:tcPr>
          <w:p>
            <w:pPr>
              <w:pStyle w:val="19"/>
              <w:snapToGrid w:val="0"/>
              <w:rPr>
                <w:color w:val="auto"/>
                <w:highlight w:val="none"/>
              </w:rPr>
            </w:pPr>
            <w:r>
              <w:rPr>
                <w:rFonts w:hint="eastAsia" w:ascii="Times New Roman" w:hAnsi="Times New Roman" w:cs="Times New Roman"/>
                <w:sz w:val="15"/>
                <w:szCs w:val="15"/>
                <w:lang w:val="en-US" w:eastAsia="zh-CN"/>
              </w:rPr>
              <w:t>p</w:t>
            </w:r>
            <w:r>
              <w:rPr>
                <w:rFonts w:hint="eastAsia" w:ascii="Times New Roman" w:hAnsi="Times New Roman" w:cs="Times New Roman"/>
                <w:sz w:val="15"/>
                <w:szCs w:val="15"/>
              </w:rPr>
              <w:t>g</w:t>
            </w:r>
            <w:r>
              <w:rPr>
                <w:rFonts w:hint="eastAsia" w:cs="Times New Roman"/>
                <w:sz w:val="15"/>
                <w:szCs w:val="15"/>
                <w:lang w:val="en-US" w:eastAsia="zh-CN"/>
              </w:rPr>
              <w:t xml:space="preserve"> </w:t>
            </w:r>
            <w:r>
              <w:rPr>
                <w:rFonts w:hint="eastAsia" w:ascii="Times New Roman" w:hAnsi="Times New Roman" w:cs="Times New Roman"/>
                <w:sz w:val="15"/>
                <w:szCs w:val="15"/>
              </w:rPr>
              <w:t>TEQ/m</w:t>
            </w:r>
            <w:r>
              <w:rPr>
                <w:rFonts w:hint="eastAsia" w:ascii="Times New Roman" w:hAnsi="Times New Roman" w:cs="Times New Roman"/>
                <w:sz w:val="15"/>
                <w:szCs w:val="15"/>
                <w:vertAlign w:val="superscript"/>
              </w:rPr>
              <w:t>3</w:t>
            </w:r>
          </w:p>
        </w:tc>
        <w:tc>
          <w:tcPr>
            <w:tcW w:w="1559" w:type="dxa"/>
            <w:shd w:val="clear" w:color="auto" w:fill="auto"/>
            <w:vAlign w:val="center"/>
          </w:tcPr>
          <w:p>
            <w:pPr>
              <w:pStyle w:val="19"/>
              <w:snapToGrid w:val="0"/>
              <w:rPr>
                <w:rFonts w:hint="default"/>
                <w:color w:val="auto"/>
                <w:highlight w:val="none"/>
                <w:lang w:val="en-US" w:eastAsia="zh-CN"/>
              </w:rPr>
            </w:pPr>
            <w:r>
              <w:rPr>
                <w:rFonts w:hint="eastAsia"/>
                <w:color w:val="auto"/>
                <w:highlight w:val="none"/>
                <w:lang w:val="en-US" w:eastAsia="zh-CN"/>
              </w:rPr>
              <w:t>0.6</w:t>
            </w:r>
          </w:p>
        </w:tc>
        <w:tc>
          <w:tcPr>
            <w:tcW w:w="3616" w:type="dxa"/>
            <w:shd w:val="clear" w:color="auto" w:fill="auto"/>
            <w:vAlign w:val="center"/>
          </w:tcPr>
          <w:p>
            <w:pPr>
              <w:pStyle w:val="19"/>
              <w:snapToGrid w:val="0"/>
              <w:rPr>
                <w:color w:val="auto"/>
                <w:highlight w:val="none"/>
              </w:rPr>
            </w:pPr>
            <w:r>
              <w:rPr>
                <w:rFonts w:hint="eastAsia"/>
                <w:color w:val="auto"/>
                <w:highlight w:val="none"/>
              </w:rPr>
              <w:t>参</w:t>
            </w:r>
            <w:r>
              <w:rPr>
                <w:rFonts w:hint="eastAsia"/>
                <w:color w:val="auto"/>
                <w:highlight w:val="none"/>
                <w:lang w:val="en-US" w:eastAsia="zh-CN"/>
              </w:rPr>
              <w:t>考</w:t>
            </w:r>
            <w:r>
              <w:rPr>
                <w:rFonts w:hint="eastAsia"/>
                <w:color w:val="auto"/>
                <w:highlight w:val="none"/>
              </w:rPr>
              <w:t>日本年平均浓度标准</w:t>
            </w:r>
          </w:p>
        </w:tc>
      </w:tr>
    </w:tbl>
    <w:p>
      <w:pPr>
        <w:bidi w:val="0"/>
      </w:pP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lang w:val="en-US" w:eastAsia="zh-CN"/>
        </w:rPr>
      </w:pPr>
      <w:r>
        <w:rPr>
          <w:rFonts w:hint="eastAsia"/>
          <w:b/>
          <w:bCs/>
          <w:lang w:eastAsia="zh-CN"/>
        </w:rPr>
        <w:t>(</w:t>
      </w:r>
      <w:r>
        <w:rPr>
          <w:rFonts w:hint="eastAsia"/>
          <w:b/>
          <w:bCs/>
          <w:lang w:val="en-US" w:eastAsia="zh-CN"/>
        </w:rPr>
        <w:t>2</w:t>
      </w:r>
      <w:r>
        <w:rPr>
          <w:rFonts w:hint="eastAsia"/>
          <w:b/>
          <w:bCs/>
          <w:lang w:eastAsia="zh-CN"/>
        </w:rPr>
        <w:t>)</w:t>
      </w:r>
      <w:r>
        <w:rPr>
          <w:rFonts w:hint="eastAsia"/>
          <w:b/>
          <w:bCs/>
          <w:lang w:val="en-US" w:eastAsia="zh-CN"/>
        </w:rPr>
        <w:t xml:space="preserve"> 废气排放标准</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lang w:val="en-US" w:eastAsia="zh-CN"/>
        </w:rPr>
      </w:pPr>
      <w:r>
        <w:rPr>
          <w:rFonts w:hint="eastAsia"/>
        </w:rPr>
        <w:t>项目有组织排放颗粒物执行《铸造工业大气污染物排放标准》</w:t>
      </w:r>
      <w:r>
        <w:rPr>
          <w:rFonts w:hint="eastAsia"/>
          <w:lang w:eastAsia="zh-CN"/>
        </w:rPr>
        <w:t>(</w:t>
      </w:r>
      <w:r>
        <w:rPr>
          <w:rFonts w:hint="eastAsia"/>
        </w:rPr>
        <w:t>GB</w:t>
      </w:r>
      <w:r>
        <w:t xml:space="preserve"> 39726-2020</w:t>
      </w:r>
      <w:r>
        <w:rPr>
          <w:rFonts w:hint="eastAsia"/>
          <w:lang w:eastAsia="zh-CN"/>
        </w:rPr>
        <w:t>)</w:t>
      </w:r>
      <w:r>
        <w:rPr>
          <w:rFonts w:hint="eastAsia"/>
        </w:rPr>
        <w:t>，无组织排放颗粒物满足GB</w:t>
      </w:r>
      <w:r>
        <w:t xml:space="preserve"> 39726-2020</w:t>
      </w:r>
      <w:r>
        <w:rPr>
          <w:rFonts w:hint="eastAsia"/>
        </w:rPr>
        <w:t>相关控制要求</w:t>
      </w:r>
      <w:r>
        <w:rPr>
          <w:rFonts w:hint="eastAsia"/>
          <w:lang w:eastAsia="zh-CN"/>
        </w:rPr>
        <w:t>；</w:t>
      </w:r>
      <w:r>
        <w:rPr>
          <w:rFonts w:hint="eastAsia"/>
        </w:rPr>
        <w:t>电弧炉工序排放氟化物、二噁英参照执行《炼钢工业大气污染物排放标准》(GB 28664-2012)。</w:t>
      </w:r>
      <w:r>
        <w:rPr>
          <w:rFonts w:hint="eastAsia"/>
          <w:lang w:val="en-US" w:eastAsia="zh-CN"/>
        </w:rPr>
        <w:t>详见表1.4-2。</w:t>
      </w:r>
    </w:p>
    <w:p>
      <w:pPr>
        <w:pStyle w:val="21"/>
        <w:bidi w:val="0"/>
      </w:pPr>
      <w:r>
        <w:rPr>
          <w:rFonts w:hint="eastAsia"/>
        </w:rPr>
        <w:t>表</w:t>
      </w:r>
      <w:r>
        <w:rPr>
          <w:rFonts w:hint="eastAsia"/>
          <w:lang w:val="en-US" w:eastAsia="zh-CN"/>
        </w:rPr>
        <w:t>1.4-2</w:t>
      </w:r>
      <w:r>
        <w:t xml:space="preserve">  </w:t>
      </w:r>
      <w:r>
        <w:rPr>
          <w:rFonts w:hint="eastAsia"/>
        </w:rPr>
        <w:t>废气污染物排放标准</w:t>
      </w:r>
    </w:p>
    <w:tbl>
      <w:tblPr>
        <w:tblStyle w:val="1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55"/>
        <w:gridCol w:w="1708"/>
        <w:gridCol w:w="1708"/>
        <w:gridCol w:w="1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8" w:type="pct"/>
            <w:vAlign w:val="center"/>
          </w:tcPr>
          <w:p>
            <w:pPr>
              <w:pStyle w:val="19"/>
              <w:rPr>
                <w:b/>
                <w:bCs/>
              </w:rPr>
            </w:pPr>
            <w:r>
              <w:rPr>
                <w:b/>
                <w:bCs/>
              </w:rPr>
              <w:t>生产工序或设施</w:t>
            </w:r>
          </w:p>
        </w:tc>
        <w:tc>
          <w:tcPr>
            <w:tcW w:w="920" w:type="pct"/>
            <w:vAlign w:val="center"/>
          </w:tcPr>
          <w:p>
            <w:pPr>
              <w:pStyle w:val="19"/>
              <w:rPr>
                <w:b/>
                <w:bCs/>
              </w:rPr>
            </w:pPr>
            <w:r>
              <w:rPr>
                <w:b/>
                <w:bCs/>
              </w:rPr>
              <w:t>污染物</w:t>
            </w:r>
          </w:p>
        </w:tc>
        <w:tc>
          <w:tcPr>
            <w:tcW w:w="920" w:type="pct"/>
            <w:vAlign w:val="center"/>
          </w:tcPr>
          <w:p>
            <w:pPr>
              <w:pStyle w:val="19"/>
              <w:rPr>
                <w:rFonts w:hint="eastAsia" w:eastAsia="宋体"/>
                <w:b/>
                <w:bCs/>
                <w:lang w:val="en-US" w:eastAsia="zh-CN"/>
              </w:rPr>
            </w:pPr>
            <w:r>
              <w:rPr>
                <w:rFonts w:hint="eastAsia"/>
                <w:b/>
                <w:bCs/>
                <w:lang w:val="en-US" w:eastAsia="zh-CN"/>
              </w:rPr>
              <w:t>单位</w:t>
            </w:r>
          </w:p>
        </w:tc>
        <w:tc>
          <w:tcPr>
            <w:tcW w:w="920" w:type="pct"/>
            <w:vAlign w:val="center"/>
          </w:tcPr>
          <w:p>
            <w:pPr>
              <w:pStyle w:val="19"/>
              <w:rPr>
                <w:b/>
                <w:bCs/>
              </w:rPr>
            </w:pPr>
            <w:r>
              <w:rPr>
                <w:b/>
                <w:bCs/>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8" w:type="pct"/>
            <w:vMerge w:val="restart"/>
            <w:vAlign w:val="center"/>
          </w:tcPr>
          <w:p>
            <w:pPr>
              <w:pStyle w:val="19"/>
            </w:pPr>
            <w:r>
              <w:rPr>
                <w:rFonts w:hint="eastAsia"/>
              </w:rPr>
              <w:t>电弧炉</w:t>
            </w:r>
          </w:p>
        </w:tc>
        <w:tc>
          <w:tcPr>
            <w:tcW w:w="920" w:type="pct"/>
            <w:vAlign w:val="center"/>
          </w:tcPr>
          <w:p>
            <w:pPr>
              <w:pStyle w:val="19"/>
            </w:pPr>
            <w:r>
              <w:t>颗粒物</w:t>
            </w:r>
          </w:p>
        </w:tc>
        <w:tc>
          <w:tcPr>
            <w:tcW w:w="920" w:type="pct"/>
            <w:vAlign w:val="center"/>
          </w:tcPr>
          <w:p>
            <w:pPr>
              <w:pStyle w:val="19"/>
            </w:pPr>
            <w:r>
              <w:t>mg</w:t>
            </w:r>
            <w:r>
              <w:rPr>
                <w:rFonts w:hint="eastAsia"/>
              </w:rPr>
              <w:t>/m</w:t>
            </w:r>
            <w:r>
              <w:rPr>
                <w:rFonts w:hint="eastAsia"/>
                <w:vertAlign w:val="superscript"/>
              </w:rPr>
              <w:t>3</w:t>
            </w:r>
          </w:p>
        </w:tc>
        <w:tc>
          <w:tcPr>
            <w:tcW w:w="920" w:type="pct"/>
            <w:vAlign w:val="center"/>
          </w:tcPr>
          <w:p>
            <w:pPr>
              <w:pStyle w:val="19"/>
            </w:pPr>
            <w: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8" w:type="pct"/>
            <w:vMerge w:val="continue"/>
            <w:vAlign w:val="center"/>
          </w:tcPr>
          <w:p>
            <w:pPr>
              <w:pStyle w:val="19"/>
              <w:rPr>
                <w:rFonts w:hint="eastAsia"/>
              </w:rPr>
            </w:pPr>
          </w:p>
        </w:tc>
        <w:tc>
          <w:tcPr>
            <w:tcW w:w="920" w:type="pct"/>
            <w:vAlign w:val="center"/>
          </w:tcPr>
          <w:p>
            <w:pPr>
              <w:pStyle w:val="19"/>
              <w:rPr>
                <w:rFonts w:hint="default" w:eastAsia="宋体"/>
                <w:lang w:val="en-US" w:eastAsia="zh-CN"/>
              </w:rPr>
            </w:pPr>
            <w:r>
              <w:rPr>
                <w:rFonts w:hint="eastAsia"/>
                <w:lang w:val="en-US" w:eastAsia="zh-CN"/>
              </w:rPr>
              <w:t>氟化物</w:t>
            </w:r>
          </w:p>
        </w:tc>
        <w:tc>
          <w:tcPr>
            <w:tcW w:w="920" w:type="pct"/>
            <w:vAlign w:val="center"/>
          </w:tcPr>
          <w:p>
            <w:pPr>
              <w:pStyle w:val="19"/>
            </w:pPr>
            <w:r>
              <w:t>mg</w:t>
            </w:r>
            <w:r>
              <w:rPr>
                <w:rFonts w:hint="eastAsia"/>
              </w:rPr>
              <w:t>/m</w:t>
            </w:r>
            <w:r>
              <w:rPr>
                <w:rFonts w:hint="eastAsia"/>
                <w:vertAlign w:val="superscript"/>
              </w:rPr>
              <w:t>3</w:t>
            </w:r>
          </w:p>
        </w:tc>
        <w:tc>
          <w:tcPr>
            <w:tcW w:w="920" w:type="pct"/>
            <w:vAlign w:val="center"/>
          </w:tcPr>
          <w:p>
            <w:pPr>
              <w:pStyle w:val="19"/>
              <w:rPr>
                <w:rFonts w:hint="default" w:eastAsia="宋体"/>
                <w:lang w:val="en-US" w:eastAsia="zh-CN"/>
              </w:rPr>
            </w:pPr>
            <w:r>
              <w:rPr>
                <w:rFonts w:hint="eastAsia"/>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8" w:type="pct"/>
            <w:vMerge w:val="continue"/>
            <w:vAlign w:val="center"/>
          </w:tcPr>
          <w:p>
            <w:pPr>
              <w:pStyle w:val="19"/>
            </w:pPr>
          </w:p>
        </w:tc>
        <w:tc>
          <w:tcPr>
            <w:tcW w:w="920" w:type="pct"/>
            <w:vAlign w:val="center"/>
          </w:tcPr>
          <w:p>
            <w:pPr>
              <w:pStyle w:val="19"/>
            </w:pPr>
            <w:r>
              <w:rPr>
                <w:rFonts w:hint="eastAsia"/>
              </w:rPr>
              <w:t>二噁英类</w:t>
            </w:r>
          </w:p>
        </w:tc>
        <w:tc>
          <w:tcPr>
            <w:tcW w:w="920" w:type="pct"/>
            <w:vAlign w:val="center"/>
          </w:tcPr>
          <w:p>
            <w:pPr>
              <w:pStyle w:val="19"/>
              <w:rPr>
                <w:rFonts w:hint="eastAsia"/>
              </w:rPr>
            </w:pPr>
            <w:r>
              <w:rPr>
                <w:rFonts w:hint="eastAsia"/>
              </w:rPr>
              <w:t>n</w:t>
            </w:r>
            <w:r>
              <w:t>g-TEQ</w:t>
            </w:r>
            <w:r>
              <w:rPr>
                <w:rFonts w:hint="eastAsia"/>
              </w:rPr>
              <w:t>/m</w:t>
            </w:r>
            <w:r>
              <w:rPr>
                <w:rFonts w:hint="eastAsia"/>
                <w:vertAlign w:val="superscript"/>
              </w:rPr>
              <w:t>3</w:t>
            </w:r>
          </w:p>
        </w:tc>
        <w:tc>
          <w:tcPr>
            <w:tcW w:w="920" w:type="pct"/>
            <w:vAlign w:val="center"/>
          </w:tcPr>
          <w:p>
            <w:pPr>
              <w:pStyle w:val="19"/>
            </w:pPr>
            <w:r>
              <w:rPr>
                <w:rFonts w:hint="eastAsia"/>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8" w:type="pct"/>
            <w:vAlign w:val="center"/>
          </w:tcPr>
          <w:p>
            <w:pPr>
              <w:pStyle w:val="19"/>
            </w:pPr>
            <w:r>
              <w:rPr>
                <w:rFonts w:hint="eastAsia"/>
              </w:rPr>
              <w:t>LF炉、AOD炉、VOD炉、</w:t>
            </w:r>
            <w:r>
              <w:rPr>
                <w:rFonts w:hint="eastAsia"/>
                <w:lang w:eastAsia="zh-CN"/>
              </w:rPr>
              <w:t>合金熔融炉</w:t>
            </w:r>
            <w:r>
              <w:rPr>
                <w:rFonts w:hint="eastAsia"/>
              </w:rPr>
              <w:t>等</w:t>
            </w:r>
          </w:p>
        </w:tc>
        <w:tc>
          <w:tcPr>
            <w:tcW w:w="920" w:type="pct"/>
            <w:vAlign w:val="center"/>
          </w:tcPr>
          <w:p>
            <w:pPr>
              <w:pStyle w:val="19"/>
            </w:pPr>
            <w:r>
              <w:t>颗粒物</w:t>
            </w:r>
          </w:p>
        </w:tc>
        <w:tc>
          <w:tcPr>
            <w:tcW w:w="920" w:type="pct"/>
            <w:vAlign w:val="center"/>
          </w:tcPr>
          <w:p>
            <w:pPr>
              <w:pStyle w:val="19"/>
            </w:pPr>
            <w:r>
              <w:t>mg</w:t>
            </w:r>
            <w:r>
              <w:rPr>
                <w:rFonts w:hint="eastAsia"/>
              </w:rPr>
              <w:t>/m</w:t>
            </w:r>
            <w:r>
              <w:rPr>
                <w:rFonts w:hint="eastAsia"/>
                <w:vertAlign w:val="superscript"/>
              </w:rPr>
              <w:t>3</w:t>
            </w:r>
          </w:p>
        </w:tc>
        <w:tc>
          <w:tcPr>
            <w:tcW w:w="920" w:type="pct"/>
            <w:vAlign w:val="center"/>
          </w:tcPr>
          <w:p>
            <w:pPr>
              <w:pStyle w:val="19"/>
            </w:pPr>
            <w: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238" w:type="pct"/>
            <w:vMerge w:val="restart"/>
            <w:vAlign w:val="center"/>
          </w:tcPr>
          <w:p>
            <w:pPr>
              <w:pStyle w:val="19"/>
            </w:pPr>
            <w:r>
              <w:rPr>
                <w:rFonts w:hint="eastAsia"/>
              </w:rPr>
              <w:t>加热炉</w:t>
            </w:r>
          </w:p>
        </w:tc>
        <w:tc>
          <w:tcPr>
            <w:tcW w:w="920" w:type="pct"/>
            <w:vAlign w:val="center"/>
          </w:tcPr>
          <w:p>
            <w:pPr>
              <w:pStyle w:val="19"/>
            </w:pPr>
            <w:r>
              <w:t>颗粒物</w:t>
            </w:r>
          </w:p>
        </w:tc>
        <w:tc>
          <w:tcPr>
            <w:tcW w:w="920" w:type="pct"/>
            <w:vAlign w:val="center"/>
          </w:tcPr>
          <w:p>
            <w:pPr>
              <w:pStyle w:val="19"/>
            </w:pPr>
            <w:r>
              <w:t>mg</w:t>
            </w:r>
            <w:r>
              <w:rPr>
                <w:rFonts w:hint="eastAsia"/>
              </w:rPr>
              <w:t>/m</w:t>
            </w:r>
            <w:r>
              <w:rPr>
                <w:rFonts w:hint="eastAsia"/>
                <w:vertAlign w:val="superscript"/>
              </w:rPr>
              <w:t>3</w:t>
            </w:r>
          </w:p>
        </w:tc>
        <w:tc>
          <w:tcPr>
            <w:tcW w:w="920" w:type="pct"/>
            <w:vAlign w:val="center"/>
          </w:tcPr>
          <w:p>
            <w:pPr>
              <w:pStyle w:val="19"/>
            </w:pPr>
            <w:r>
              <w:t>3</w:t>
            </w: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8" w:type="pct"/>
            <w:vMerge w:val="continue"/>
            <w:vAlign w:val="center"/>
          </w:tcPr>
          <w:p>
            <w:pPr>
              <w:pStyle w:val="19"/>
            </w:pPr>
          </w:p>
        </w:tc>
        <w:tc>
          <w:tcPr>
            <w:tcW w:w="920" w:type="pct"/>
            <w:vAlign w:val="center"/>
          </w:tcPr>
          <w:p>
            <w:pPr>
              <w:pStyle w:val="19"/>
            </w:pPr>
            <w:r>
              <w:rPr>
                <w:rFonts w:hint="eastAsia"/>
              </w:rPr>
              <w:t>二氧化硫</w:t>
            </w:r>
          </w:p>
        </w:tc>
        <w:tc>
          <w:tcPr>
            <w:tcW w:w="920" w:type="pct"/>
            <w:vAlign w:val="center"/>
          </w:tcPr>
          <w:p>
            <w:pPr>
              <w:pStyle w:val="19"/>
              <w:rPr>
                <w:rFonts w:hint="eastAsia"/>
              </w:rPr>
            </w:pPr>
            <w:r>
              <w:t>mg</w:t>
            </w:r>
            <w:r>
              <w:rPr>
                <w:rFonts w:hint="eastAsia"/>
              </w:rPr>
              <w:t>/m</w:t>
            </w:r>
            <w:r>
              <w:rPr>
                <w:rFonts w:hint="eastAsia"/>
                <w:vertAlign w:val="superscript"/>
              </w:rPr>
              <w:t>3</w:t>
            </w:r>
          </w:p>
        </w:tc>
        <w:tc>
          <w:tcPr>
            <w:tcW w:w="920" w:type="pct"/>
            <w:vAlign w:val="center"/>
          </w:tcPr>
          <w:p>
            <w:pPr>
              <w:pStyle w:val="19"/>
            </w:pPr>
            <w:r>
              <w:rPr>
                <w:rFonts w:hint="eastAsia"/>
              </w:rPr>
              <w:t>1</w:t>
            </w:r>
            <w: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8" w:type="pct"/>
            <w:vMerge w:val="continue"/>
            <w:vAlign w:val="center"/>
          </w:tcPr>
          <w:p>
            <w:pPr>
              <w:pStyle w:val="19"/>
            </w:pPr>
          </w:p>
        </w:tc>
        <w:tc>
          <w:tcPr>
            <w:tcW w:w="920" w:type="pct"/>
            <w:vAlign w:val="center"/>
          </w:tcPr>
          <w:p>
            <w:pPr>
              <w:pStyle w:val="19"/>
            </w:pPr>
            <w:r>
              <w:rPr>
                <w:rFonts w:hint="eastAsia"/>
              </w:rPr>
              <w:t>氮氧化物</w:t>
            </w:r>
          </w:p>
        </w:tc>
        <w:tc>
          <w:tcPr>
            <w:tcW w:w="920" w:type="pct"/>
            <w:vAlign w:val="center"/>
          </w:tcPr>
          <w:p>
            <w:pPr>
              <w:pStyle w:val="19"/>
              <w:rPr>
                <w:rFonts w:hint="eastAsia"/>
              </w:rPr>
            </w:pPr>
            <w:r>
              <w:t>mg</w:t>
            </w:r>
            <w:r>
              <w:rPr>
                <w:rFonts w:hint="eastAsia"/>
              </w:rPr>
              <w:t>/m</w:t>
            </w:r>
            <w:r>
              <w:rPr>
                <w:rFonts w:hint="eastAsia"/>
                <w:vertAlign w:val="superscript"/>
              </w:rPr>
              <w:t>3</w:t>
            </w:r>
          </w:p>
        </w:tc>
        <w:tc>
          <w:tcPr>
            <w:tcW w:w="920" w:type="pct"/>
            <w:vAlign w:val="center"/>
          </w:tcPr>
          <w:p>
            <w:pPr>
              <w:pStyle w:val="19"/>
            </w:pPr>
            <w: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8" w:type="pct"/>
            <w:vAlign w:val="center"/>
          </w:tcPr>
          <w:p>
            <w:pPr>
              <w:pStyle w:val="19"/>
              <w:rPr>
                <w:rFonts w:hint="default" w:eastAsia="宋体"/>
                <w:lang w:val="en-US" w:eastAsia="zh-CN"/>
              </w:rPr>
            </w:pPr>
            <w:r>
              <w:rPr>
                <w:rFonts w:hint="eastAsia"/>
                <w:lang w:val="en-US" w:eastAsia="zh-CN"/>
              </w:rPr>
              <w:t>厂房外无组织监控点</w:t>
            </w:r>
          </w:p>
        </w:tc>
        <w:tc>
          <w:tcPr>
            <w:tcW w:w="920" w:type="pct"/>
            <w:vAlign w:val="center"/>
          </w:tcPr>
          <w:p>
            <w:pPr>
              <w:pStyle w:val="19"/>
              <w:ind w:firstLine="0" w:firstLineChars="0"/>
              <w:rPr>
                <w:rFonts w:hint="eastAsia" w:ascii="Times New Roman" w:hAnsi="Times New Roman" w:eastAsia="宋体" w:cs="Times New Roman"/>
                <w:color w:val="0D0D0D"/>
                <w:kern w:val="0"/>
                <w:sz w:val="21"/>
                <w:szCs w:val="21"/>
                <w:lang w:val="en-US" w:eastAsia="zh-CN" w:bidi="ar-SA"/>
              </w:rPr>
            </w:pPr>
            <w:r>
              <w:t>颗粒物</w:t>
            </w:r>
          </w:p>
        </w:tc>
        <w:tc>
          <w:tcPr>
            <w:tcW w:w="920" w:type="pct"/>
            <w:vAlign w:val="center"/>
          </w:tcPr>
          <w:p>
            <w:pPr>
              <w:pStyle w:val="19"/>
              <w:ind w:firstLine="0" w:firstLineChars="0"/>
              <w:rPr>
                <w:rFonts w:ascii="Times New Roman" w:hAnsi="Times New Roman" w:eastAsia="宋体" w:cs="Times New Roman"/>
                <w:color w:val="0D0D0D"/>
                <w:kern w:val="0"/>
                <w:sz w:val="21"/>
                <w:szCs w:val="21"/>
                <w:lang w:val="en-US" w:eastAsia="zh-CN" w:bidi="ar-SA"/>
              </w:rPr>
            </w:pPr>
            <w:r>
              <w:t>mg</w:t>
            </w:r>
            <w:r>
              <w:rPr>
                <w:rFonts w:hint="eastAsia"/>
              </w:rPr>
              <w:t>/m</w:t>
            </w:r>
            <w:r>
              <w:rPr>
                <w:rFonts w:hint="eastAsia"/>
                <w:vertAlign w:val="superscript"/>
              </w:rPr>
              <w:t>3</w:t>
            </w:r>
          </w:p>
        </w:tc>
        <w:tc>
          <w:tcPr>
            <w:tcW w:w="920" w:type="pct"/>
            <w:vAlign w:val="center"/>
          </w:tcPr>
          <w:p>
            <w:pPr>
              <w:pStyle w:val="19"/>
              <w:rPr>
                <w:rFonts w:hint="eastAsia" w:eastAsia="宋体"/>
                <w:lang w:val="en-US" w:eastAsia="zh-CN"/>
              </w:rPr>
            </w:pPr>
            <w:r>
              <w:rPr>
                <w:rFonts w:hint="eastAsia"/>
                <w:lang w:val="en-US" w:eastAsia="zh-CN"/>
              </w:rPr>
              <w:t>5</w:t>
            </w:r>
          </w:p>
        </w:tc>
      </w:tr>
    </w:tbl>
    <w:p>
      <w:pPr>
        <w:bidi w:val="0"/>
      </w:pPr>
    </w:p>
    <w:p>
      <w:pPr>
        <w:pStyle w:val="29"/>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1.5 评价等级及评价范围</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b/>
          <w:bCs/>
          <w:lang w:val="en-US" w:eastAsia="zh-CN"/>
        </w:rPr>
      </w:pPr>
      <w:r>
        <w:rPr>
          <w:rFonts w:hint="eastAsia"/>
          <w:b/>
          <w:bCs/>
          <w:lang w:val="en-US" w:eastAsia="zh-CN"/>
        </w:rPr>
        <w:t>(1) 评价等级</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highlight w:val="none"/>
        </w:rPr>
      </w:pPr>
      <w:r>
        <w:rPr>
          <w:color w:val="auto"/>
          <w:highlight w:val="none"/>
        </w:rPr>
        <w:t>根据《环境影响评价技术导则</w:t>
      </w:r>
      <w:r>
        <w:rPr>
          <w:rFonts w:hint="eastAsia"/>
          <w:color w:val="auto"/>
          <w:highlight w:val="none"/>
        </w:rPr>
        <w:t xml:space="preserve"> </w:t>
      </w:r>
      <w:r>
        <w:rPr>
          <w:color w:val="auto"/>
          <w:highlight w:val="none"/>
        </w:rPr>
        <w:t>大气环境》(HJ 2.2-2018)，选择项目污染源正常排放的主要污染源及排放参数，采用推荐的估算模型AERSCREEN分别计算各污染源的最大环境影响，然后按评价工作分级判据进行分级。</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highlight w:val="none"/>
        </w:rPr>
      </w:pPr>
      <w:r>
        <w:rPr>
          <w:color w:val="auto"/>
          <w:highlight w:val="none"/>
        </w:rPr>
        <w:t>根据项目污染源参数，分别计算项目排放主要污染物的最大地面空气质量浓度占标</w:t>
      </w:r>
      <w:r>
        <w:rPr>
          <w:i/>
          <w:iCs/>
          <w:color w:val="auto"/>
          <w:highlight w:val="none"/>
        </w:rPr>
        <w:t>P</w:t>
      </w:r>
      <w:r>
        <w:rPr>
          <w:i/>
          <w:iCs/>
          <w:color w:val="auto"/>
          <w:highlight w:val="none"/>
          <w:vertAlign w:val="subscript"/>
        </w:rPr>
        <w:t>i</w:t>
      </w:r>
      <w:r>
        <w:rPr>
          <w:color w:val="auto"/>
          <w:highlight w:val="none"/>
        </w:rPr>
        <w:t>(第</w:t>
      </w:r>
      <w:r>
        <w:rPr>
          <w:i/>
          <w:iCs/>
          <w:color w:val="auto"/>
          <w:highlight w:val="none"/>
        </w:rPr>
        <w:t>i</w:t>
      </w:r>
      <w:r>
        <w:rPr>
          <w:color w:val="auto"/>
          <w:highlight w:val="none"/>
        </w:rPr>
        <w:t>个污染物，简称</w:t>
      </w:r>
      <w:r>
        <w:rPr>
          <w:rFonts w:hint="eastAsia" w:ascii="宋体" w:hAnsi="宋体" w:cs="宋体"/>
          <w:color w:val="auto"/>
          <w:highlight w:val="none"/>
        </w:rPr>
        <w:t>“最大浓度占标率”</w:t>
      </w:r>
      <w:r>
        <w:rPr>
          <w:color w:val="auto"/>
          <w:highlight w:val="none"/>
        </w:rPr>
        <w:t>)，及第</w:t>
      </w:r>
      <w:r>
        <w:rPr>
          <w:i/>
          <w:iCs/>
          <w:color w:val="auto"/>
          <w:highlight w:val="none"/>
        </w:rPr>
        <w:t>i</w:t>
      </w:r>
      <w:r>
        <w:rPr>
          <w:color w:val="auto"/>
          <w:highlight w:val="none"/>
        </w:rPr>
        <w:t>个污染物的地面空气质量浓度达到标准值的10%时所对应的最远距离</w:t>
      </w:r>
      <w:r>
        <w:rPr>
          <w:i/>
          <w:iCs/>
          <w:color w:val="auto"/>
          <w:highlight w:val="none"/>
        </w:rPr>
        <w:t>D</w:t>
      </w:r>
      <w:r>
        <w:rPr>
          <w:i/>
          <w:iCs/>
          <w:color w:val="auto"/>
          <w:highlight w:val="none"/>
          <w:vertAlign w:val="subscript"/>
        </w:rPr>
        <w:t>10%</w:t>
      </w:r>
      <w:r>
        <w:rPr>
          <w:color w:val="auto"/>
          <w:highlight w:val="none"/>
        </w:rPr>
        <w:t>。其中</w:t>
      </w:r>
      <w:r>
        <w:rPr>
          <w:i/>
          <w:iCs/>
          <w:color w:val="auto"/>
          <w:highlight w:val="none"/>
        </w:rPr>
        <w:t>Pi</w:t>
      </w:r>
      <w:r>
        <w:rPr>
          <w:color w:val="auto"/>
          <w:highlight w:val="none"/>
        </w:rPr>
        <w:t>定义见下式：</w:t>
      </w:r>
    </w:p>
    <w:p>
      <w:pPr>
        <w:keepNext w:val="0"/>
        <w:keepLines w:val="0"/>
        <w:pageBreakBefore w:val="0"/>
        <w:widowControl w:val="0"/>
        <w:kinsoku/>
        <w:wordWrap/>
        <w:overflowPunct/>
        <w:topLinePunct w:val="0"/>
        <w:autoSpaceDE/>
        <w:autoSpaceDN/>
        <w:bidi w:val="0"/>
        <w:adjustRightInd/>
        <w:snapToGrid/>
        <w:spacing w:line="360" w:lineRule="auto"/>
        <w:textAlignment w:val="auto"/>
        <w:rPr>
          <w:color w:val="auto"/>
          <w:highlight w:val="none"/>
        </w:rPr>
      </w:pPr>
      <w:r>
        <w:rPr>
          <w:color w:val="auto"/>
          <w:highlight w:val="none"/>
        </w:rPr>
        <w:drawing>
          <wp:inline distT="0" distB="0" distL="114300" distR="114300">
            <wp:extent cx="843280" cy="410210"/>
            <wp:effectExtent l="0" t="0" r="13970" b="889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3"/>
                    <a:stretch>
                      <a:fillRect/>
                    </a:stretch>
                  </pic:blipFill>
                  <pic:spPr>
                    <a:xfrm>
                      <a:off x="0" y="0"/>
                      <a:ext cx="843280" cy="4102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highlight w:val="none"/>
        </w:rPr>
      </w:pPr>
      <w:r>
        <w:rPr>
          <w:rFonts w:hint="eastAsia"/>
          <w:color w:val="auto"/>
          <w:highlight w:val="none"/>
        </w:rPr>
        <w:t>式中，</w:t>
      </w:r>
      <w:r>
        <w:rPr>
          <w:i/>
          <w:iCs/>
          <w:color w:val="auto"/>
          <w:highlight w:val="none"/>
        </w:rPr>
        <w:t>P</w:t>
      </w:r>
      <w:r>
        <w:rPr>
          <w:i/>
          <w:iCs/>
          <w:color w:val="auto"/>
          <w:highlight w:val="none"/>
          <w:vertAlign w:val="subscript"/>
        </w:rPr>
        <w:t>i</w:t>
      </w:r>
      <w:r>
        <w:rPr>
          <w:color w:val="auto"/>
          <w:highlight w:val="none"/>
        </w:rPr>
        <w:t>——第</w:t>
      </w:r>
      <w:r>
        <w:rPr>
          <w:i/>
          <w:iCs/>
          <w:color w:val="auto"/>
          <w:highlight w:val="none"/>
        </w:rPr>
        <w:t>i</w:t>
      </w:r>
      <w:r>
        <w:rPr>
          <w:color w:val="auto"/>
          <w:highlight w:val="none"/>
        </w:rPr>
        <w:t>个污染物的最大地面空气质量浓度占标率，%；</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highlight w:val="none"/>
        </w:rPr>
      </w:pPr>
      <w:r>
        <w:rPr>
          <w:i/>
          <w:iCs/>
          <w:color w:val="auto"/>
          <w:highlight w:val="none"/>
        </w:rPr>
        <w:t>C</w:t>
      </w:r>
      <w:r>
        <w:rPr>
          <w:i/>
          <w:iCs/>
          <w:color w:val="auto"/>
          <w:highlight w:val="none"/>
          <w:vertAlign w:val="subscript"/>
        </w:rPr>
        <w:t>i</w:t>
      </w:r>
      <w:r>
        <w:rPr>
          <w:color w:val="auto"/>
          <w:highlight w:val="none"/>
        </w:rPr>
        <w:t>——采用估算模型计算出的第</w:t>
      </w:r>
      <w:r>
        <w:rPr>
          <w:i/>
          <w:iCs/>
          <w:color w:val="auto"/>
          <w:highlight w:val="none"/>
        </w:rPr>
        <w:t>i</w:t>
      </w:r>
      <w:r>
        <w:rPr>
          <w:color w:val="auto"/>
          <w:highlight w:val="none"/>
        </w:rPr>
        <w:t>个污染物的最大1h地面空气质量浓度，μg/m</w:t>
      </w:r>
      <w:r>
        <w:rPr>
          <w:color w:val="auto"/>
          <w:highlight w:val="none"/>
          <w:vertAlign w:val="superscript"/>
        </w:rPr>
        <w:t>3</w:t>
      </w:r>
      <w:r>
        <w:rPr>
          <w:color w:val="auto"/>
          <w:highlight w:val="none"/>
        </w:rPr>
        <w:t>；</w:t>
      </w:r>
    </w:p>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highlight w:val="none"/>
        </w:rPr>
      </w:pPr>
      <w:r>
        <w:rPr>
          <w:i/>
          <w:iCs/>
          <w:color w:val="auto"/>
          <w:highlight w:val="none"/>
        </w:rPr>
        <w:t>C</w:t>
      </w:r>
      <w:r>
        <w:rPr>
          <w:i/>
          <w:iCs/>
          <w:color w:val="auto"/>
          <w:highlight w:val="none"/>
          <w:vertAlign w:val="subscript"/>
        </w:rPr>
        <w:t>0</w:t>
      </w:r>
      <w:r>
        <w:rPr>
          <w:color w:val="auto"/>
          <w:highlight w:val="none"/>
          <w:vertAlign w:val="subscript"/>
        </w:rPr>
        <w:t>i</w:t>
      </w:r>
      <w:r>
        <w:rPr>
          <w:color w:val="auto"/>
          <w:highlight w:val="none"/>
        </w:rPr>
        <w:t>——第</w:t>
      </w:r>
      <w:r>
        <w:rPr>
          <w:i/>
          <w:iCs/>
          <w:color w:val="auto"/>
          <w:highlight w:val="none"/>
        </w:rPr>
        <w:t>i</w:t>
      </w:r>
      <w:r>
        <w:rPr>
          <w:color w:val="auto"/>
          <w:highlight w:val="none"/>
        </w:rPr>
        <w:t>个污染物的环境空气质量浓度标准，μg/m</w:t>
      </w:r>
      <w:r>
        <w:rPr>
          <w:color w:val="auto"/>
          <w:highlight w:val="none"/>
          <w:vertAlign w:val="superscript"/>
        </w:rPr>
        <w:t>3</w:t>
      </w:r>
      <w:r>
        <w:rPr>
          <w:color w:val="auto"/>
          <w:highlight w:val="none"/>
        </w:rPr>
        <w:t>。一般选用GB 3095中1h平均质量浓度的二级浓度限值；对该标准未包含的污染物，用导则5.2条中确定的各评价因子1h平均浓度限值。对仅有8h平均浓度限值、日平均质量浓度限值或年平均质量浓度限值的。可按2倍、3倍、6倍折算为1h平均质量浓度限值。</w:t>
      </w:r>
    </w:p>
    <w:p>
      <w:pPr>
        <w:spacing w:before="120" w:line="240" w:lineRule="auto"/>
        <w:ind w:firstLine="0" w:firstLineChars="0"/>
        <w:jc w:val="center"/>
        <w:rPr>
          <w:rFonts w:cstheme="minorBidi"/>
          <w:b/>
          <w:color w:val="auto"/>
          <w:sz w:val="21"/>
          <w:szCs w:val="52"/>
          <w:highlight w:val="none"/>
        </w:rPr>
      </w:pPr>
      <w:r>
        <w:rPr>
          <w:rFonts w:cstheme="minorBidi"/>
          <w:b/>
          <w:color w:val="auto"/>
          <w:sz w:val="21"/>
          <w:szCs w:val="52"/>
          <w:highlight w:val="none"/>
        </w:rPr>
        <w:t>表</w:t>
      </w:r>
      <w:r>
        <w:rPr>
          <w:rFonts w:hint="eastAsia" w:cstheme="minorBidi"/>
          <w:b/>
          <w:color w:val="auto"/>
          <w:sz w:val="21"/>
          <w:szCs w:val="52"/>
          <w:highlight w:val="none"/>
          <w:lang w:val="en-US" w:eastAsia="zh-CN"/>
        </w:rPr>
        <w:t>1.5-1</w:t>
      </w:r>
      <w:r>
        <w:rPr>
          <w:rFonts w:cstheme="minorBidi"/>
          <w:b/>
          <w:color w:val="auto"/>
          <w:sz w:val="21"/>
          <w:szCs w:val="52"/>
          <w:highlight w:val="none"/>
        </w:rPr>
        <w:t xml:space="preserve">  评价</w:t>
      </w:r>
      <w:r>
        <w:rPr>
          <w:rFonts w:hint="eastAsia" w:cstheme="minorBidi"/>
          <w:b/>
          <w:color w:val="auto"/>
          <w:sz w:val="21"/>
          <w:szCs w:val="52"/>
          <w:highlight w:val="none"/>
        </w:rPr>
        <w:t>等级判别表</w:t>
      </w:r>
    </w:p>
    <w:tbl>
      <w:tblPr>
        <w:tblStyle w:val="37"/>
        <w:tblW w:w="9071" w:type="dxa"/>
        <w:tblInd w:w="0" w:type="dxa"/>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2992"/>
        <w:gridCol w:w="6079"/>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992" w:type="dxa"/>
            <w:tcBorders>
              <w:left w:val="single" w:color="auto" w:sz="4" w:space="0"/>
              <w:bottom w:val="single" w:color="auto" w:sz="4" w:space="0"/>
              <w:right w:val="single" w:color="auto" w:sz="4" w:space="0"/>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bCs/>
                <w:color w:val="auto"/>
                <w:kern w:val="0"/>
                <w:sz w:val="21"/>
                <w:szCs w:val="21"/>
                <w:highlight w:val="none"/>
              </w:rPr>
            </w:pPr>
            <w:r>
              <w:rPr>
                <w:rFonts w:ascii="Times New Roman" w:hAnsi="Times New Roman" w:eastAsia="宋体"/>
                <w:b/>
                <w:bCs/>
                <w:color w:val="auto"/>
                <w:kern w:val="0"/>
                <w:sz w:val="21"/>
                <w:szCs w:val="21"/>
                <w:highlight w:val="none"/>
              </w:rPr>
              <w:t>评价工作等级</w:t>
            </w:r>
          </w:p>
        </w:tc>
        <w:tc>
          <w:tcPr>
            <w:tcW w:w="6079" w:type="dxa"/>
            <w:tcBorders>
              <w:left w:val="single" w:color="auto" w:sz="4" w:space="0"/>
              <w:bottom w:val="single" w:color="auto" w:sz="4" w:space="0"/>
              <w:right w:val="single" w:color="auto" w:sz="4" w:space="0"/>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bCs/>
                <w:color w:val="auto"/>
                <w:kern w:val="0"/>
                <w:sz w:val="21"/>
                <w:szCs w:val="21"/>
                <w:highlight w:val="none"/>
              </w:rPr>
            </w:pPr>
            <w:r>
              <w:rPr>
                <w:rFonts w:ascii="Times New Roman" w:hAnsi="Times New Roman" w:eastAsia="宋体"/>
                <w:b/>
                <w:bCs/>
                <w:color w:val="auto"/>
                <w:kern w:val="0"/>
                <w:sz w:val="21"/>
                <w:szCs w:val="21"/>
                <w:highlight w:val="none"/>
              </w:rPr>
              <w:t>评价工作等级判据</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992" w:type="dxa"/>
            <w:tcBorders>
              <w:top w:val="single" w:color="auto" w:sz="4" w:space="0"/>
              <w:left w:val="single" w:color="auto" w:sz="4" w:space="0"/>
              <w:bottom w:val="single" w:color="auto" w:sz="4" w:space="0"/>
              <w:right w:val="single" w:color="auto" w:sz="4" w:space="0"/>
            </w:tcBorders>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一级</w:t>
            </w:r>
          </w:p>
        </w:tc>
        <w:tc>
          <w:tcPr>
            <w:tcW w:w="6079" w:type="dxa"/>
            <w:tcBorders>
              <w:top w:val="single" w:color="auto" w:sz="4" w:space="0"/>
              <w:left w:val="single" w:color="auto" w:sz="4" w:space="0"/>
              <w:bottom w:val="single" w:color="auto" w:sz="4" w:space="0"/>
              <w:right w:val="single" w:color="auto" w:sz="4" w:space="0"/>
            </w:tcBorders>
            <w:shd w:val="clear" w:color="auto" w:fill="auto"/>
            <w:vAlign w:val="center"/>
          </w:tcPr>
          <w:p>
            <w:pPr>
              <w:snapToGrid w:val="0"/>
              <w:spacing w:line="360" w:lineRule="exact"/>
              <w:ind w:firstLine="0" w:firstLineChars="0"/>
              <w:jc w:val="left"/>
              <w:rPr>
                <w:color w:val="auto"/>
                <w:kern w:val="0"/>
                <w:sz w:val="21"/>
                <w:szCs w:val="21"/>
                <w:highlight w:val="none"/>
              </w:rPr>
            </w:pPr>
            <w:r>
              <w:rPr>
                <w:i/>
                <w:iCs/>
                <w:color w:val="auto"/>
                <w:kern w:val="0"/>
                <w:sz w:val="21"/>
                <w:szCs w:val="21"/>
                <w:highlight w:val="none"/>
              </w:rPr>
              <w:t>P</w:t>
            </w:r>
            <w:r>
              <w:rPr>
                <w:i/>
                <w:iCs/>
                <w:color w:val="auto"/>
                <w:kern w:val="0"/>
                <w:sz w:val="21"/>
                <w:szCs w:val="21"/>
                <w:highlight w:val="none"/>
                <w:vertAlign w:val="subscript"/>
              </w:rPr>
              <w:t>max</w:t>
            </w:r>
            <w:r>
              <w:rPr>
                <w:color w:val="auto"/>
                <w:kern w:val="0"/>
                <w:sz w:val="21"/>
                <w:szCs w:val="21"/>
                <w:highlight w:val="none"/>
              </w:rPr>
              <w:t>≥10%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992" w:type="dxa"/>
            <w:tcBorders>
              <w:top w:val="single" w:color="auto" w:sz="4" w:space="0"/>
              <w:left w:val="single" w:color="auto" w:sz="4" w:space="0"/>
              <w:bottom w:val="single" w:color="auto" w:sz="4" w:space="0"/>
              <w:right w:val="single" w:color="auto" w:sz="4" w:space="0"/>
            </w:tcBorders>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二级</w:t>
            </w:r>
          </w:p>
        </w:tc>
        <w:tc>
          <w:tcPr>
            <w:tcW w:w="6079" w:type="dxa"/>
            <w:tcBorders>
              <w:top w:val="single" w:color="auto" w:sz="4" w:space="0"/>
              <w:left w:val="single" w:color="auto" w:sz="4" w:space="0"/>
              <w:bottom w:val="single" w:color="auto" w:sz="4" w:space="0"/>
              <w:right w:val="single" w:color="auto" w:sz="4" w:space="0"/>
            </w:tcBorders>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1%≤</w:t>
            </w:r>
            <w:r>
              <w:rPr>
                <w:i/>
                <w:iCs/>
                <w:color w:val="auto"/>
                <w:kern w:val="0"/>
                <w:sz w:val="21"/>
                <w:szCs w:val="21"/>
                <w:highlight w:val="none"/>
              </w:rPr>
              <w:t>P</w:t>
            </w:r>
            <w:r>
              <w:rPr>
                <w:i/>
                <w:iCs/>
                <w:color w:val="auto"/>
                <w:kern w:val="0"/>
                <w:sz w:val="21"/>
                <w:szCs w:val="21"/>
                <w:highlight w:val="none"/>
                <w:vertAlign w:val="subscript"/>
              </w:rPr>
              <w:t>max</w:t>
            </w:r>
            <w:r>
              <w:rPr>
                <w:color w:val="auto"/>
                <w:kern w:val="0"/>
                <w:sz w:val="21"/>
                <w:szCs w:val="21"/>
                <w:highlight w:val="none"/>
              </w:rPr>
              <w:t>&lt;10%</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2992" w:type="dxa"/>
            <w:tcBorders>
              <w:top w:val="single" w:color="auto" w:sz="4" w:space="0"/>
              <w:left w:val="single" w:color="auto" w:sz="4" w:space="0"/>
              <w:right w:val="single" w:color="auto" w:sz="4" w:space="0"/>
            </w:tcBorders>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三级</w:t>
            </w:r>
          </w:p>
        </w:tc>
        <w:tc>
          <w:tcPr>
            <w:tcW w:w="6079" w:type="dxa"/>
            <w:tcBorders>
              <w:top w:val="single" w:color="auto" w:sz="4" w:space="0"/>
              <w:left w:val="single" w:color="auto" w:sz="4" w:space="0"/>
              <w:right w:val="single" w:color="auto" w:sz="4" w:space="0"/>
            </w:tcBorders>
            <w:shd w:val="clear" w:color="auto" w:fill="auto"/>
            <w:vAlign w:val="center"/>
          </w:tcPr>
          <w:p>
            <w:pPr>
              <w:snapToGrid w:val="0"/>
              <w:spacing w:line="360" w:lineRule="exact"/>
              <w:ind w:firstLine="0" w:firstLineChars="0"/>
              <w:jc w:val="left"/>
              <w:rPr>
                <w:color w:val="auto"/>
                <w:kern w:val="0"/>
                <w:sz w:val="21"/>
                <w:szCs w:val="21"/>
                <w:highlight w:val="none"/>
              </w:rPr>
            </w:pPr>
            <w:r>
              <w:rPr>
                <w:i/>
                <w:iCs/>
                <w:color w:val="auto"/>
                <w:kern w:val="0"/>
                <w:sz w:val="21"/>
                <w:szCs w:val="21"/>
                <w:highlight w:val="none"/>
              </w:rPr>
              <w:t>P</w:t>
            </w:r>
            <w:r>
              <w:rPr>
                <w:i/>
                <w:iCs/>
                <w:color w:val="auto"/>
                <w:kern w:val="0"/>
                <w:sz w:val="21"/>
                <w:szCs w:val="21"/>
                <w:highlight w:val="none"/>
                <w:vertAlign w:val="subscript"/>
              </w:rPr>
              <w:t>max</w:t>
            </w:r>
            <w:r>
              <w:rPr>
                <w:color w:val="auto"/>
                <w:kern w:val="0"/>
                <w:sz w:val="21"/>
                <w:szCs w:val="21"/>
                <w:highlight w:val="none"/>
              </w:rPr>
              <w:t xml:space="preserve">&lt;1% </w:t>
            </w:r>
          </w:p>
        </w:tc>
      </w:tr>
    </w:tbl>
    <w:p>
      <w:pPr>
        <w:keepNext w:val="0"/>
        <w:keepLines w:val="0"/>
        <w:pageBreakBefore w:val="0"/>
        <w:widowControl w:val="0"/>
        <w:kinsoku/>
        <w:wordWrap/>
        <w:overflowPunct/>
        <w:topLinePunct w:val="0"/>
        <w:autoSpaceDE/>
        <w:autoSpaceDN/>
        <w:bidi w:val="0"/>
        <w:adjustRightInd/>
        <w:snapToGrid/>
        <w:spacing w:line="480" w:lineRule="exact"/>
        <w:textAlignment w:val="auto"/>
        <w:rPr>
          <w:snapToGrid w:val="0"/>
          <w:color w:val="auto"/>
          <w:highlight w:val="none"/>
        </w:rPr>
      </w:pPr>
      <w:r>
        <w:rPr>
          <w:rFonts w:hint="eastAsia"/>
          <w:color w:val="auto"/>
          <w:highlight w:val="none"/>
        </w:rPr>
        <w:t>根据《环境影响评价技术导则 大气环境》(HJ 2.2-2018)相关要求：项目周边3km范围内</w:t>
      </w:r>
      <w:r>
        <w:rPr>
          <w:rFonts w:hint="eastAsia"/>
          <w:color w:val="auto"/>
          <w:highlight w:val="none"/>
          <w:lang w:eastAsia="zh-CN"/>
        </w:rPr>
        <w:t>，</w:t>
      </w:r>
      <w:r>
        <w:rPr>
          <w:rFonts w:hint="eastAsia"/>
          <w:color w:val="auto"/>
          <w:highlight w:val="none"/>
        </w:rPr>
        <w:t>城市建成区面积占比不足50%，因此城市/农村选项选择农村；农用地占地面积最大，因此土地利用类型选择农作地。最高、最低环境温度采用</w:t>
      </w:r>
      <w:r>
        <w:rPr>
          <w:rFonts w:hint="eastAsia"/>
          <w:color w:val="auto"/>
          <w:highlight w:val="none"/>
          <w:lang w:val="en-US" w:eastAsia="zh-CN"/>
        </w:rPr>
        <w:t>蚌埠市</w:t>
      </w:r>
      <w:r>
        <w:rPr>
          <w:rFonts w:hint="eastAsia"/>
          <w:color w:val="auto"/>
          <w:highlight w:val="none"/>
        </w:rPr>
        <w:t>气象站气象观测资料统计极值。</w:t>
      </w:r>
      <w:r>
        <w:rPr>
          <w:rFonts w:hint="eastAsia"/>
          <w:color w:val="auto"/>
          <w:highlight w:val="none"/>
          <w:lang w:val="en-US" w:eastAsia="zh-CN"/>
        </w:rPr>
        <w:t>项目</w:t>
      </w:r>
      <w:r>
        <w:rPr>
          <w:rFonts w:hint="eastAsia"/>
          <w:color w:val="auto"/>
          <w:highlight w:val="none"/>
        </w:rPr>
        <w:t>3km范围内没有大型水体，不考虑岸边熏烟。</w:t>
      </w:r>
      <w:r>
        <w:rPr>
          <w:snapToGrid w:val="0"/>
          <w:color w:val="auto"/>
          <w:highlight w:val="none"/>
        </w:rPr>
        <w:t>估算模型参数表见表</w:t>
      </w:r>
      <w:r>
        <w:rPr>
          <w:rFonts w:hint="eastAsia"/>
          <w:snapToGrid w:val="0"/>
          <w:color w:val="auto"/>
          <w:highlight w:val="none"/>
          <w:lang w:val="en-US" w:eastAsia="zh-CN"/>
        </w:rPr>
        <w:t>1.5</w:t>
      </w:r>
      <w:r>
        <w:rPr>
          <w:rFonts w:hint="eastAsia"/>
          <w:snapToGrid w:val="0"/>
          <w:color w:val="auto"/>
          <w:highlight w:val="none"/>
        </w:rPr>
        <w:t>-</w:t>
      </w:r>
      <w:r>
        <w:rPr>
          <w:snapToGrid w:val="0"/>
          <w:color w:val="auto"/>
          <w:highlight w:val="none"/>
        </w:rPr>
        <w:t>2。</w:t>
      </w:r>
    </w:p>
    <w:p>
      <w:pPr>
        <w:spacing w:before="120" w:line="240" w:lineRule="auto"/>
        <w:ind w:firstLine="0" w:firstLineChars="0"/>
        <w:jc w:val="center"/>
        <w:rPr>
          <w:rFonts w:cstheme="minorBidi"/>
          <w:b/>
          <w:color w:val="auto"/>
          <w:sz w:val="21"/>
          <w:szCs w:val="52"/>
          <w:highlight w:val="none"/>
        </w:rPr>
      </w:pPr>
      <w:r>
        <w:rPr>
          <w:rFonts w:cstheme="minorBidi"/>
          <w:b/>
          <w:color w:val="auto"/>
          <w:sz w:val="21"/>
          <w:szCs w:val="52"/>
          <w:highlight w:val="none"/>
        </w:rPr>
        <w:t>表</w:t>
      </w:r>
      <w:r>
        <w:rPr>
          <w:rFonts w:hint="eastAsia" w:cstheme="minorBidi"/>
          <w:b/>
          <w:color w:val="auto"/>
          <w:sz w:val="21"/>
          <w:szCs w:val="52"/>
          <w:highlight w:val="none"/>
          <w:lang w:val="en-US" w:eastAsia="zh-CN"/>
        </w:rPr>
        <w:t>1.5-2</w:t>
      </w:r>
      <w:r>
        <w:rPr>
          <w:rFonts w:cstheme="minorBidi"/>
          <w:b/>
          <w:color w:val="auto"/>
          <w:sz w:val="21"/>
          <w:szCs w:val="52"/>
          <w:highlight w:val="none"/>
        </w:rPr>
        <w:t xml:space="preserve">  估算模型参数表</w:t>
      </w:r>
    </w:p>
    <w:tbl>
      <w:tblPr>
        <w:tblStyle w:val="3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3599"/>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pct"/>
            <w:gridSpan w:val="2"/>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bCs/>
                <w:color w:val="auto"/>
                <w:kern w:val="0"/>
                <w:sz w:val="21"/>
                <w:szCs w:val="21"/>
                <w:highlight w:val="none"/>
              </w:rPr>
            </w:pPr>
            <w:r>
              <w:rPr>
                <w:rFonts w:ascii="Times New Roman" w:hAnsi="Times New Roman" w:eastAsia="宋体"/>
                <w:b/>
                <w:bCs/>
                <w:color w:val="auto"/>
                <w:kern w:val="0"/>
                <w:sz w:val="21"/>
                <w:szCs w:val="21"/>
                <w:highlight w:val="none"/>
              </w:rPr>
              <w:t>参数</w:t>
            </w:r>
          </w:p>
        </w:tc>
        <w:tc>
          <w:tcPr>
            <w:tcW w:w="1530"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bCs/>
                <w:color w:val="auto"/>
                <w:kern w:val="0"/>
                <w:sz w:val="21"/>
                <w:szCs w:val="21"/>
                <w:highlight w:val="none"/>
              </w:rPr>
            </w:pPr>
            <w:r>
              <w:rPr>
                <w:rFonts w:ascii="Times New Roman" w:hAnsi="Times New Roman" w:eastAsia="宋体"/>
                <w:b/>
                <w:bCs/>
                <w:color w:val="auto"/>
                <w:kern w:val="0"/>
                <w:sz w:val="21"/>
                <w:szCs w:val="21"/>
                <w:highlight w:val="none"/>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pct"/>
            <w:vMerge w:val="restar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城市/农村选项</w:t>
            </w:r>
          </w:p>
        </w:tc>
        <w:tc>
          <w:tcPr>
            <w:tcW w:w="1939"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城市/农村</w:t>
            </w:r>
          </w:p>
        </w:tc>
        <w:tc>
          <w:tcPr>
            <w:tcW w:w="1530"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30"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1939"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人口数(城市选项时)</w:t>
            </w:r>
          </w:p>
        </w:tc>
        <w:tc>
          <w:tcPr>
            <w:tcW w:w="1530"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pct"/>
            <w:gridSpan w:val="2"/>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最高环境温度/℃</w:t>
            </w:r>
          </w:p>
        </w:tc>
        <w:tc>
          <w:tcPr>
            <w:tcW w:w="1530" w:type="pct"/>
            <w:shd w:val="clear" w:color="auto" w:fill="auto"/>
            <w:vAlign w:val="center"/>
          </w:tcPr>
          <w:p>
            <w:pPr>
              <w:snapToGrid w:val="0"/>
              <w:spacing w:line="360" w:lineRule="exact"/>
              <w:ind w:firstLine="0" w:firstLineChars="0"/>
              <w:jc w:val="left"/>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pct"/>
            <w:gridSpan w:val="2"/>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最低环境温度/℃</w:t>
            </w:r>
          </w:p>
        </w:tc>
        <w:tc>
          <w:tcPr>
            <w:tcW w:w="1530" w:type="pct"/>
            <w:shd w:val="clear" w:color="auto" w:fill="auto"/>
            <w:vAlign w:val="center"/>
          </w:tcPr>
          <w:p>
            <w:pPr>
              <w:snapToGrid w:val="0"/>
              <w:spacing w:line="360" w:lineRule="exact"/>
              <w:ind w:firstLine="0" w:firstLineChars="0"/>
              <w:jc w:val="left"/>
              <w:rPr>
                <w:rFonts w:hint="default" w:eastAsia="宋体"/>
                <w:color w:val="auto"/>
                <w:kern w:val="0"/>
                <w:sz w:val="21"/>
                <w:szCs w:val="21"/>
                <w:highlight w:val="none"/>
                <w:lang w:val="en-US" w:eastAsia="zh-CN"/>
              </w:rPr>
            </w:pPr>
            <w:r>
              <w:rPr>
                <w:rFonts w:hint="eastAsia"/>
                <w:color w:val="auto"/>
                <w:kern w:val="0"/>
                <w:sz w:val="21"/>
                <w:szCs w:val="21"/>
                <w:highlight w:val="none"/>
              </w:rPr>
              <w:t>-</w:t>
            </w:r>
            <w:r>
              <w:rPr>
                <w:rFonts w:hint="eastAsia"/>
                <w:color w:val="auto"/>
                <w:kern w:val="0"/>
                <w:sz w:val="21"/>
                <w:szCs w:val="21"/>
                <w:highlight w:val="no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pct"/>
            <w:gridSpan w:val="2"/>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土地利用类型</w:t>
            </w:r>
          </w:p>
        </w:tc>
        <w:tc>
          <w:tcPr>
            <w:tcW w:w="1530"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3469" w:type="pct"/>
            <w:gridSpan w:val="2"/>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区域湿度条件</w:t>
            </w:r>
          </w:p>
        </w:tc>
        <w:tc>
          <w:tcPr>
            <w:tcW w:w="1530" w:type="pct"/>
            <w:shd w:val="clear" w:color="auto" w:fill="auto"/>
            <w:vAlign w:val="center"/>
          </w:tcPr>
          <w:p>
            <w:pPr>
              <w:snapToGrid w:val="0"/>
              <w:spacing w:line="360" w:lineRule="exact"/>
              <w:ind w:firstLine="0" w:firstLineChars="0"/>
              <w:jc w:val="left"/>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中等湿度气候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pct"/>
            <w:vMerge w:val="restar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是否考虑地形</w:t>
            </w:r>
          </w:p>
        </w:tc>
        <w:tc>
          <w:tcPr>
            <w:tcW w:w="1939"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考虑地形</w:t>
            </w:r>
          </w:p>
        </w:tc>
        <w:tc>
          <w:tcPr>
            <w:tcW w:w="1530"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1939"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地形数据分辨率/m</w:t>
            </w:r>
          </w:p>
        </w:tc>
        <w:tc>
          <w:tcPr>
            <w:tcW w:w="1530"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90m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pct"/>
            <w:vMerge w:val="restar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是否考虑岸线熏烟</w:t>
            </w:r>
          </w:p>
        </w:tc>
        <w:tc>
          <w:tcPr>
            <w:tcW w:w="1939"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考虑岸线熏烟</w:t>
            </w:r>
          </w:p>
        </w:tc>
        <w:tc>
          <w:tcPr>
            <w:tcW w:w="1530"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是    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1939"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岸线距离/km</w:t>
            </w:r>
          </w:p>
        </w:tc>
        <w:tc>
          <w:tcPr>
            <w:tcW w:w="1530"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0"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1939"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岸线方向/°</w:t>
            </w:r>
          </w:p>
        </w:tc>
        <w:tc>
          <w:tcPr>
            <w:tcW w:w="1530" w:type="pct"/>
            <w:shd w:val="clear" w:color="auto" w:fill="auto"/>
            <w:vAlign w:val="center"/>
          </w:tcPr>
          <w:p>
            <w:pPr>
              <w:snapToGrid w:val="0"/>
              <w:spacing w:line="360" w:lineRule="exact"/>
              <w:ind w:firstLine="0" w:firstLineChars="0"/>
              <w:jc w:val="left"/>
              <w:rPr>
                <w:color w:val="auto"/>
                <w:kern w:val="0"/>
                <w:sz w:val="21"/>
                <w:szCs w:val="21"/>
                <w:highlight w:val="none"/>
              </w:rPr>
            </w:pPr>
            <w:r>
              <w:rPr>
                <w:color w:val="auto"/>
                <w:kern w:val="0"/>
                <w:sz w:val="21"/>
                <w:szCs w:val="21"/>
                <w:highlight w:val="none"/>
              </w:rPr>
              <w:t>/</w:t>
            </w:r>
          </w:p>
        </w:tc>
      </w:tr>
    </w:tbl>
    <w:p>
      <w:pPr>
        <w:widowControl/>
        <w:spacing w:line="480" w:lineRule="exact"/>
        <w:rPr>
          <w:kern w:val="0"/>
        </w:rPr>
      </w:pPr>
    </w:p>
    <w:p>
      <w:pPr>
        <w:pStyle w:val="21"/>
        <w:bidi w:val="0"/>
        <w:rPr>
          <w:rFonts w:hint="eastAsia" w:eastAsia="宋体"/>
          <w:lang w:eastAsia="zh-CN"/>
        </w:rPr>
      </w:pPr>
      <w:r>
        <w:rPr>
          <w:rFonts w:hint="eastAsia" w:eastAsia="宋体"/>
          <w:lang w:eastAsia="zh-CN"/>
        </w:rPr>
        <w:drawing>
          <wp:inline distT="0" distB="0" distL="114300" distR="114300">
            <wp:extent cx="5400040" cy="3820795"/>
            <wp:effectExtent l="0" t="0" r="10160" b="8255"/>
            <wp:docPr id="10" name="图片 10" descr="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土地利用"/>
                    <pic:cNvPicPr>
                      <a:picLocks noChangeAspect="1"/>
                    </pic:cNvPicPr>
                  </pic:nvPicPr>
                  <pic:blipFill>
                    <a:blip r:embed="rId34"/>
                    <a:stretch>
                      <a:fillRect/>
                    </a:stretch>
                  </pic:blipFill>
                  <pic:spPr>
                    <a:xfrm>
                      <a:off x="0" y="0"/>
                      <a:ext cx="5400040" cy="3820795"/>
                    </a:xfrm>
                    <a:prstGeom prst="rect">
                      <a:avLst/>
                    </a:prstGeom>
                  </pic:spPr>
                </pic:pic>
              </a:graphicData>
            </a:graphic>
          </wp:inline>
        </w:drawing>
      </w:r>
    </w:p>
    <w:p>
      <w:pPr>
        <w:spacing w:after="120" w:line="240" w:lineRule="auto"/>
        <w:ind w:firstLine="0" w:firstLineChars="0"/>
        <w:jc w:val="center"/>
        <w:rPr>
          <w:rFonts w:hint="eastAsia" w:cstheme="minorBidi"/>
          <w:b/>
          <w:bCs/>
          <w:color w:val="auto"/>
          <w:sz w:val="21"/>
          <w:szCs w:val="32"/>
          <w:highlight w:val="none"/>
        </w:rPr>
      </w:pPr>
      <w:r>
        <w:rPr>
          <w:rFonts w:hint="eastAsia" w:cstheme="minorBidi"/>
          <w:b/>
          <w:bCs/>
          <w:color w:val="auto"/>
          <w:sz w:val="21"/>
          <w:szCs w:val="32"/>
          <w:highlight w:val="none"/>
        </w:rPr>
        <w:t>图</w:t>
      </w:r>
      <w:r>
        <w:rPr>
          <w:rFonts w:hint="eastAsia" w:cstheme="minorBidi"/>
          <w:b/>
          <w:bCs/>
          <w:color w:val="auto"/>
          <w:sz w:val="21"/>
          <w:szCs w:val="32"/>
          <w:highlight w:val="none"/>
          <w:lang w:val="en-US" w:eastAsia="zh-CN"/>
        </w:rPr>
        <w:t>1.5</w:t>
      </w:r>
      <w:r>
        <w:rPr>
          <w:rFonts w:hint="eastAsia" w:cstheme="minorBidi"/>
          <w:b/>
          <w:bCs/>
          <w:color w:val="auto"/>
          <w:sz w:val="21"/>
          <w:szCs w:val="32"/>
          <w:highlight w:val="none"/>
        </w:rPr>
        <w:t>-1  项目周边3km范围土地利用类型图</w:t>
      </w:r>
    </w:p>
    <w:p>
      <w:pPr>
        <w:pStyle w:val="21"/>
        <w:bidi w:val="0"/>
        <w:rPr>
          <w:rFonts w:hint="eastAsia" w:eastAsia="宋体"/>
          <w:lang w:eastAsia="zh-CN"/>
        </w:rPr>
      </w:pPr>
      <w:r>
        <w:rPr>
          <w:rFonts w:hint="eastAsia" w:eastAsia="宋体"/>
          <w:lang w:eastAsia="zh-CN"/>
        </w:rPr>
        <w:drawing>
          <wp:inline distT="0" distB="0" distL="114300" distR="114300">
            <wp:extent cx="5400040" cy="3820795"/>
            <wp:effectExtent l="0" t="0" r="10160" b="8255"/>
            <wp:docPr id="11" name="图片 11" descr="区域地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区域地形图"/>
                    <pic:cNvPicPr>
                      <a:picLocks noChangeAspect="1"/>
                    </pic:cNvPicPr>
                  </pic:nvPicPr>
                  <pic:blipFill>
                    <a:blip r:embed="rId35"/>
                    <a:stretch>
                      <a:fillRect/>
                    </a:stretch>
                  </pic:blipFill>
                  <pic:spPr>
                    <a:xfrm>
                      <a:off x="0" y="0"/>
                      <a:ext cx="5400040" cy="3820795"/>
                    </a:xfrm>
                    <a:prstGeom prst="rect">
                      <a:avLst/>
                    </a:prstGeom>
                  </pic:spPr>
                </pic:pic>
              </a:graphicData>
            </a:graphic>
          </wp:inline>
        </w:drawing>
      </w:r>
    </w:p>
    <w:p>
      <w:pPr>
        <w:pStyle w:val="23"/>
        <w:keepNext w:val="0"/>
        <w:keepLines w:val="0"/>
        <w:pageBreakBefore w:val="0"/>
        <w:widowControl w:val="0"/>
        <w:kinsoku/>
        <w:wordWrap/>
        <w:overflowPunct/>
        <w:topLinePunct w:val="0"/>
        <w:autoSpaceDE/>
        <w:autoSpaceDN/>
        <w:bidi w:val="0"/>
        <w:adjustRightInd/>
        <w:snapToGrid/>
        <w:spacing w:after="0"/>
        <w:textAlignment w:val="auto"/>
      </w:pPr>
      <w:r>
        <w:rPr>
          <w:rFonts w:hint="eastAsia"/>
        </w:rPr>
        <w:t>图</w:t>
      </w:r>
      <w:r>
        <w:rPr>
          <w:rFonts w:hint="eastAsia"/>
          <w:lang w:val="en-US" w:eastAsia="zh-CN"/>
        </w:rPr>
        <w:t>1.5</w:t>
      </w:r>
      <w:r>
        <w:rPr>
          <w:rFonts w:hint="eastAsia"/>
        </w:rPr>
        <w:t>-2  区域地形高程示意图</w:t>
      </w:r>
    </w:p>
    <w:p>
      <w:pPr>
        <w:pStyle w:val="21"/>
        <w:keepNext w:val="0"/>
        <w:keepLines w:val="0"/>
        <w:pageBreakBefore w:val="0"/>
        <w:widowControl w:val="0"/>
        <w:kinsoku/>
        <w:wordWrap/>
        <w:overflowPunct/>
        <w:topLinePunct w:val="0"/>
        <w:autoSpaceDE/>
        <w:autoSpaceDN/>
        <w:bidi w:val="0"/>
        <w:adjustRightInd/>
        <w:snapToGrid/>
        <w:spacing w:before="0"/>
        <w:textAlignment w:val="auto"/>
        <w:rPr>
          <w:rFonts w:hint="eastAsia" w:eastAsia="宋体"/>
          <w:lang w:eastAsia="zh-CN"/>
        </w:rPr>
      </w:pPr>
      <w:r>
        <w:rPr>
          <w:rFonts w:hint="eastAsia" w:eastAsia="宋体"/>
          <w:lang w:eastAsia="zh-CN"/>
        </w:rPr>
        <w:drawing>
          <wp:inline distT="0" distB="0" distL="114300" distR="114300">
            <wp:extent cx="5400040" cy="4514215"/>
            <wp:effectExtent l="0" t="0" r="10160" b="635"/>
            <wp:docPr id="5" name="图片 5" descr="中国干湿情况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中国干湿情况分布图"/>
                    <pic:cNvPicPr>
                      <a:picLocks noChangeAspect="1"/>
                    </pic:cNvPicPr>
                  </pic:nvPicPr>
                  <pic:blipFill>
                    <a:blip r:embed="rId36"/>
                    <a:stretch>
                      <a:fillRect/>
                    </a:stretch>
                  </pic:blipFill>
                  <pic:spPr>
                    <a:xfrm>
                      <a:off x="0" y="0"/>
                      <a:ext cx="5400040" cy="4514215"/>
                    </a:xfrm>
                    <a:prstGeom prst="rect">
                      <a:avLst/>
                    </a:prstGeom>
                  </pic:spPr>
                </pic:pic>
              </a:graphicData>
            </a:graphic>
          </wp:inline>
        </w:drawing>
      </w:r>
    </w:p>
    <w:p>
      <w:pPr>
        <w:spacing w:after="120" w:line="240" w:lineRule="auto"/>
        <w:ind w:firstLine="0" w:firstLineChars="0"/>
        <w:jc w:val="center"/>
        <w:rPr>
          <w:rFonts w:cstheme="minorBidi"/>
          <w:b/>
          <w:bCs/>
          <w:color w:val="auto"/>
          <w:sz w:val="21"/>
          <w:szCs w:val="32"/>
          <w:highlight w:val="none"/>
        </w:rPr>
      </w:pPr>
      <w:r>
        <w:rPr>
          <w:rFonts w:hint="eastAsia" w:cstheme="minorBidi"/>
          <w:b/>
          <w:bCs/>
          <w:color w:val="auto"/>
          <w:sz w:val="21"/>
          <w:szCs w:val="32"/>
          <w:highlight w:val="none"/>
        </w:rPr>
        <w:t>图</w:t>
      </w:r>
      <w:r>
        <w:rPr>
          <w:rFonts w:hint="eastAsia" w:cstheme="minorBidi"/>
          <w:b/>
          <w:bCs/>
          <w:color w:val="auto"/>
          <w:sz w:val="21"/>
          <w:szCs w:val="32"/>
          <w:highlight w:val="none"/>
          <w:lang w:val="en-US" w:eastAsia="zh-CN"/>
        </w:rPr>
        <w:t>1.5-3</w:t>
      </w:r>
      <w:r>
        <w:rPr>
          <w:rFonts w:hint="eastAsia" w:cstheme="minorBidi"/>
          <w:b/>
          <w:bCs/>
          <w:color w:val="auto"/>
          <w:sz w:val="21"/>
          <w:szCs w:val="32"/>
          <w:highlight w:val="none"/>
        </w:rPr>
        <w:t xml:space="preserve">  湿度分区示意图</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color w:val="auto"/>
          <w:highlight w:val="none"/>
        </w:rPr>
      </w:pPr>
      <w:r>
        <w:rPr>
          <w:rFonts w:hint="eastAsia"/>
          <w:color w:val="auto"/>
          <w:highlight w:val="none"/>
        </w:rPr>
        <w:t>根据上述参数，采用</w:t>
      </w:r>
      <w:r>
        <w:rPr>
          <w:rFonts w:hint="eastAsia"/>
          <w:color w:val="auto"/>
          <w:highlight w:val="none"/>
          <w:lang w:val="en-US" w:eastAsia="zh-CN"/>
        </w:rPr>
        <w:t>导则</w:t>
      </w:r>
      <w:r>
        <w:rPr>
          <w:rFonts w:hint="eastAsia"/>
          <w:color w:val="auto"/>
          <w:highlight w:val="none"/>
        </w:rPr>
        <w:t>推荐的估算模型AERSCREEN分别计算各污染源的最大环境影响，具体结果见表</w:t>
      </w:r>
      <w:r>
        <w:rPr>
          <w:rFonts w:hint="eastAsia"/>
          <w:color w:val="auto"/>
          <w:highlight w:val="none"/>
          <w:lang w:val="en-US" w:eastAsia="zh-CN"/>
        </w:rPr>
        <w:t>1.5-3</w:t>
      </w:r>
      <w:r>
        <w:rPr>
          <w:rFonts w:hint="eastAsia"/>
          <w:color w:val="auto"/>
          <w:highlight w:val="none"/>
        </w:rPr>
        <w:t>。由表可知，项目排放大气污染物的</w:t>
      </w:r>
      <w:r>
        <w:rPr>
          <w:rFonts w:hint="eastAsia" w:ascii="宋体" w:hAnsi="宋体" w:cs="宋体"/>
          <w:color w:val="auto"/>
          <w:highlight w:val="none"/>
        </w:rPr>
        <w:t>最大浓度占标</w:t>
      </w:r>
      <w:r>
        <w:rPr>
          <w:color w:val="auto"/>
          <w:highlight w:val="none"/>
        </w:rPr>
        <w:t>率为</w:t>
      </w:r>
      <w:r>
        <w:rPr>
          <w:rFonts w:hint="eastAsia"/>
          <w:color w:val="auto"/>
          <w:highlight w:val="none"/>
          <w:lang w:val="en-US" w:eastAsia="zh-CN"/>
        </w:rPr>
        <w:t>7.07</w:t>
      </w:r>
      <w:r>
        <w:rPr>
          <w:color w:val="auto"/>
          <w:highlight w:val="none"/>
        </w:rPr>
        <w:t>%</w:t>
      </w:r>
      <w:r>
        <w:rPr>
          <w:rFonts w:hint="eastAsia"/>
          <w:color w:val="auto"/>
          <w:highlight w:val="none"/>
        </w:rPr>
        <w:t>，为</w:t>
      </w:r>
      <w:r>
        <w:rPr>
          <w:rFonts w:hint="eastAsia"/>
          <w:color w:val="auto"/>
          <w:highlight w:val="none"/>
          <w:lang w:val="en-US" w:eastAsia="zh-CN"/>
        </w:rPr>
        <w:t>生产车间</w:t>
      </w:r>
      <w:r>
        <w:rPr>
          <w:rFonts w:hint="eastAsia"/>
          <w:color w:val="auto"/>
          <w:highlight w:val="none"/>
        </w:rPr>
        <w:t>无组织排放颗粒物，因此确定</w:t>
      </w:r>
      <w:r>
        <w:rPr>
          <w:rFonts w:hint="eastAsia"/>
          <w:color w:val="auto"/>
          <w:highlight w:val="none"/>
          <w:lang w:val="en-US" w:eastAsia="zh-CN"/>
        </w:rPr>
        <w:t>大气环境</w:t>
      </w:r>
      <w:r>
        <w:rPr>
          <w:rFonts w:hint="eastAsia"/>
          <w:color w:val="auto"/>
          <w:highlight w:val="none"/>
        </w:rPr>
        <w:t>评价等级为</w:t>
      </w:r>
      <w:r>
        <w:rPr>
          <w:rFonts w:hint="eastAsia"/>
          <w:color w:val="auto"/>
          <w:highlight w:val="none"/>
          <w:lang w:val="en-US" w:eastAsia="zh-CN"/>
        </w:rPr>
        <w:t>二</w:t>
      </w:r>
      <w:r>
        <w:rPr>
          <w:rFonts w:hint="eastAsia"/>
          <w:color w:val="auto"/>
          <w:highlight w:val="none"/>
        </w:rPr>
        <w:t>级。</w:t>
      </w:r>
    </w:p>
    <w:p>
      <w:pPr>
        <w:spacing w:before="120" w:line="240" w:lineRule="auto"/>
        <w:ind w:firstLine="0" w:firstLineChars="0"/>
        <w:jc w:val="center"/>
        <w:rPr>
          <w:rFonts w:cstheme="minorBidi"/>
          <w:b/>
          <w:color w:val="auto"/>
          <w:sz w:val="21"/>
          <w:szCs w:val="52"/>
          <w:highlight w:val="none"/>
        </w:rPr>
      </w:pPr>
      <w:r>
        <w:rPr>
          <w:rFonts w:hint="eastAsia" w:cstheme="minorBidi"/>
          <w:b/>
          <w:color w:val="auto"/>
          <w:sz w:val="21"/>
          <w:szCs w:val="52"/>
          <w:highlight w:val="none"/>
        </w:rPr>
        <w:t>表</w:t>
      </w:r>
      <w:r>
        <w:rPr>
          <w:rFonts w:hint="eastAsia" w:cstheme="minorBidi"/>
          <w:b/>
          <w:color w:val="auto"/>
          <w:sz w:val="21"/>
          <w:szCs w:val="52"/>
          <w:highlight w:val="none"/>
          <w:lang w:val="en-US" w:eastAsia="zh-CN"/>
        </w:rPr>
        <w:t>1.5-3</w:t>
      </w:r>
      <w:r>
        <w:rPr>
          <w:rFonts w:hint="eastAsia" w:cstheme="minorBidi"/>
          <w:b/>
          <w:color w:val="auto"/>
          <w:sz w:val="21"/>
          <w:szCs w:val="52"/>
          <w:highlight w:val="none"/>
        </w:rPr>
        <w:t xml:space="preserve">  污染源估算模型计算结果表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8"/>
        <w:gridCol w:w="1177"/>
        <w:gridCol w:w="1735"/>
        <w:gridCol w:w="1714"/>
        <w:gridCol w:w="1161"/>
        <w:gridCol w:w="1185"/>
        <w:gridCol w:w="1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61"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ascii="Times New Roman" w:hAnsi="Times New Roman" w:eastAsia="宋体"/>
                <w:b/>
                <w:bCs/>
                <w:color w:val="auto"/>
                <w:kern w:val="0"/>
                <w:sz w:val="21"/>
                <w:szCs w:val="21"/>
                <w:highlight w:val="none"/>
              </w:rPr>
              <w:t>污染源</w:t>
            </w:r>
          </w:p>
        </w:tc>
        <w:tc>
          <w:tcPr>
            <w:tcW w:w="634"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ascii="Times New Roman" w:hAnsi="Times New Roman" w:eastAsia="宋体"/>
                <w:b/>
                <w:bCs/>
                <w:color w:val="auto"/>
                <w:kern w:val="0"/>
                <w:sz w:val="21"/>
                <w:szCs w:val="21"/>
                <w:highlight w:val="none"/>
              </w:rPr>
              <w:t>污染因子</w:t>
            </w:r>
          </w:p>
        </w:tc>
        <w:tc>
          <w:tcPr>
            <w:tcW w:w="934"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hint="eastAsia" w:ascii="Times New Roman" w:hAnsi="Times New Roman" w:eastAsia="宋体"/>
                <w:b/>
                <w:bCs/>
                <w:i/>
                <w:iCs/>
                <w:color w:val="auto"/>
                <w:kern w:val="0"/>
                <w:sz w:val="21"/>
                <w:szCs w:val="21"/>
                <w:highlight w:val="none"/>
              </w:rPr>
              <w:t>C</w:t>
            </w:r>
            <w:r>
              <w:rPr>
                <w:rFonts w:hint="eastAsia" w:ascii="Times New Roman" w:hAnsi="Times New Roman" w:eastAsia="宋体"/>
                <w:b/>
                <w:bCs/>
                <w:i/>
                <w:iCs/>
                <w:color w:val="auto"/>
                <w:kern w:val="0"/>
                <w:sz w:val="21"/>
                <w:szCs w:val="21"/>
                <w:highlight w:val="none"/>
                <w:vertAlign w:val="subscript"/>
              </w:rPr>
              <w:t>i</w:t>
            </w:r>
            <w:r>
              <w:rPr>
                <w:rFonts w:ascii="Times New Roman" w:hAnsi="Times New Roman" w:eastAsia="宋体"/>
                <w:b/>
                <w:bCs/>
                <w:color w:val="auto"/>
                <w:kern w:val="0"/>
                <w:sz w:val="21"/>
                <w:szCs w:val="21"/>
                <w:highlight w:val="none"/>
              </w:rPr>
              <w:t>(μg/m</w:t>
            </w:r>
            <w:r>
              <w:rPr>
                <w:rFonts w:ascii="Times New Roman" w:hAnsi="Times New Roman" w:eastAsia="宋体"/>
                <w:b/>
                <w:bCs/>
                <w:color w:val="auto"/>
                <w:kern w:val="0"/>
                <w:sz w:val="21"/>
                <w:szCs w:val="21"/>
                <w:highlight w:val="none"/>
                <w:vertAlign w:val="superscript"/>
              </w:rPr>
              <w:t>3</w:t>
            </w:r>
            <w:r>
              <w:rPr>
                <w:rFonts w:ascii="Times New Roman" w:hAnsi="Times New Roman" w:eastAsia="宋体"/>
                <w:b/>
                <w:bCs/>
                <w:color w:val="auto"/>
                <w:kern w:val="0"/>
                <w:sz w:val="21"/>
                <w:szCs w:val="21"/>
                <w:highlight w:val="none"/>
              </w:rPr>
              <w:t>)</w:t>
            </w:r>
          </w:p>
        </w:tc>
        <w:tc>
          <w:tcPr>
            <w:tcW w:w="923"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hint="eastAsia" w:ascii="Times New Roman" w:hAnsi="Times New Roman" w:eastAsia="宋体"/>
                <w:b/>
                <w:bCs/>
                <w:i/>
                <w:iCs/>
                <w:color w:val="auto"/>
                <w:kern w:val="0"/>
                <w:sz w:val="21"/>
                <w:szCs w:val="21"/>
                <w:highlight w:val="none"/>
              </w:rPr>
              <w:t>C</w:t>
            </w:r>
            <w:r>
              <w:rPr>
                <w:rFonts w:hint="eastAsia" w:ascii="Times New Roman" w:hAnsi="Times New Roman" w:eastAsia="宋体"/>
                <w:b/>
                <w:bCs/>
                <w:i/>
                <w:iCs/>
                <w:color w:val="auto"/>
                <w:kern w:val="0"/>
                <w:sz w:val="21"/>
                <w:szCs w:val="21"/>
                <w:highlight w:val="none"/>
                <w:vertAlign w:val="subscript"/>
              </w:rPr>
              <w:t>0i</w:t>
            </w:r>
            <w:r>
              <w:rPr>
                <w:rFonts w:ascii="Times New Roman" w:hAnsi="Times New Roman" w:eastAsia="宋体"/>
                <w:b/>
                <w:bCs/>
                <w:color w:val="auto"/>
                <w:kern w:val="0"/>
                <w:sz w:val="21"/>
                <w:szCs w:val="21"/>
                <w:highlight w:val="none"/>
              </w:rPr>
              <w:t>(μg/m</w:t>
            </w:r>
            <w:r>
              <w:rPr>
                <w:rFonts w:ascii="Times New Roman" w:hAnsi="Times New Roman" w:eastAsia="宋体"/>
                <w:b/>
                <w:bCs/>
                <w:color w:val="auto"/>
                <w:kern w:val="0"/>
                <w:sz w:val="21"/>
                <w:szCs w:val="21"/>
                <w:highlight w:val="none"/>
                <w:vertAlign w:val="superscript"/>
              </w:rPr>
              <w:t>3</w:t>
            </w:r>
            <w:r>
              <w:rPr>
                <w:rFonts w:ascii="Times New Roman" w:hAnsi="Times New Roman" w:eastAsia="宋体"/>
                <w:b/>
                <w:bCs/>
                <w:color w:val="auto"/>
                <w:kern w:val="0"/>
                <w:sz w:val="21"/>
                <w:szCs w:val="21"/>
                <w:highlight w:val="none"/>
              </w:rPr>
              <w:t>)</w:t>
            </w:r>
          </w:p>
        </w:tc>
        <w:tc>
          <w:tcPr>
            <w:tcW w:w="625"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hint="eastAsia" w:ascii="Times New Roman" w:hAnsi="Times New Roman" w:eastAsia="宋体"/>
                <w:b/>
                <w:bCs/>
                <w:i/>
                <w:iCs/>
                <w:color w:val="auto"/>
                <w:kern w:val="0"/>
                <w:sz w:val="21"/>
                <w:szCs w:val="21"/>
                <w:highlight w:val="none"/>
              </w:rPr>
              <w:t>P</w:t>
            </w:r>
            <w:r>
              <w:rPr>
                <w:rFonts w:hint="eastAsia" w:ascii="Times New Roman" w:hAnsi="Times New Roman" w:eastAsia="宋体"/>
                <w:b/>
                <w:bCs/>
                <w:i/>
                <w:iCs/>
                <w:color w:val="auto"/>
                <w:kern w:val="0"/>
                <w:sz w:val="21"/>
                <w:szCs w:val="21"/>
                <w:highlight w:val="none"/>
                <w:vertAlign w:val="subscript"/>
              </w:rPr>
              <w:t>max</w:t>
            </w:r>
            <w:r>
              <w:rPr>
                <w:rFonts w:ascii="Times New Roman" w:hAnsi="Times New Roman" w:eastAsia="宋体"/>
                <w:b/>
                <w:bCs/>
                <w:color w:val="auto"/>
                <w:kern w:val="0"/>
                <w:sz w:val="21"/>
                <w:szCs w:val="21"/>
                <w:highlight w:val="none"/>
              </w:rPr>
              <w:t>(%)</w:t>
            </w:r>
          </w:p>
        </w:tc>
        <w:tc>
          <w:tcPr>
            <w:tcW w:w="638"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ascii="Times New Roman" w:hAnsi="Times New Roman" w:eastAsia="宋体"/>
                <w:b/>
                <w:bCs/>
                <w:color w:val="auto"/>
                <w:kern w:val="0"/>
                <w:sz w:val="21"/>
                <w:szCs w:val="21"/>
                <w:highlight w:val="none"/>
              </w:rPr>
              <w:t>D</w:t>
            </w:r>
            <w:r>
              <w:rPr>
                <w:rFonts w:ascii="Times New Roman" w:hAnsi="Times New Roman" w:eastAsia="宋体"/>
                <w:b/>
                <w:bCs/>
                <w:color w:val="auto"/>
                <w:kern w:val="0"/>
                <w:sz w:val="21"/>
                <w:szCs w:val="21"/>
                <w:highlight w:val="none"/>
                <w:vertAlign w:val="subscript"/>
              </w:rPr>
              <w:t>10%</w:t>
            </w:r>
            <w:r>
              <w:rPr>
                <w:rFonts w:ascii="Times New Roman" w:hAnsi="Times New Roman" w:eastAsia="宋体"/>
                <w:b/>
                <w:bCs/>
                <w:color w:val="auto"/>
                <w:kern w:val="0"/>
                <w:sz w:val="21"/>
                <w:szCs w:val="21"/>
                <w:highlight w:val="none"/>
              </w:rPr>
              <w:t>(m)</w:t>
            </w:r>
          </w:p>
        </w:tc>
        <w:tc>
          <w:tcPr>
            <w:tcW w:w="582"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ascii="Times New Roman" w:hAnsi="Times New Roman" w:eastAsia="宋体"/>
                <w:b/>
                <w:bCs/>
                <w:color w:val="auto"/>
                <w:kern w:val="0"/>
                <w:sz w:val="21"/>
                <w:szCs w:val="21"/>
                <w:highlight w:val="none"/>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1" w:type="pct"/>
            <w:vMerge w:val="restart"/>
            <w:shd w:val="clear" w:color="auto" w:fill="auto"/>
            <w:vAlign w:val="center"/>
          </w:tcPr>
          <w:p>
            <w:pPr>
              <w:snapToGrid w:val="0"/>
              <w:spacing w:line="360" w:lineRule="exact"/>
              <w:ind w:firstLine="0" w:firstLineChars="0"/>
              <w:jc w:val="left"/>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DA001</w:t>
            </w:r>
          </w:p>
        </w:tc>
        <w:tc>
          <w:tcPr>
            <w:tcW w:w="634" w:type="pct"/>
            <w:shd w:val="clear" w:color="auto" w:fill="auto"/>
            <w:vAlign w:val="center"/>
          </w:tcPr>
          <w:p>
            <w:pPr>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PM</w:t>
            </w:r>
            <w:r>
              <w:rPr>
                <w:color w:val="auto"/>
                <w:kern w:val="0"/>
                <w:sz w:val="21"/>
                <w:szCs w:val="21"/>
                <w:highlight w:val="none"/>
                <w:vertAlign w:val="subscript"/>
              </w:rPr>
              <w:t>10</w:t>
            </w:r>
          </w:p>
        </w:tc>
        <w:tc>
          <w:tcPr>
            <w:tcW w:w="934"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16.22</w:t>
            </w:r>
          </w:p>
        </w:tc>
        <w:tc>
          <w:tcPr>
            <w:tcW w:w="9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450</w:t>
            </w:r>
          </w:p>
        </w:tc>
        <w:tc>
          <w:tcPr>
            <w:tcW w:w="625"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3.60</w:t>
            </w:r>
          </w:p>
        </w:tc>
        <w:tc>
          <w:tcPr>
            <w:tcW w:w="638"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w:t>
            </w:r>
          </w:p>
        </w:tc>
        <w:tc>
          <w:tcPr>
            <w:tcW w:w="582"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1"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634" w:type="pct"/>
            <w:shd w:val="clear" w:color="auto" w:fill="auto"/>
            <w:vAlign w:val="center"/>
          </w:tcPr>
          <w:p>
            <w:pPr>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PM</w:t>
            </w:r>
            <w:r>
              <w:rPr>
                <w:color w:val="auto"/>
                <w:kern w:val="0"/>
                <w:sz w:val="21"/>
                <w:szCs w:val="21"/>
                <w:highlight w:val="none"/>
                <w:vertAlign w:val="subscript"/>
              </w:rPr>
              <w:t>2.5</w:t>
            </w:r>
          </w:p>
        </w:tc>
        <w:tc>
          <w:tcPr>
            <w:tcW w:w="934"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8.11</w:t>
            </w:r>
          </w:p>
        </w:tc>
        <w:tc>
          <w:tcPr>
            <w:tcW w:w="9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225</w:t>
            </w:r>
          </w:p>
        </w:tc>
        <w:tc>
          <w:tcPr>
            <w:tcW w:w="625"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3.60</w:t>
            </w:r>
          </w:p>
        </w:tc>
        <w:tc>
          <w:tcPr>
            <w:tcW w:w="638"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color w:val="auto"/>
                <w:sz w:val="21"/>
                <w:szCs w:val="21"/>
                <w:highlight w:val="none"/>
              </w:rPr>
              <w:t>/</w:t>
            </w:r>
          </w:p>
        </w:tc>
        <w:tc>
          <w:tcPr>
            <w:tcW w:w="582"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1"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634" w:type="pct"/>
            <w:shd w:val="clear" w:color="auto" w:fill="auto"/>
            <w:vAlign w:val="center"/>
          </w:tcPr>
          <w:p>
            <w:pPr>
              <w:snapToGrid w:val="0"/>
              <w:spacing w:line="360" w:lineRule="exact"/>
              <w:ind w:firstLine="0" w:firstLineChars="0"/>
              <w:jc w:val="left"/>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氟化物</w:t>
            </w:r>
          </w:p>
        </w:tc>
        <w:tc>
          <w:tcPr>
            <w:tcW w:w="934"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0.18</w:t>
            </w:r>
          </w:p>
        </w:tc>
        <w:tc>
          <w:tcPr>
            <w:tcW w:w="92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625"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2.55</w:t>
            </w:r>
          </w:p>
        </w:tc>
        <w:tc>
          <w:tcPr>
            <w:tcW w:w="638"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w:t>
            </w:r>
          </w:p>
        </w:tc>
        <w:tc>
          <w:tcPr>
            <w:tcW w:w="582"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1"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634" w:type="pct"/>
            <w:shd w:val="clear" w:color="auto" w:fill="auto"/>
            <w:vAlign w:val="center"/>
          </w:tcPr>
          <w:p>
            <w:pPr>
              <w:snapToGrid w:val="0"/>
              <w:spacing w:line="360" w:lineRule="exact"/>
              <w:ind w:firstLine="0" w:firstLineChars="0"/>
              <w:jc w:val="left"/>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二噁英</w:t>
            </w:r>
          </w:p>
        </w:tc>
        <w:tc>
          <w:tcPr>
            <w:tcW w:w="934"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0.00</w:t>
            </w:r>
            <w:r>
              <w:rPr>
                <w:rFonts w:hint="eastAsia" w:ascii="Times New Roman" w:hAnsi="Times New Roman" w:cs="Times New Roman"/>
                <w:sz w:val="21"/>
                <w:szCs w:val="21"/>
                <w:lang w:val="en-US" w:eastAsia="zh-CN"/>
              </w:rPr>
              <w:t>p</w:t>
            </w:r>
            <w:r>
              <w:rPr>
                <w:rFonts w:hint="eastAsia" w:ascii="Times New Roman" w:hAnsi="Times New Roman" w:cs="Times New Roman"/>
                <w:sz w:val="21"/>
                <w:szCs w:val="21"/>
              </w:rPr>
              <w:t>g</w:t>
            </w:r>
            <w:r>
              <w:rPr>
                <w:rFonts w:hint="eastAsia" w:cs="Times New Roman"/>
                <w:sz w:val="21"/>
                <w:szCs w:val="21"/>
                <w:lang w:val="en-US" w:eastAsia="zh-CN"/>
              </w:rPr>
              <w:t xml:space="preserve"> </w:t>
            </w:r>
            <w:r>
              <w:rPr>
                <w:rFonts w:hint="eastAsia" w:ascii="Times New Roman" w:hAnsi="Times New Roman" w:cs="Times New Roman"/>
                <w:sz w:val="21"/>
                <w:szCs w:val="21"/>
              </w:rPr>
              <w:t>TEQ/m</w:t>
            </w:r>
            <w:r>
              <w:rPr>
                <w:rFonts w:hint="eastAsia" w:ascii="Times New Roman" w:hAnsi="Times New Roman" w:cs="Times New Roman"/>
                <w:sz w:val="21"/>
                <w:szCs w:val="21"/>
                <w:vertAlign w:val="superscript"/>
              </w:rPr>
              <w:t>3</w:t>
            </w:r>
          </w:p>
        </w:tc>
        <w:tc>
          <w:tcPr>
            <w:tcW w:w="9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z w:val="21"/>
                <w:szCs w:val="21"/>
                <w:lang w:val="en-US" w:eastAsia="zh-CN"/>
              </w:rPr>
              <w:t>3.6 p</w:t>
            </w:r>
            <w:r>
              <w:rPr>
                <w:rFonts w:hint="eastAsia" w:ascii="Times New Roman" w:hAnsi="Times New Roman" w:cs="Times New Roman"/>
                <w:sz w:val="21"/>
                <w:szCs w:val="21"/>
              </w:rPr>
              <w:t>g</w:t>
            </w:r>
            <w:r>
              <w:rPr>
                <w:rFonts w:hint="eastAsia" w:cs="Times New Roman"/>
                <w:sz w:val="21"/>
                <w:szCs w:val="21"/>
                <w:lang w:val="en-US" w:eastAsia="zh-CN"/>
              </w:rPr>
              <w:t xml:space="preserve"> </w:t>
            </w:r>
            <w:r>
              <w:rPr>
                <w:rFonts w:hint="eastAsia" w:ascii="Times New Roman" w:hAnsi="Times New Roman" w:cs="Times New Roman"/>
                <w:sz w:val="21"/>
                <w:szCs w:val="21"/>
              </w:rPr>
              <w:t>TEQ/m</w:t>
            </w:r>
            <w:r>
              <w:rPr>
                <w:rFonts w:hint="eastAsia" w:ascii="Times New Roman" w:hAnsi="Times New Roman" w:cs="Times New Roman"/>
                <w:sz w:val="21"/>
                <w:szCs w:val="21"/>
                <w:vertAlign w:val="superscript"/>
              </w:rPr>
              <w:t>3</w:t>
            </w:r>
          </w:p>
        </w:tc>
        <w:tc>
          <w:tcPr>
            <w:tcW w:w="625"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0.00</w:t>
            </w:r>
          </w:p>
        </w:tc>
        <w:tc>
          <w:tcPr>
            <w:tcW w:w="638"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w:t>
            </w:r>
          </w:p>
        </w:tc>
        <w:tc>
          <w:tcPr>
            <w:tcW w:w="582"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1" w:type="pct"/>
            <w:vMerge w:val="restart"/>
            <w:shd w:val="clear" w:color="auto" w:fill="auto"/>
            <w:vAlign w:val="center"/>
          </w:tcPr>
          <w:p>
            <w:pPr>
              <w:snapToGrid w:val="0"/>
              <w:spacing w:line="360" w:lineRule="exact"/>
              <w:ind w:firstLine="0" w:firstLineChars="0"/>
              <w:jc w:val="left"/>
              <w:rPr>
                <w:rFonts w:hint="eastAsia" w:eastAsia="宋体"/>
                <w:color w:val="auto"/>
                <w:sz w:val="21"/>
                <w:szCs w:val="21"/>
                <w:highlight w:val="none"/>
                <w:lang w:val="en-US" w:eastAsia="zh-CN"/>
              </w:rPr>
            </w:pPr>
            <w:r>
              <w:rPr>
                <w:rFonts w:hint="eastAsia"/>
                <w:color w:val="auto"/>
                <w:sz w:val="21"/>
                <w:szCs w:val="21"/>
                <w:highlight w:val="none"/>
                <w:lang w:val="en-US" w:eastAsia="zh-CN"/>
              </w:rPr>
              <w:t>DA002</w:t>
            </w:r>
          </w:p>
        </w:tc>
        <w:tc>
          <w:tcPr>
            <w:tcW w:w="634" w:type="pct"/>
            <w:shd w:val="clear" w:color="auto" w:fill="auto"/>
            <w:vAlign w:val="center"/>
          </w:tcPr>
          <w:p>
            <w:pPr>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SO</w:t>
            </w:r>
            <w:r>
              <w:rPr>
                <w:rFonts w:hint="eastAsia"/>
                <w:color w:val="auto"/>
                <w:kern w:val="0"/>
                <w:sz w:val="21"/>
                <w:szCs w:val="21"/>
                <w:highlight w:val="none"/>
                <w:vertAlign w:val="subscript"/>
              </w:rPr>
              <w:t>2</w:t>
            </w:r>
          </w:p>
        </w:tc>
        <w:tc>
          <w:tcPr>
            <w:tcW w:w="934"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3.95</w:t>
            </w:r>
          </w:p>
        </w:tc>
        <w:tc>
          <w:tcPr>
            <w:tcW w:w="9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500</w:t>
            </w:r>
          </w:p>
        </w:tc>
        <w:tc>
          <w:tcPr>
            <w:tcW w:w="625"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0.79</w:t>
            </w:r>
          </w:p>
        </w:tc>
        <w:tc>
          <w:tcPr>
            <w:tcW w:w="638"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w:t>
            </w:r>
          </w:p>
        </w:tc>
        <w:tc>
          <w:tcPr>
            <w:tcW w:w="582"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1" w:type="pct"/>
            <w:vMerge w:val="continue"/>
            <w:shd w:val="clear" w:color="auto" w:fill="auto"/>
            <w:vAlign w:val="center"/>
          </w:tcPr>
          <w:p>
            <w:pPr>
              <w:snapToGrid w:val="0"/>
              <w:spacing w:line="360" w:lineRule="exact"/>
              <w:ind w:firstLine="0" w:firstLineChars="0"/>
              <w:jc w:val="left"/>
              <w:rPr>
                <w:rFonts w:hint="eastAsia"/>
                <w:color w:val="auto"/>
                <w:sz w:val="21"/>
                <w:szCs w:val="21"/>
                <w:highlight w:val="none"/>
              </w:rPr>
            </w:pPr>
          </w:p>
        </w:tc>
        <w:tc>
          <w:tcPr>
            <w:tcW w:w="634" w:type="pct"/>
            <w:shd w:val="clear" w:color="auto" w:fill="auto"/>
            <w:vAlign w:val="center"/>
          </w:tcPr>
          <w:p>
            <w:pPr>
              <w:snapToGrid w:val="0"/>
              <w:spacing w:line="360" w:lineRule="exact"/>
              <w:ind w:firstLine="0" w:firstLineChars="0"/>
              <w:jc w:val="left"/>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NO</w:t>
            </w:r>
            <w:r>
              <w:rPr>
                <w:rFonts w:hint="eastAsia"/>
                <w:color w:val="auto"/>
                <w:kern w:val="0"/>
                <w:sz w:val="21"/>
                <w:szCs w:val="21"/>
                <w:highlight w:val="none"/>
                <w:vertAlign w:val="subscript"/>
              </w:rPr>
              <w:t>2</w:t>
            </w:r>
          </w:p>
        </w:tc>
        <w:tc>
          <w:tcPr>
            <w:tcW w:w="934"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9.16</w:t>
            </w:r>
          </w:p>
        </w:tc>
        <w:tc>
          <w:tcPr>
            <w:tcW w:w="9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200</w:t>
            </w:r>
          </w:p>
        </w:tc>
        <w:tc>
          <w:tcPr>
            <w:tcW w:w="625"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4.58</w:t>
            </w:r>
          </w:p>
        </w:tc>
        <w:tc>
          <w:tcPr>
            <w:tcW w:w="638"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w:t>
            </w:r>
          </w:p>
        </w:tc>
        <w:tc>
          <w:tcPr>
            <w:tcW w:w="582" w:type="pct"/>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1" w:type="pct"/>
            <w:vMerge w:val="continue"/>
            <w:shd w:val="clear" w:color="auto" w:fill="auto"/>
            <w:vAlign w:val="center"/>
          </w:tcPr>
          <w:p>
            <w:pPr>
              <w:snapToGrid w:val="0"/>
              <w:spacing w:line="360" w:lineRule="exact"/>
              <w:ind w:firstLine="0" w:firstLineChars="0"/>
              <w:jc w:val="left"/>
              <w:rPr>
                <w:rFonts w:hint="eastAsia"/>
                <w:color w:val="auto"/>
                <w:sz w:val="21"/>
                <w:szCs w:val="21"/>
                <w:highlight w:val="none"/>
              </w:rPr>
            </w:pPr>
          </w:p>
        </w:tc>
        <w:tc>
          <w:tcPr>
            <w:tcW w:w="634" w:type="pct"/>
            <w:shd w:val="clear" w:color="auto" w:fill="auto"/>
            <w:vAlign w:val="center"/>
          </w:tcPr>
          <w:p>
            <w:pPr>
              <w:snapToGrid w:val="0"/>
              <w:spacing w:line="360" w:lineRule="exact"/>
              <w:ind w:firstLine="0" w:firstLineChars="0"/>
              <w:jc w:val="left"/>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PM</w:t>
            </w:r>
            <w:r>
              <w:rPr>
                <w:color w:val="auto"/>
                <w:kern w:val="0"/>
                <w:sz w:val="21"/>
                <w:szCs w:val="21"/>
                <w:highlight w:val="none"/>
                <w:vertAlign w:val="subscript"/>
              </w:rPr>
              <w:t>10</w:t>
            </w:r>
          </w:p>
        </w:tc>
        <w:tc>
          <w:tcPr>
            <w:tcW w:w="934"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5.57</w:t>
            </w:r>
          </w:p>
        </w:tc>
        <w:tc>
          <w:tcPr>
            <w:tcW w:w="9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450</w:t>
            </w:r>
          </w:p>
        </w:tc>
        <w:tc>
          <w:tcPr>
            <w:tcW w:w="625"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1.20</w:t>
            </w:r>
          </w:p>
        </w:tc>
        <w:tc>
          <w:tcPr>
            <w:tcW w:w="638"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w:t>
            </w:r>
          </w:p>
        </w:tc>
        <w:tc>
          <w:tcPr>
            <w:tcW w:w="582" w:type="pct"/>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661" w:type="pct"/>
            <w:vMerge w:val="continue"/>
            <w:shd w:val="clear" w:color="auto" w:fill="auto"/>
            <w:vAlign w:val="center"/>
          </w:tcPr>
          <w:p>
            <w:pPr>
              <w:snapToGrid w:val="0"/>
              <w:spacing w:line="360" w:lineRule="exact"/>
              <w:ind w:firstLine="0" w:firstLineChars="0"/>
              <w:jc w:val="left"/>
              <w:rPr>
                <w:color w:val="auto"/>
                <w:sz w:val="21"/>
                <w:szCs w:val="21"/>
                <w:highlight w:val="none"/>
              </w:rPr>
            </w:pPr>
          </w:p>
        </w:tc>
        <w:tc>
          <w:tcPr>
            <w:tcW w:w="634" w:type="pct"/>
            <w:shd w:val="clear" w:color="auto" w:fill="auto"/>
            <w:vAlign w:val="center"/>
          </w:tcPr>
          <w:p>
            <w:pPr>
              <w:snapToGrid w:val="0"/>
              <w:spacing w:line="360" w:lineRule="exact"/>
              <w:ind w:firstLine="0" w:firstLineChars="0"/>
              <w:jc w:val="left"/>
              <w:rPr>
                <w:color w:val="auto"/>
                <w:kern w:val="0"/>
                <w:sz w:val="21"/>
                <w:szCs w:val="21"/>
                <w:highlight w:val="none"/>
              </w:rPr>
            </w:pPr>
            <w:r>
              <w:rPr>
                <w:rFonts w:hint="eastAsia"/>
                <w:color w:val="auto"/>
                <w:kern w:val="0"/>
                <w:sz w:val="21"/>
                <w:szCs w:val="21"/>
                <w:highlight w:val="none"/>
              </w:rPr>
              <w:t>PM</w:t>
            </w:r>
            <w:r>
              <w:rPr>
                <w:color w:val="auto"/>
                <w:kern w:val="0"/>
                <w:sz w:val="21"/>
                <w:szCs w:val="21"/>
                <w:highlight w:val="none"/>
                <w:vertAlign w:val="subscript"/>
              </w:rPr>
              <w:t>2.5</w:t>
            </w:r>
          </w:p>
        </w:tc>
        <w:tc>
          <w:tcPr>
            <w:tcW w:w="934"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2.78</w:t>
            </w:r>
          </w:p>
        </w:tc>
        <w:tc>
          <w:tcPr>
            <w:tcW w:w="923" w:type="pct"/>
            <w:shd w:val="clear" w:color="auto" w:fill="auto"/>
            <w:vAlign w:val="center"/>
          </w:tcPr>
          <w:p>
            <w:pPr>
              <w:pStyle w:val="19"/>
              <w:snapToGrid w:val="0"/>
              <w:rPr>
                <w:color w:val="auto"/>
                <w:sz w:val="21"/>
                <w:szCs w:val="21"/>
                <w:highlight w:val="none"/>
              </w:rPr>
            </w:pPr>
            <w:r>
              <w:rPr>
                <w:color w:val="auto"/>
                <w:sz w:val="21"/>
                <w:szCs w:val="21"/>
                <w:highlight w:val="none"/>
              </w:rPr>
              <w:t>225</w:t>
            </w:r>
          </w:p>
        </w:tc>
        <w:tc>
          <w:tcPr>
            <w:tcW w:w="625"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1.20</w:t>
            </w:r>
          </w:p>
        </w:tc>
        <w:tc>
          <w:tcPr>
            <w:tcW w:w="638" w:type="pct"/>
            <w:shd w:val="clear" w:color="auto" w:fill="auto"/>
            <w:vAlign w:val="center"/>
          </w:tcPr>
          <w:p>
            <w:pPr>
              <w:pStyle w:val="19"/>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582" w:type="pct"/>
            <w:shd w:val="clear" w:color="auto" w:fill="auto"/>
            <w:vAlign w:val="center"/>
          </w:tcPr>
          <w:p>
            <w:pPr>
              <w:pStyle w:val="19"/>
              <w:snapToGrid w:val="0"/>
              <w:rPr>
                <w:color w:val="auto"/>
                <w:sz w:val="21"/>
                <w:szCs w:val="21"/>
                <w:highlight w:val="none"/>
              </w:rPr>
            </w:pPr>
            <w:r>
              <w:rPr>
                <w:rFonts w:hint="eastAsia" w:cs="Times New Roman"/>
                <w:color w:val="auto"/>
                <w:kern w:val="0"/>
                <w:sz w:val="21"/>
                <w:szCs w:val="21"/>
                <w:highlight w:val="none"/>
                <w:lang w:val="en-US" w:eastAsia="zh-CN" w:bidi="ar-SA"/>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661" w:type="pct"/>
            <w:shd w:val="clear" w:color="auto" w:fill="auto"/>
            <w:vAlign w:val="center"/>
          </w:tcPr>
          <w:p>
            <w:pPr>
              <w:snapToGrid w:val="0"/>
              <w:spacing w:line="360" w:lineRule="exact"/>
              <w:ind w:firstLine="0" w:firstLineChars="0"/>
              <w:jc w:val="left"/>
              <w:rPr>
                <w:rFonts w:hint="default" w:eastAsia="宋体"/>
                <w:color w:val="auto"/>
                <w:sz w:val="21"/>
                <w:szCs w:val="21"/>
                <w:highlight w:val="none"/>
                <w:lang w:val="en-US" w:eastAsia="zh-CN"/>
              </w:rPr>
            </w:pPr>
            <w:r>
              <w:rPr>
                <w:rFonts w:hint="eastAsia"/>
                <w:color w:val="auto"/>
                <w:sz w:val="21"/>
                <w:szCs w:val="21"/>
                <w:highlight w:val="none"/>
                <w:lang w:val="en-US" w:eastAsia="zh-CN"/>
              </w:rPr>
              <w:t>生产车间</w:t>
            </w:r>
          </w:p>
        </w:tc>
        <w:tc>
          <w:tcPr>
            <w:tcW w:w="634" w:type="pct"/>
            <w:shd w:val="clear" w:color="auto" w:fill="auto"/>
            <w:vAlign w:val="center"/>
          </w:tcPr>
          <w:p>
            <w:pPr>
              <w:snapToGrid w:val="0"/>
              <w:spacing w:line="360" w:lineRule="exact"/>
              <w:ind w:firstLine="0" w:firstLineChars="0"/>
              <w:jc w:val="left"/>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TSP</w:t>
            </w:r>
          </w:p>
        </w:tc>
        <w:tc>
          <w:tcPr>
            <w:tcW w:w="934"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63.64</w:t>
            </w:r>
          </w:p>
        </w:tc>
        <w:tc>
          <w:tcPr>
            <w:tcW w:w="923"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900</w:t>
            </w:r>
          </w:p>
        </w:tc>
        <w:tc>
          <w:tcPr>
            <w:tcW w:w="625"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7.07</w:t>
            </w:r>
          </w:p>
        </w:tc>
        <w:tc>
          <w:tcPr>
            <w:tcW w:w="638" w:type="pct"/>
            <w:shd w:val="clear" w:color="auto" w:fill="auto"/>
            <w:vAlign w:val="center"/>
          </w:tcPr>
          <w:p>
            <w:pPr>
              <w:pStyle w:val="19"/>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582" w:type="pct"/>
            <w:shd w:val="clear" w:color="auto" w:fill="auto"/>
            <w:vAlign w:val="center"/>
          </w:tcPr>
          <w:p>
            <w:pPr>
              <w:pStyle w:val="19"/>
              <w:snapToGrid w:val="0"/>
              <w:rPr>
                <w:color w:val="auto"/>
                <w:sz w:val="21"/>
                <w:szCs w:val="21"/>
                <w:highlight w:val="none"/>
              </w:rPr>
            </w:pPr>
            <w:r>
              <w:rPr>
                <w:rFonts w:hint="eastAsia" w:cs="Times New Roman"/>
                <w:color w:val="auto"/>
                <w:kern w:val="0"/>
                <w:sz w:val="21"/>
                <w:szCs w:val="21"/>
                <w:highlight w:val="none"/>
                <w:lang w:val="en-US" w:eastAsia="zh-CN" w:bidi="ar-SA"/>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gridSpan w:val="7"/>
            <w:shd w:val="clear" w:color="auto" w:fill="auto"/>
            <w:vAlign w:val="center"/>
          </w:tcPr>
          <w:p>
            <w:pPr>
              <w:pStyle w:val="19"/>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注：TSP、PM</w:t>
            </w:r>
            <w:r>
              <w:rPr>
                <w:rFonts w:hint="eastAsia"/>
                <w:color w:val="auto"/>
                <w:sz w:val="21"/>
                <w:szCs w:val="21"/>
                <w:highlight w:val="none"/>
                <w:vertAlign w:val="subscript"/>
                <w:lang w:val="en-US" w:eastAsia="zh-CN"/>
              </w:rPr>
              <w:t>10</w:t>
            </w:r>
            <w:r>
              <w:rPr>
                <w:rFonts w:hint="eastAsia"/>
                <w:color w:val="auto"/>
                <w:sz w:val="21"/>
                <w:szCs w:val="21"/>
                <w:highlight w:val="none"/>
                <w:lang w:val="en-US" w:eastAsia="zh-CN"/>
              </w:rPr>
              <w:t>、PM</w:t>
            </w:r>
            <w:r>
              <w:rPr>
                <w:rFonts w:hint="eastAsia"/>
                <w:color w:val="auto"/>
                <w:sz w:val="21"/>
                <w:szCs w:val="21"/>
                <w:highlight w:val="none"/>
                <w:vertAlign w:val="subscript"/>
                <w:lang w:val="en-US" w:eastAsia="zh-CN"/>
              </w:rPr>
              <w:t>2.5</w:t>
            </w:r>
            <w:r>
              <w:rPr>
                <w:rFonts w:hint="eastAsia"/>
                <w:color w:val="auto"/>
                <w:sz w:val="21"/>
                <w:szCs w:val="21"/>
                <w:highlight w:val="none"/>
                <w:lang w:val="en-US" w:eastAsia="zh-CN"/>
              </w:rPr>
              <w:t>取日均浓度的3倍；二噁英取年均浓度的6倍；</w:t>
            </w:r>
            <w:r>
              <w:rPr>
                <w:rFonts w:hint="eastAsia"/>
                <w:color w:val="auto"/>
                <w:sz w:val="21"/>
                <w:szCs w:val="21"/>
                <w:highlight w:val="none"/>
              </w:rPr>
              <w:t>除尘后</w:t>
            </w:r>
            <w:r>
              <w:rPr>
                <w:rFonts w:hint="eastAsia"/>
                <w:color w:val="auto"/>
                <w:sz w:val="21"/>
                <w:szCs w:val="21"/>
                <w:highlight w:val="none"/>
                <w:lang w:val="en-US" w:eastAsia="zh-CN"/>
              </w:rPr>
              <w:t>颗粒物</w:t>
            </w:r>
            <w:r>
              <w:rPr>
                <w:color w:val="auto"/>
                <w:sz w:val="21"/>
                <w:szCs w:val="21"/>
                <w:highlight w:val="none"/>
              </w:rPr>
              <w:t>以PM</w:t>
            </w:r>
            <w:r>
              <w:rPr>
                <w:color w:val="auto"/>
                <w:sz w:val="21"/>
                <w:szCs w:val="21"/>
                <w:highlight w:val="none"/>
                <w:vertAlign w:val="subscript"/>
              </w:rPr>
              <w:t>10</w:t>
            </w:r>
            <w:r>
              <w:rPr>
                <w:color w:val="auto"/>
                <w:sz w:val="21"/>
                <w:szCs w:val="21"/>
                <w:highlight w:val="none"/>
              </w:rPr>
              <w:t>计</w:t>
            </w:r>
            <w:r>
              <w:rPr>
                <w:rFonts w:hint="eastAsia"/>
                <w:color w:val="auto"/>
                <w:sz w:val="21"/>
                <w:szCs w:val="21"/>
                <w:highlight w:val="none"/>
                <w:lang w:eastAsia="zh-CN"/>
              </w:rPr>
              <w:t>，</w:t>
            </w:r>
            <w:r>
              <w:rPr>
                <w:color w:val="auto"/>
                <w:sz w:val="21"/>
                <w:szCs w:val="21"/>
                <w:highlight w:val="none"/>
              </w:rPr>
              <w:t>PM</w:t>
            </w:r>
            <w:r>
              <w:rPr>
                <w:color w:val="auto"/>
                <w:sz w:val="21"/>
                <w:szCs w:val="21"/>
                <w:highlight w:val="none"/>
                <w:vertAlign w:val="subscript"/>
              </w:rPr>
              <w:t>2.5</w:t>
            </w:r>
            <w:r>
              <w:rPr>
                <w:color w:val="auto"/>
                <w:sz w:val="21"/>
                <w:szCs w:val="21"/>
                <w:highlight w:val="none"/>
              </w:rPr>
              <w:t>/PM</w:t>
            </w:r>
            <w:r>
              <w:rPr>
                <w:color w:val="auto"/>
                <w:sz w:val="21"/>
                <w:szCs w:val="21"/>
                <w:highlight w:val="none"/>
                <w:vertAlign w:val="subscript"/>
              </w:rPr>
              <w:t>10</w:t>
            </w:r>
            <w:r>
              <w:rPr>
                <w:color w:val="auto"/>
                <w:sz w:val="21"/>
                <w:szCs w:val="21"/>
                <w:highlight w:val="none"/>
              </w:rPr>
              <w:t>按0.5计</w:t>
            </w:r>
            <w:r>
              <w:rPr>
                <w:rFonts w:hint="eastAsia"/>
                <w:color w:val="auto"/>
                <w:sz w:val="21"/>
                <w:szCs w:val="21"/>
                <w:highlight w:val="none"/>
                <w:lang w:eastAsia="zh-CN"/>
              </w:rPr>
              <w:t>。</w:t>
            </w:r>
          </w:p>
        </w:tc>
      </w:tr>
    </w:tbl>
    <w:p>
      <w:pPr>
        <w:keepNext w:val="0"/>
        <w:keepLines w:val="0"/>
        <w:pageBreakBefore w:val="0"/>
        <w:widowControl w:val="0"/>
        <w:kinsoku/>
        <w:wordWrap/>
        <w:overflowPunct/>
        <w:topLinePunct w:val="0"/>
        <w:autoSpaceDE/>
        <w:autoSpaceDN/>
        <w:bidi w:val="0"/>
        <w:adjustRightInd/>
        <w:snapToGrid/>
        <w:spacing w:line="480" w:lineRule="exact"/>
        <w:textAlignment w:val="auto"/>
        <w:rPr>
          <w:color w:val="auto"/>
          <w:kern w:val="0"/>
          <w:sz w:val="21"/>
          <w:szCs w:val="21"/>
        </w:rPr>
      </w:pPr>
    </w:p>
    <w:p>
      <w:pPr>
        <w:keepNext w:val="0"/>
        <w:keepLines w:val="0"/>
        <w:pageBreakBefore w:val="0"/>
        <w:kinsoku/>
        <w:wordWrap/>
        <w:overflowPunct/>
        <w:topLinePunct w:val="0"/>
        <w:autoSpaceDE/>
        <w:autoSpaceDN/>
        <w:bidi w:val="0"/>
        <w:adjustRightInd/>
        <w:snapToGrid/>
        <w:spacing w:line="480" w:lineRule="exact"/>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(2) 评价范围</w:t>
      </w:r>
    </w:p>
    <w:p>
      <w:pPr>
        <w:keepNext w:val="0"/>
        <w:keepLines w:val="0"/>
        <w:pageBreakBefore w:val="0"/>
        <w:widowControl/>
        <w:kinsoku/>
        <w:wordWrap/>
        <w:overflowPunct/>
        <w:topLinePunct w:val="0"/>
        <w:autoSpaceDE/>
        <w:autoSpaceDN/>
        <w:bidi w:val="0"/>
        <w:adjustRightInd/>
        <w:snapToGrid/>
        <w:spacing w:line="480" w:lineRule="exact"/>
        <w:textAlignment w:val="auto"/>
        <w:rPr>
          <w:color w:val="auto"/>
          <w:kern w:val="0"/>
        </w:rPr>
      </w:pPr>
      <w:r>
        <w:rPr>
          <w:rFonts w:hint="eastAsia"/>
          <w:color w:val="auto"/>
          <w:highlight w:val="none"/>
          <w:lang w:val="en-US" w:eastAsia="zh-CN"/>
        </w:rPr>
        <w:t>根据</w:t>
      </w:r>
      <w:r>
        <w:rPr>
          <w:color w:val="auto"/>
          <w:highlight w:val="none"/>
          <w:lang w:val="zh-CN"/>
        </w:rPr>
        <w:t>《大气环境影响评价技术导则</w:t>
      </w:r>
      <w:r>
        <w:rPr>
          <w:rFonts w:hint="eastAsia"/>
          <w:color w:val="auto"/>
          <w:highlight w:val="none"/>
          <w:lang w:val="zh-CN"/>
        </w:rPr>
        <w:t xml:space="preserve"> </w:t>
      </w:r>
      <w:r>
        <w:rPr>
          <w:color w:val="auto"/>
          <w:highlight w:val="none"/>
          <w:lang w:val="zh-CN"/>
        </w:rPr>
        <w:t>大气环境》(HJ 2.2-2018)中推荐的AERSCREEN估算模式进行计算，</w:t>
      </w:r>
      <w:r>
        <w:rPr>
          <w:rFonts w:hint="eastAsia"/>
          <w:color w:val="auto"/>
          <w:highlight w:val="none"/>
        </w:rPr>
        <w:t>项目</w:t>
      </w:r>
      <w:r>
        <w:rPr>
          <w:rFonts w:hint="eastAsia"/>
          <w:color w:val="auto"/>
          <w:highlight w:val="none"/>
          <w:lang w:val="en-US" w:eastAsia="zh-CN"/>
        </w:rPr>
        <w:t>生产车间</w:t>
      </w:r>
      <w:r>
        <w:rPr>
          <w:rFonts w:hint="eastAsia"/>
          <w:color w:val="auto"/>
          <w:highlight w:val="none"/>
        </w:rPr>
        <w:t>无组织排放颗粒物</w:t>
      </w:r>
      <w:r>
        <w:rPr>
          <w:rFonts w:hint="eastAsia" w:ascii="宋体" w:hAnsi="宋体" w:cs="宋体"/>
          <w:color w:val="auto"/>
          <w:highlight w:val="none"/>
        </w:rPr>
        <w:t>最大浓度占标</w:t>
      </w:r>
      <w:r>
        <w:rPr>
          <w:color w:val="auto"/>
          <w:highlight w:val="none"/>
        </w:rPr>
        <w:t>率为</w:t>
      </w:r>
      <w:r>
        <w:rPr>
          <w:rFonts w:hint="eastAsia"/>
          <w:color w:val="auto"/>
          <w:highlight w:val="none"/>
          <w:lang w:val="en-US" w:eastAsia="zh-CN"/>
        </w:rPr>
        <w:t>7.07</w:t>
      </w:r>
      <w:r>
        <w:rPr>
          <w:color w:val="auto"/>
          <w:highlight w:val="none"/>
        </w:rPr>
        <w:t>%</w:t>
      </w:r>
      <w:r>
        <w:rPr>
          <w:rFonts w:hint="eastAsia"/>
          <w:color w:val="auto"/>
          <w:highlight w:val="none"/>
        </w:rPr>
        <w:t>，</w:t>
      </w:r>
      <w:r>
        <w:rPr>
          <w:rFonts w:hint="eastAsia"/>
          <w:color w:val="auto"/>
          <w:highlight w:val="none"/>
          <w:lang w:val="en-US" w:eastAsia="zh-CN"/>
        </w:rPr>
        <w:t>大气环境</w:t>
      </w:r>
      <w:r>
        <w:rPr>
          <w:rFonts w:hint="eastAsia"/>
          <w:color w:val="auto"/>
          <w:highlight w:val="none"/>
        </w:rPr>
        <w:t>评价等级为</w:t>
      </w:r>
      <w:r>
        <w:rPr>
          <w:rFonts w:hint="eastAsia"/>
          <w:color w:val="auto"/>
          <w:highlight w:val="none"/>
          <w:lang w:val="en-US" w:eastAsia="zh-CN"/>
        </w:rPr>
        <w:t>二</w:t>
      </w:r>
      <w:r>
        <w:rPr>
          <w:rFonts w:hint="eastAsia"/>
          <w:color w:val="auto"/>
          <w:highlight w:val="none"/>
        </w:rPr>
        <w:t>级</w:t>
      </w:r>
      <w:r>
        <w:rPr>
          <w:rFonts w:hint="eastAsia"/>
          <w:color w:val="auto"/>
          <w:highlight w:val="none"/>
          <w:lang w:eastAsia="zh-CN"/>
        </w:rPr>
        <w:t>，</w:t>
      </w:r>
      <w:r>
        <w:rPr>
          <w:rFonts w:hint="eastAsia"/>
          <w:color w:val="auto"/>
          <w:highlight w:val="none"/>
          <w:lang w:val="en-US" w:eastAsia="zh-CN"/>
        </w:rPr>
        <w:t>评价范围以项目厂址为中心，边长取5km的矩形区域。</w:t>
      </w:r>
    </w:p>
    <w:p>
      <w:pPr>
        <w:pStyle w:val="29"/>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1.6 主要大气环境保护目标</w:t>
      </w:r>
    </w:p>
    <w:p>
      <w:pPr>
        <w:bidi w:val="0"/>
        <w:rPr>
          <w:rFonts w:hint="default" w:eastAsia="宋体"/>
          <w:lang w:val="en-US" w:eastAsia="zh-CN"/>
        </w:rPr>
      </w:pPr>
      <w:r>
        <w:rPr>
          <w:rFonts w:hint="eastAsia"/>
          <w:lang w:val="en-US" w:eastAsia="zh-CN"/>
        </w:rPr>
        <w:t>项目周边5km范围主要大气环境保护目标见表3-7和图3-3。</w:t>
      </w:r>
    </w:p>
    <w:p>
      <w:pPr>
        <w:pStyle w:val="31"/>
        <w:rPr>
          <w:rFonts w:hint="default"/>
          <w:lang w:val="en-US" w:eastAsia="zh-CN"/>
        </w:rPr>
      </w:pPr>
      <w:r>
        <w:rPr>
          <w:rFonts w:hint="eastAsia"/>
          <w:lang w:val="en-US" w:eastAsia="zh-CN"/>
        </w:rPr>
        <w:t>2 废气污染源强核算</w:t>
      </w:r>
    </w:p>
    <w:p>
      <w:pPr>
        <w:pStyle w:val="29"/>
        <w:rPr>
          <w:rFonts w:hint="default" w:eastAsia="宋体"/>
          <w:lang w:val="en-US" w:eastAsia="zh-CN"/>
        </w:rPr>
      </w:pPr>
      <w:r>
        <w:rPr>
          <w:rFonts w:hint="eastAsia"/>
          <w:lang w:val="en-US" w:eastAsia="zh-CN"/>
        </w:rPr>
        <w:t>2</w:t>
      </w:r>
      <w:r>
        <w:t xml:space="preserve">.1 </w:t>
      </w:r>
      <w:r>
        <w:rPr>
          <w:rFonts w:hint="eastAsia"/>
          <w:lang w:val="en-US" w:eastAsia="zh-CN"/>
        </w:rPr>
        <w:t>废气产污环节</w:t>
      </w:r>
    </w:p>
    <w:p>
      <w:pPr>
        <w:bidi w:val="0"/>
        <w:rPr>
          <w:rFonts w:hint="eastAsia"/>
          <w:lang w:val="en-US" w:eastAsia="zh-CN"/>
        </w:rPr>
      </w:pPr>
      <w:r>
        <w:rPr>
          <w:rFonts w:hint="eastAsia"/>
          <w:lang w:val="en-US" w:eastAsia="zh-CN"/>
        </w:rPr>
        <w:t>项目运营后，主要废气污染物来源于电弧炉冶炼、合金熔融、钢水精炼、浇铸以及铸件热处理等工序，详见表2.1-1。</w:t>
      </w:r>
    </w:p>
    <w:p>
      <w:pPr>
        <w:bidi w:val="0"/>
        <w:rPr>
          <w:rFonts w:hint="eastAsia"/>
          <w:lang w:val="en-US" w:eastAsia="zh-CN"/>
        </w:rPr>
      </w:pPr>
    </w:p>
    <w:p>
      <w:pPr>
        <w:bidi w:val="0"/>
        <w:rPr>
          <w:rFonts w:hint="default"/>
          <w:lang w:val="en-US" w:eastAsia="zh-CN"/>
        </w:rPr>
      </w:pPr>
    </w:p>
    <w:p>
      <w:pPr>
        <w:pStyle w:val="2"/>
        <w:rPr>
          <w:rFonts w:hint="default"/>
          <w:lang w:val="en-US" w:eastAsia="zh-CN"/>
        </w:rPr>
      </w:pPr>
    </w:p>
    <w:p>
      <w:pPr>
        <w:pStyle w:val="21"/>
        <w:bidi w:val="0"/>
        <w:rPr>
          <w:rFonts w:hint="eastAsia"/>
          <w:lang w:val="en-US" w:eastAsia="zh-CN"/>
        </w:rPr>
      </w:pPr>
      <w:r>
        <w:rPr>
          <w:rFonts w:hint="eastAsia"/>
          <w:lang w:val="en-US" w:eastAsia="zh-CN"/>
        </w:rPr>
        <w:t>表2.1-1  项目主要废气产生环节及污染因子一览表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1"/>
        <w:gridCol w:w="1443"/>
        <w:gridCol w:w="3473"/>
        <w:gridCol w:w="34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shd w:val="clear" w:color="auto" w:fill="auto"/>
            <w:vAlign w:val="center"/>
          </w:tcPr>
          <w:p>
            <w:pPr>
              <w:pStyle w:val="19"/>
              <w:rPr>
                <w:rFonts w:hint="default"/>
                <w:b/>
                <w:bCs/>
                <w:vertAlign w:val="baseline"/>
                <w:lang w:val="en-US" w:eastAsia="zh-CN"/>
              </w:rPr>
            </w:pPr>
            <w:r>
              <w:rPr>
                <w:rFonts w:hint="eastAsia"/>
                <w:b/>
                <w:bCs/>
                <w:vertAlign w:val="baseline"/>
                <w:lang w:val="en-US" w:eastAsia="zh-CN"/>
              </w:rPr>
              <w:t>类别</w:t>
            </w:r>
          </w:p>
        </w:tc>
        <w:tc>
          <w:tcPr>
            <w:tcW w:w="777" w:type="pct"/>
            <w:shd w:val="clear" w:color="auto" w:fill="auto"/>
            <w:vAlign w:val="center"/>
          </w:tcPr>
          <w:p>
            <w:pPr>
              <w:pStyle w:val="19"/>
              <w:rPr>
                <w:rFonts w:hint="default"/>
                <w:b/>
                <w:bCs/>
                <w:vertAlign w:val="baseline"/>
                <w:lang w:val="en-US" w:eastAsia="zh-CN"/>
              </w:rPr>
            </w:pPr>
            <w:r>
              <w:rPr>
                <w:rFonts w:hint="eastAsia"/>
                <w:b/>
                <w:bCs/>
                <w:vertAlign w:val="baseline"/>
                <w:lang w:val="en-US" w:eastAsia="zh-CN"/>
              </w:rPr>
              <w:t>编号</w:t>
            </w:r>
          </w:p>
        </w:tc>
        <w:tc>
          <w:tcPr>
            <w:tcW w:w="1870" w:type="pct"/>
            <w:shd w:val="clear" w:color="auto" w:fill="auto"/>
            <w:vAlign w:val="center"/>
          </w:tcPr>
          <w:p>
            <w:pPr>
              <w:pStyle w:val="19"/>
              <w:rPr>
                <w:rFonts w:hint="default"/>
                <w:b/>
                <w:bCs/>
                <w:vertAlign w:val="baseline"/>
                <w:lang w:val="en-US" w:eastAsia="zh-CN"/>
              </w:rPr>
            </w:pPr>
            <w:r>
              <w:rPr>
                <w:rFonts w:hint="eastAsia"/>
                <w:b/>
                <w:bCs/>
                <w:vertAlign w:val="baseline"/>
                <w:lang w:val="en-US" w:eastAsia="zh-CN"/>
              </w:rPr>
              <w:t>产污环节/设备</w:t>
            </w:r>
          </w:p>
        </w:tc>
        <w:tc>
          <w:tcPr>
            <w:tcW w:w="1871" w:type="pct"/>
            <w:shd w:val="clear" w:color="auto" w:fill="auto"/>
            <w:vAlign w:val="center"/>
          </w:tcPr>
          <w:p>
            <w:pPr>
              <w:pStyle w:val="19"/>
              <w:rPr>
                <w:rFonts w:hint="default"/>
                <w:b/>
                <w:bCs/>
                <w:vertAlign w:val="baseline"/>
                <w:lang w:val="en-US" w:eastAsia="zh-CN"/>
              </w:rPr>
            </w:pPr>
            <w:r>
              <w:rPr>
                <w:rFonts w:hint="eastAsia"/>
                <w:b/>
                <w:bCs/>
                <w:vertAlign w:val="baseline"/>
                <w:lang w:val="en-US" w:eastAsia="zh-CN"/>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restart"/>
            <w:shd w:val="clear" w:color="auto" w:fill="auto"/>
            <w:vAlign w:val="center"/>
          </w:tcPr>
          <w:p>
            <w:pPr>
              <w:pStyle w:val="19"/>
              <w:rPr>
                <w:rFonts w:hint="default"/>
                <w:vertAlign w:val="baseline"/>
                <w:lang w:val="en-US" w:eastAsia="zh-CN"/>
              </w:rPr>
            </w:pPr>
            <w:r>
              <w:rPr>
                <w:rFonts w:hint="eastAsia"/>
                <w:vertAlign w:val="baseline"/>
                <w:lang w:val="en-US" w:eastAsia="zh-CN"/>
              </w:rPr>
              <w:t>废气</w:t>
            </w:r>
          </w:p>
        </w:tc>
        <w:tc>
          <w:tcPr>
            <w:tcW w:w="777" w:type="pct"/>
            <w:shd w:val="clear" w:color="auto" w:fill="auto"/>
            <w:vAlign w:val="center"/>
          </w:tcPr>
          <w:p>
            <w:pPr>
              <w:pStyle w:val="19"/>
              <w:rPr>
                <w:rFonts w:hint="default"/>
                <w:vertAlign w:val="baseline"/>
                <w:lang w:val="en-US" w:eastAsia="zh-CN"/>
              </w:rPr>
            </w:pPr>
            <w:r>
              <w:rPr>
                <w:rFonts w:hint="eastAsia"/>
                <w:vertAlign w:val="baseline"/>
                <w:lang w:val="en-US" w:eastAsia="zh-CN"/>
              </w:rPr>
              <w:t>G1</w:t>
            </w:r>
          </w:p>
        </w:tc>
        <w:tc>
          <w:tcPr>
            <w:tcW w:w="1870" w:type="pct"/>
            <w:shd w:val="clear" w:color="auto" w:fill="auto"/>
            <w:vAlign w:val="center"/>
          </w:tcPr>
          <w:p>
            <w:pPr>
              <w:pStyle w:val="19"/>
              <w:rPr>
                <w:rFonts w:hint="default"/>
                <w:vertAlign w:val="baseline"/>
                <w:lang w:val="en-US" w:eastAsia="zh-CN"/>
              </w:rPr>
            </w:pPr>
            <w:r>
              <w:rPr>
                <w:rFonts w:hint="eastAsia"/>
                <w:vertAlign w:val="baseline"/>
                <w:lang w:val="en-US" w:eastAsia="zh-CN"/>
              </w:rPr>
              <w:t>电弧炉冶炼</w:t>
            </w:r>
          </w:p>
        </w:tc>
        <w:tc>
          <w:tcPr>
            <w:tcW w:w="1871" w:type="pct"/>
            <w:shd w:val="clear" w:color="auto" w:fill="auto"/>
            <w:vAlign w:val="center"/>
          </w:tcPr>
          <w:p>
            <w:pPr>
              <w:pStyle w:val="19"/>
              <w:rPr>
                <w:rFonts w:hint="default"/>
                <w:vertAlign w:val="baseline"/>
                <w:lang w:val="en-US" w:eastAsia="zh-CN"/>
              </w:rPr>
            </w:pPr>
            <w:r>
              <w:rPr>
                <w:rFonts w:hint="eastAsia"/>
                <w:vertAlign w:val="baseline"/>
                <w:lang w:val="en-US" w:eastAsia="zh-CN"/>
              </w:rPr>
              <w:t>颗粒物、氟化物、二噁英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rPr>
                <w:rFonts w:hint="default"/>
                <w:vertAlign w:val="baseline"/>
                <w:lang w:val="en-US" w:eastAsia="zh-CN"/>
              </w:rPr>
            </w:pPr>
          </w:p>
        </w:tc>
        <w:tc>
          <w:tcPr>
            <w:tcW w:w="777" w:type="pct"/>
            <w:shd w:val="clear" w:color="auto" w:fill="auto"/>
            <w:vAlign w:val="center"/>
          </w:tcPr>
          <w:p>
            <w:pPr>
              <w:pStyle w:val="19"/>
              <w:rPr>
                <w:rFonts w:hint="default"/>
                <w:vertAlign w:val="baseline"/>
                <w:lang w:val="en-US" w:eastAsia="zh-CN"/>
              </w:rPr>
            </w:pPr>
            <w:r>
              <w:rPr>
                <w:rFonts w:hint="eastAsia"/>
                <w:vertAlign w:val="baseline"/>
                <w:lang w:val="en-US" w:eastAsia="zh-CN"/>
              </w:rPr>
              <w:t>G2</w:t>
            </w:r>
          </w:p>
        </w:tc>
        <w:tc>
          <w:tcPr>
            <w:tcW w:w="1870" w:type="pct"/>
            <w:shd w:val="clear" w:color="auto" w:fill="auto"/>
            <w:vAlign w:val="center"/>
          </w:tcPr>
          <w:p>
            <w:pPr>
              <w:pStyle w:val="19"/>
              <w:rPr>
                <w:rFonts w:hint="default"/>
                <w:vertAlign w:val="baseline"/>
                <w:lang w:val="en-US" w:eastAsia="zh-CN"/>
              </w:rPr>
            </w:pPr>
            <w:r>
              <w:rPr>
                <w:rFonts w:hint="eastAsia"/>
                <w:vertAlign w:val="baseline"/>
                <w:lang w:val="en-US" w:eastAsia="zh-CN"/>
              </w:rPr>
              <w:t>合金熔融</w:t>
            </w:r>
          </w:p>
        </w:tc>
        <w:tc>
          <w:tcPr>
            <w:tcW w:w="1871" w:type="pct"/>
            <w:shd w:val="clear" w:color="auto" w:fill="auto"/>
            <w:vAlign w:val="center"/>
          </w:tcPr>
          <w:p>
            <w:pPr>
              <w:pStyle w:val="19"/>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rPr>
                <w:rFonts w:hint="default"/>
                <w:vertAlign w:val="baseline"/>
                <w:lang w:val="en-US" w:eastAsia="zh-CN"/>
              </w:rPr>
            </w:pPr>
          </w:p>
        </w:tc>
        <w:tc>
          <w:tcPr>
            <w:tcW w:w="777" w:type="pct"/>
            <w:shd w:val="clear" w:color="auto" w:fill="auto"/>
            <w:vAlign w:val="center"/>
          </w:tcPr>
          <w:p>
            <w:pPr>
              <w:pStyle w:val="19"/>
              <w:rPr>
                <w:rFonts w:hint="default"/>
                <w:vertAlign w:val="baseline"/>
                <w:lang w:val="en-US" w:eastAsia="zh-CN"/>
              </w:rPr>
            </w:pPr>
            <w:r>
              <w:rPr>
                <w:rFonts w:hint="eastAsia"/>
                <w:vertAlign w:val="baseline"/>
                <w:lang w:val="en-US" w:eastAsia="zh-CN"/>
              </w:rPr>
              <w:t>G3</w:t>
            </w:r>
          </w:p>
        </w:tc>
        <w:tc>
          <w:tcPr>
            <w:tcW w:w="1870" w:type="pct"/>
            <w:shd w:val="clear" w:color="auto" w:fill="auto"/>
            <w:vAlign w:val="center"/>
          </w:tcPr>
          <w:p>
            <w:pPr>
              <w:pStyle w:val="19"/>
              <w:rPr>
                <w:rFonts w:hint="default"/>
                <w:vertAlign w:val="baseline"/>
                <w:lang w:val="en-US" w:eastAsia="zh-CN"/>
              </w:rPr>
            </w:pPr>
            <w:r>
              <w:rPr>
                <w:rFonts w:hint="eastAsia"/>
                <w:vertAlign w:val="baseline"/>
                <w:lang w:val="en-US" w:eastAsia="zh-CN"/>
              </w:rPr>
              <w:t>AOD炉精炼</w:t>
            </w:r>
          </w:p>
        </w:tc>
        <w:tc>
          <w:tcPr>
            <w:tcW w:w="1871" w:type="pct"/>
            <w:shd w:val="clear" w:color="auto" w:fill="auto"/>
            <w:vAlign w:val="center"/>
          </w:tcPr>
          <w:p>
            <w:pPr>
              <w:pStyle w:val="19"/>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rPr>
                <w:rFonts w:hint="default"/>
                <w:vertAlign w:val="baseline"/>
                <w:lang w:val="en-US" w:eastAsia="zh-CN"/>
              </w:rPr>
            </w:pPr>
          </w:p>
        </w:tc>
        <w:tc>
          <w:tcPr>
            <w:tcW w:w="777" w:type="pct"/>
            <w:shd w:val="clear" w:color="auto" w:fill="auto"/>
            <w:vAlign w:val="center"/>
          </w:tcPr>
          <w:p>
            <w:pPr>
              <w:pStyle w:val="19"/>
              <w:rPr>
                <w:rFonts w:hint="default"/>
                <w:vertAlign w:val="baseline"/>
                <w:lang w:val="en-US" w:eastAsia="zh-CN"/>
              </w:rPr>
            </w:pPr>
            <w:r>
              <w:rPr>
                <w:rFonts w:hint="eastAsia"/>
                <w:vertAlign w:val="baseline"/>
                <w:lang w:val="en-US" w:eastAsia="zh-CN"/>
              </w:rPr>
              <w:t>G4</w:t>
            </w:r>
          </w:p>
        </w:tc>
        <w:tc>
          <w:tcPr>
            <w:tcW w:w="1870" w:type="pct"/>
            <w:shd w:val="clear" w:color="auto" w:fill="auto"/>
            <w:vAlign w:val="center"/>
          </w:tcPr>
          <w:p>
            <w:pPr>
              <w:pStyle w:val="19"/>
              <w:rPr>
                <w:rFonts w:hint="default"/>
                <w:vertAlign w:val="baseline"/>
                <w:lang w:val="en-US" w:eastAsia="zh-CN"/>
              </w:rPr>
            </w:pPr>
            <w:r>
              <w:rPr>
                <w:rFonts w:hint="eastAsia"/>
                <w:vertAlign w:val="baseline"/>
                <w:lang w:val="en-US" w:eastAsia="zh-CN"/>
              </w:rPr>
              <w:t>LF炉精炼</w:t>
            </w:r>
          </w:p>
        </w:tc>
        <w:tc>
          <w:tcPr>
            <w:tcW w:w="1871" w:type="pct"/>
            <w:shd w:val="clear" w:color="auto" w:fill="auto"/>
            <w:vAlign w:val="center"/>
          </w:tcPr>
          <w:p>
            <w:pPr>
              <w:pStyle w:val="19"/>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rPr>
                <w:rFonts w:hint="default"/>
                <w:vertAlign w:val="baseline"/>
                <w:lang w:val="en-US" w:eastAsia="zh-CN"/>
              </w:rPr>
            </w:pPr>
          </w:p>
        </w:tc>
        <w:tc>
          <w:tcPr>
            <w:tcW w:w="777" w:type="pct"/>
            <w:shd w:val="clear" w:color="auto" w:fill="auto"/>
            <w:vAlign w:val="center"/>
          </w:tcPr>
          <w:p>
            <w:pPr>
              <w:pStyle w:val="19"/>
              <w:rPr>
                <w:rFonts w:hint="default"/>
                <w:vertAlign w:val="baseline"/>
                <w:lang w:val="en-US" w:eastAsia="zh-CN"/>
              </w:rPr>
            </w:pPr>
            <w:r>
              <w:rPr>
                <w:rFonts w:hint="eastAsia"/>
                <w:vertAlign w:val="baseline"/>
                <w:lang w:val="en-US" w:eastAsia="zh-CN"/>
              </w:rPr>
              <w:t>G5</w:t>
            </w:r>
          </w:p>
        </w:tc>
        <w:tc>
          <w:tcPr>
            <w:tcW w:w="1870" w:type="pct"/>
            <w:shd w:val="clear" w:color="auto" w:fill="auto"/>
            <w:vAlign w:val="center"/>
          </w:tcPr>
          <w:p>
            <w:pPr>
              <w:pStyle w:val="19"/>
              <w:rPr>
                <w:rFonts w:hint="default"/>
                <w:vertAlign w:val="baseline"/>
                <w:lang w:val="en-US" w:eastAsia="zh-CN"/>
              </w:rPr>
            </w:pPr>
            <w:r>
              <w:rPr>
                <w:rFonts w:hint="eastAsia"/>
                <w:vertAlign w:val="baseline"/>
                <w:lang w:val="en-US" w:eastAsia="zh-CN"/>
              </w:rPr>
              <w:t>VOD炉精炼</w:t>
            </w:r>
          </w:p>
        </w:tc>
        <w:tc>
          <w:tcPr>
            <w:tcW w:w="1871" w:type="pct"/>
            <w:shd w:val="clear" w:color="auto" w:fill="auto"/>
            <w:vAlign w:val="center"/>
          </w:tcPr>
          <w:p>
            <w:pPr>
              <w:pStyle w:val="19"/>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rPr>
                <w:rFonts w:hint="default"/>
                <w:vertAlign w:val="baseline"/>
                <w:lang w:val="en-US" w:eastAsia="zh-CN"/>
              </w:rPr>
            </w:pPr>
          </w:p>
        </w:tc>
        <w:tc>
          <w:tcPr>
            <w:tcW w:w="777" w:type="pct"/>
            <w:shd w:val="clear" w:color="auto" w:fill="auto"/>
            <w:vAlign w:val="center"/>
          </w:tcPr>
          <w:p>
            <w:pPr>
              <w:pStyle w:val="19"/>
              <w:rPr>
                <w:rFonts w:hint="default"/>
                <w:vertAlign w:val="baseline"/>
                <w:lang w:val="en-US" w:eastAsia="zh-CN"/>
              </w:rPr>
            </w:pPr>
            <w:r>
              <w:rPr>
                <w:rFonts w:hint="eastAsia"/>
                <w:vertAlign w:val="baseline"/>
                <w:lang w:val="en-US" w:eastAsia="zh-CN"/>
              </w:rPr>
              <w:t>G6</w:t>
            </w:r>
          </w:p>
        </w:tc>
        <w:tc>
          <w:tcPr>
            <w:tcW w:w="1870" w:type="pct"/>
            <w:shd w:val="clear" w:color="auto" w:fill="auto"/>
            <w:vAlign w:val="center"/>
          </w:tcPr>
          <w:p>
            <w:pPr>
              <w:pStyle w:val="19"/>
              <w:rPr>
                <w:rFonts w:hint="default"/>
                <w:vertAlign w:val="baseline"/>
                <w:lang w:val="en-US" w:eastAsia="zh-CN"/>
              </w:rPr>
            </w:pPr>
            <w:r>
              <w:rPr>
                <w:rFonts w:hint="eastAsia"/>
                <w:vertAlign w:val="baseline"/>
                <w:lang w:val="en-US" w:eastAsia="zh-CN"/>
              </w:rPr>
              <w:t>浇铸</w:t>
            </w:r>
          </w:p>
        </w:tc>
        <w:tc>
          <w:tcPr>
            <w:tcW w:w="1871" w:type="pct"/>
            <w:shd w:val="clear" w:color="auto" w:fill="auto"/>
            <w:vAlign w:val="center"/>
          </w:tcPr>
          <w:p>
            <w:pPr>
              <w:pStyle w:val="19"/>
              <w:rPr>
                <w:rFonts w:hint="default"/>
                <w:vertAlign w:val="baseline"/>
                <w:lang w:val="en-US" w:eastAsia="zh-CN"/>
              </w:rPr>
            </w:pPr>
            <w:r>
              <w:rPr>
                <w:rFonts w:hint="eastAsia"/>
                <w:vertAlign w:val="baseline"/>
                <w:lang w:val="en-US" w:eastAsia="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0" w:type="pct"/>
            <w:vMerge w:val="continue"/>
            <w:shd w:val="clear" w:color="auto" w:fill="auto"/>
            <w:vAlign w:val="center"/>
          </w:tcPr>
          <w:p>
            <w:pPr>
              <w:pStyle w:val="19"/>
              <w:rPr>
                <w:rFonts w:hint="default"/>
                <w:vertAlign w:val="baseline"/>
                <w:lang w:val="en-US" w:eastAsia="zh-CN"/>
              </w:rPr>
            </w:pPr>
          </w:p>
        </w:tc>
        <w:tc>
          <w:tcPr>
            <w:tcW w:w="777" w:type="pct"/>
            <w:shd w:val="clear" w:color="auto" w:fill="auto"/>
            <w:vAlign w:val="center"/>
          </w:tcPr>
          <w:p>
            <w:pPr>
              <w:pStyle w:val="19"/>
              <w:rPr>
                <w:rFonts w:hint="eastAsia"/>
                <w:vertAlign w:val="baseline"/>
                <w:lang w:val="en-US" w:eastAsia="zh-CN"/>
              </w:rPr>
            </w:pPr>
            <w:r>
              <w:rPr>
                <w:rFonts w:hint="eastAsia"/>
                <w:vertAlign w:val="baseline"/>
                <w:lang w:val="en-US" w:eastAsia="zh-CN"/>
              </w:rPr>
              <w:t>G7</w:t>
            </w:r>
          </w:p>
        </w:tc>
        <w:tc>
          <w:tcPr>
            <w:tcW w:w="1870" w:type="pct"/>
            <w:shd w:val="clear" w:color="auto" w:fill="auto"/>
            <w:vAlign w:val="center"/>
          </w:tcPr>
          <w:p>
            <w:pPr>
              <w:pStyle w:val="19"/>
              <w:rPr>
                <w:rFonts w:hint="default"/>
                <w:vertAlign w:val="baseline"/>
                <w:lang w:val="en-US" w:eastAsia="zh-CN"/>
              </w:rPr>
            </w:pPr>
            <w:r>
              <w:rPr>
                <w:rFonts w:hint="eastAsia"/>
                <w:vertAlign w:val="baseline"/>
                <w:lang w:val="en-US" w:eastAsia="zh-CN"/>
              </w:rPr>
              <w:t>热处理</w:t>
            </w:r>
          </w:p>
        </w:tc>
        <w:tc>
          <w:tcPr>
            <w:tcW w:w="1871" w:type="pct"/>
            <w:shd w:val="clear" w:color="auto" w:fill="auto"/>
            <w:vAlign w:val="center"/>
          </w:tcPr>
          <w:p>
            <w:pPr>
              <w:pStyle w:val="19"/>
              <w:rPr>
                <w:rFonts w:hint="default"/>
                <w:vertAlign w:val="baseline"/>
                <w:lang w:val="en-US" w:eastAsia="zh-CN"/>
              </w:rPr>
            </w:pPr>
            <w:r>
              <w:rPr>
                <w:rFonts w:hint="eastAsia"/>
                <w:vertAlign w:val="baseline"/>
                <w:lang w:val="en-US" w:eastAsia="zh-CN"/>
              </w:rPr>
              <w:t>颗粒物、二氧化硫、氮氧化物</w:t>
            </w:r>
          </w:p>
        </w:tc>
      </w:tr>
    </w:tbl>
    <w:p>
      <w:pPr>
        <w:bidi w:val="0"/>
        <w:rPr>
          <w:rFonts w:hint="eastAsia"/>
          <w:b/>
          <w:bCs/>
          <w:lang w:val="en-US" w:eastAsia="zh-CN"/>
        </w:rPr>
      </w:pPr>
    </w:p>
    <w:p>
      <w:pPr>
        <w:pStyle w:val="29"/>
        <w:rPr>
          <w:rFonts w:hint="default"/>
          <w:lang w:val="en-US" w:eastAsia="zh-CN"/>
        </w:rPr>
      </w:pPr>
      <w:r>
        <w:rPr>
          <w:rFonts w:hint="eastAsia"/>
          <w:lang w:val="en-US" w:eastAsia="zh-CN"/>
        </w:rPr>
        <w:t>2</w:t>
      </w:r>
      <w:r>
        <w:t>.</w:t>
      </w:r>
      <w:r>
        <w:rPr>
          <w:rFonts w:hint="eastAsia"/>
          <w:lang w:val="en-US" w:eastAsia="zh-CN"/>
        </w:rPr>
        <w:t>2 废气治理措施及可行性</w:t>
      </w:r>
    </w:p>
    <w:p>
      <w:pPr>
        <w:keepNext w:val="0"/>
        <w:keepLines w:val="0"/>
        <w:pageBreakBefore w:val="0"/>
        <w:widowControl w:val="0"/>
        <w:kinsoku/>
        <w:wordWrap/>
        <w:overflowPunct/>
        <w:topLinePunct w:val="0"/>
        <w:autoSpaceDE/>
        <w:autoSpaceDN/>
        <w:bidi w:val="0"/>
        <w:adjustRightInd/>
        <w:snapToGrid/>
        <w:textAlignment w:val="auto"/>
        <w:rPr>
          <w:rFonts w:hint="default"/>
          <w:b/>
          <w:bCs/>
          <w:lang w:val="en-US" w:eastAsia="zh-CN"/>
        </w:rPr>
      </w:pPr>
      <w:r>
        <w:rPr>
          <w:rFonts w:hint="eastAsia"/>
          <w:lang w:val="en-US" w:eastAsia="zh-CN"/>
        </w:rPr>
        <w:t>根据《铸造工业大气污染防治可行技术指南》(HJ 1292-2023)，金属熔炼(化)工序大气污染防治可行技术如下表2.2-1。</w:t>
      </w:r>
    </w:p>
    <w:p>
      <w:pPr>
        <w:keepNext w:val="0"/>
        <w:keepLines w:val="0"/>
        <w:pageBreakBefore w:val="0"/>
        <w:widowControl w:val="0"/>
        <w:kinsoku/>
        <w:wordWrap/>
        <w:overflowPunct/>
        <w:topLinePunct w:val="0"/>
        <w:autoSpaceDE/>
        <w:autoSpaceDN/>
        <w:bidi w:val="0"/>
        <w:adjustRightInd/>
        <w:snapToGrid/>
        <w:textAlignment w:val="auto"/>
        <w:rPr>
          <w:rFonts w:hint="default" w:eastAsia="宋体"/>
          <w:lang w:val="en-US" w:eastAsia="zh-CN"/>
        </w:rPr>
      </w:pPr>
      <w:r>
        <w:rPr>
          <w:rFonts w:hint="eastAsia"/>
          <w:lang w:val="en-US" w:eastAsia="zh-CN"/>
        </w:rPr>
        <w:t>项目电弧炉、AOD炉共用1套天车可通过式屋顶罩捕集(</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val="en-US" w:eastAsia="zh-CN"/>
        </w:rPr>
        <w:t>，</w:t>
      </w:r>
      <w:r>
        <w:rPr>
          <w:rFonts w:hint="eastAsia"/>
          <w:lang w:val="en-US" w:eastAsia="zh-CN"/>
        </w:rPr>
        <w:t>配套风机最大风量</w:t>
      </w:r>
      <w:r>
        <w:rPr>
          <w:rFonts w:hint="eastAsia" w:ascii="Times New Roman" w:hAnsi="Times New Roman" w:cs="Times New Roman"/>
          <w:sz w:val="24"/>
          <w:lang w:val="en-US" w:eastAsia="zh-CN"/>
        </w:rPr>
        <w:t>32</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w:t>
      </w:r>
      <w:r>
        <w:rPr>
          <w:rFonts w:hint="eastAsia" w:ascii="Times New Roman" w:hAnsi="Times New Roman" w:cs="Times New Roman"/>
          <w:sz w:val="24"/>
          <w:lang w:eastAsia="zh-CN"/>
        </w:rPr>
        <w:t>，</w:t>
      </w:r>
      <w:r>
        <w:rPr>
          <w:rFonts w:hint="eastAsia"/>
          <w:lang w:val="en-US" w:eastAsia="zh-CN"/>
        </w:rPr>
        <w:t>LF炉、VOD炉及合金熔融炉共用1套天车可通过式屋顶罩捕集(</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val="en-US" w:eastAsia="zh-CN"/>
        </w:rPr>
        <w:t>，</w:t>
      </w:r>
      <w:r>
        <w:rPr>
          <w:rFonts w:hint="eastAsia"/>
          <w:lang w:val="en-US" w:eastAsia="zh-CN"/>
        </w:rPr>
        <w:t>配套风机最大风量</w:t>
      </w:r>
      <w:r>
        <w:rPr>
          <w:rFonts w:hint="eastAsia" w:ascii="Times New Roman" w:hAnsi="Times New Roman" w:cs="Times New Roman"/>
          <w:sz w:val="24"/>
          <w:lang w:val="en-US" w:eastAsia="zh-CN"/>
        </w:rPr>
        <w:t>27</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w:t>
      </w:r>
      <w:r>
        <w:rPr>
          <w:rFonts w:hint="eastAsia" w:ascii="Times New Roman" w:hAnsi="Times New Roman" w:cs="Times New Roman"/>
          <w:sz w:val="24"/>
          <w:lang w:eastAsia="zh-CN"/>
        </w:rPr>
        <w:t>，</w:t>
      </w:r>
      <w:r>
        <w:rPr>
          <w:rFonts w:hint="eastAsia" w:ascii="Times New Roman" w:hAnsi="Times New Roman" w:cs="Times New Roman"/>
          <w:sz w:val="24"/>
        </w:rPr>
        <w:t>浇注废气单独采用</w:t>
      </w:r>
      <w:r>
        <w:rPr>
          <w:rFonts w:hint="eastAsia" w:ascii="Times New Roman" w:hAnsi="Times New Roman" w:cs="Times New Roman"/>
          <w:sz w:val="24"/>
          <w:lang w:val="en-US" w:eastAsia="zh-CN"/>
        </w:rPr>
        <w:t>1</w:t>
      </w:r>
      <w:r>
        <w:rPr>
          <w:rFonts w:hint="eastAsia" w:ascii="Times New Roman" w:hAnsi="Times New Roman" w:cs="Times New Roman"/>
          <w:sz w:val="24"/>
        </w:rPr>
        <w:t>套屋顶罩捕集</w:t>
      </w:r>
      <w:r>
        <w:rPr>
          <w:rFonts w:hint="eastAsia"/>
          <w:lang w:val="en-US" w:eastAsia="zh-CN"/>
        </w:rPr>
        <w:t>(</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eastAsia="zh-CN"/>
        </w:rPr>
        <w:t>，</w:t>
      </w:r>
      <w:r>
        <w:rPr>
          <w:rFonts w:hint="eastAsia"/>
          <w:lang w:val="en-US" w:eastAsia="zh-CN"/>
        </w:rPr>
        <w:t>配套风机最大风量</w:t>
      </w:r>
      <w:r>
        <w:rPr>
          <w:rFonts w:hint="eastAsia" w:ascii="Times New Roman" w:hAnsi="Times New Roman" w:cs="Times New Roman"/>
          <w:sz w:val="24"/>
          <w:lang w:val="en-US" w:eastAsia="zh-CN"/>
        </w:rPr>
        <w:t>7.2</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h。捕集到的废气送至袋式除尘器除尘处理，除尘效率9</w:t>
      </w:r>
      <w:r>
        <w:rPr>
          <w:rFonts w:hint="eastAsia" w:cs="Times New Roman"/>
          <w:sz w:val="24"/>
          <w:lang w:val="en-US" w:eastAsia="zh-CN"/>
        </w:rPr>
        <w:t>8</w:t>
      </w:r>
      <w:r>
        <w:rPr>
          <w:rFonts w:hint="eastAsia" w:ascii="Times New Roman" w:hAnsi="Times New Roman" w:cs="Times New Roman"/>
          <w:sz w:val="24"/>
          <w:lang w:val="en-US" w:eastAsia="zh-CN"/>
        </w:rPr>
        <w:t>%，处理后的废气通过1根高15m、内径2.6m排气筒</w:t>
      </w:r>
      <w:r>
        <w:rPr>
          <w:rFonts w:hint="eastAsia" w:cs="Times New Roman"/>
          <w:sz w:val="24"/>
          <w:lang w:val="en-US" w:eastAsia="zh-CN"/>
        </w:rPr>
        <w:t>(</w:t>
      </w:r>
      <w:r>
        <w:rPr>
          <w:rFonts w:hint="eastAsia" w:ascii="Times New Roman" w:hAnsi="Times New Roman" w:cs="Times New Roman"/>
          <w:sz w:val="24"/>
          <w:lang w:val="en-US" w:eastAsia="zh-CN"/>
        </w:rPr>
        <w:t>DA001</w:t>
      </w:r>
      <w:r>
        <w:rPr>
          <w:rFonts w:hint="eastAsia" w:cs="Times New Roman"/>
          <w:sz w:val="24"/>
          <w:lang w:val="en-US" w:eastAsia="zh-CN"/>
        </w:rPr>
        <w:t>)</w:t>
      </w:r>
      <w:r>
        <w:rPr>
          <w:rFonts w:hint="eastAsia" w:ascii="Times New Roman" w:hAnsi="Times New Roman" w:cs="Times New Roman"/>
          <w:sz w:val="24"/>
          <w:lang w:val="en-US" w:eastAsia="zh-CN"/>
        </w:rPr>
        <w:t>排放</w:t>
      </w:r>
      <w:r>
        <w:rPr>
          <w:rFonts w:hint="eastAsia" w:cs="Times New Roman"/>
          <w:sz w:val="24"/>
          <w:lang w:val="en-US" w:eastAsia="zh-CN"/>
        </w:rPr>
        <w:t>。</w:t>
      </w:r>
    </w:p>
    <w:p>
      <w:pPr>
        <w:bidi w:val="0"/>
        <w:rPr>
          <w:rFonts w:hint="default"/>
          <w:lang w:val="en-US" w:eastAsia="zh-CN"/>
        </w:rPr>
      </w:pPr>
      <w:r>
        <w:rPr>
          <w:rFonts w:hint="eastAsia"/>
          <w:lang w:val="en-US" w:eastAsia="zh-CN"/>
        </w:rPr>
        <w:t>项目设置4台燃气式台车热处理炉，均采用天然气作为燃料，燃烧废气主要污染物为颗粒物、二氧化硫和氮氧化物。热处理炉采用低氮燃烧技术(带烟气回流低氮天然气燃烧器)，可降低50%氮氧化物排放。4台热处理炉废气合用1跟高15m、</w:t>
      </w:r>
      <w:r>
        <w:rPr>
          <w:rFonts w:hint="eastAsia" w:ascii="Times New Roman" w:hAnsi="Times New Roman" w:cs="Times New Roman"/>
          <w:sz w:val="24"/>
          <w:lang w:val="en-US" w:eastAsia="zh-CN"/>
        </w:rPr>
        <w:t>内径1.0m排气筒</w:t>
      </w:r>
      <w:r>
        <w:rPr>
          <w:rFonts w:hint="eastAsia" w:cs="Times New Roman"/>
          <w:sz w:val="24"/>
          <w:lang w:val="en-US" w:eastAsia="zh-CN"/>
        </w:rPr>
        <w:t>(</w:t>
      </w:r>
      <w:r>
        <w:rPr>
          <w:rFonts w:hint="eastAsia" w:ascii="Times New Roman" w:hAnsi="Times New Roman" w:cs="Times New Roman"/>
          <w:sz w:val="24"/>
          <w:lang w:val="en-US" w:eastAsia="zh-CN"/>
        </w:rPr>
        <w:t>DA002</w:t>
      </w:r>
      <w:r>
        <w:rPr>
          <w:rFonts w:hint="eastAsia" w:cs="Times New Roman"/>
          <w:sz w:val="24"/>
          <w:lang w:val="en-US" w:eastAsia="zh-CN"/>
        </w:rPr>
        <w:t>)</w:t>
      </w:r>
      <w:r>
        <w:rPr>
          <w:rFonts w:hint="eastAsia" w:ascii="Times New Roman" w:hAnsi="Times New Roman" w:cs="Times New Roman"/>
          <w:sz w:val="24"/>
          <w:lang w:val="en-US" w:eastAsia="zh-CN"/>
        </w:rPr>
        <w:t>排放。</w:t>
      </w:r>
    </w:p>
    <w:p>
      <w:pPr>
        <w:pStyle w:val="21"/>
        <w:bidi w:val="0"/>
      </w:pPr>
      <w:r>
        <w:drawing>
          <wp:inline distT="0" distB="0" distL="114300" distR="114300">
            <wp:extent cx="5760085" cy="3359785"/>
            <wp:effectExtent l="0" t="0" r="12065" b="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7"/>
                    <a:stretch>
                      <a:fillRect/>
                    </a:stretch>
                  </pic:blipFill>
                  <pic:spPr>
                    <a:xfrm>
                      <a:off x="0" y="0"/>
                      <a:ext cx="5760085" cy="3359785"/>
                    </a:xfrm>
                    <a:prstGeom prst="rect">
                      <a:avLst/>
                    </a:prstGeom>
                    <a:noFill/>
                    <a:ln>
                      <a:noFill/>
                    </a:ln>
                  </pic:spPr>
                </pic:pic>
              </a:graphicData>
            </a:graphic>
          </wp:inline>
        </w:drawing>
      </w:r>
    </w:p>
    <w:p>
      <w:pPr>
        <w:pStyle w:val="23"/>
        <w:bidi w:val="0"/>
        <w:rPr>
          <w:rFonts w:hint="default"/>
          <w:lang w:val="en-US" w:eastAsia="zh-CN"/>
        </w:rPr>
      </w:pPr>
      <w:r>
        <w:rPr>
          <w:rFonts w:hint="eastAsia"/>
          <w:lang w:val="en-US" w:eastAsia="zh-CN"/>
        </w:rPr>
        <w:t>图2.2-1  项目废气收集处理示意图</w:t>
      </w:r>
    </w:p>
    <w:p>
      <w:pPr>
        <w:bidi w:val="0"/>
        <w:rPr>
          <w:rFonts w:hint="eastAsia"/>
          <w:lang w:val="en-US" w:eastAsia="zh-CN"/>
        </w:rPr>
        <w:sectPr>
          <w:pgSz w:w="11906" w:h="16838"/>
          <w:pgMar w:top="1418" w:right="1418" w:bottom="1418" w:left="1418" w:header="851" w:footer="851" w:gutter="0"/>
          <w:cols w:space="425" w:num="1"/>
          <w:docGrid w:type="lines" w:linePitch="326" w:charSpace="0"/>
        </w:sectPr>
      </w:pPr>
    </w:p>
    <w:p>
      <w:pPr>
        <w:pStyle w:val="21"/>
        <w:bidi w:val="0"/>
        <w:rPr>
          <w:rFonts w:hint="eastAsia"/>
          <w:lang w:val="en-US" w:eastAsia="zh-CN"/>
        </w:rPr>
      </w:pPr>
      <w:r>
        <w:rPr>
          <w:rFonts w:hint="eastAsia"/>
          <w:lang w:val="en-US" w:eastAsia="zh-CN"/>
        </w:rPr>
        <w:t>表2.2-1  金属熔炼(化)工序大气污染防治可行技术</w:t>
      </w:r>
    </w:p>
    <w:tbl>
      <w:tblPr>
        <w:tblStyle w:val="16"/>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64"/>
        <w:gridCol w:w="1296"/>
        <w:gridCol w:w="3145"/>
        <w:gridCol w:w="1151"/>
        <w:gridCol w:w="1310"/>
        <w:gridCol w:w="1316"/>
        <w:gridCol w:w="1205"/>
        <w:gridCol w:w="36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5" w:hRule="atLeast"/>
        </w:trPr>
        <w:tc>
          <w:tcPr>
            <w:tcW w:w="41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b/>
                <w:bCs/>
              </w:rPr>
            </w:pPr>
            <w:r>
              <w:rPr>
                <w:b/>
                <w:bCs/>
                <w:lang w:val="en-US" w:eastAsia="zh-CN"/>
              </w:rPr>
              <w:t>可行技术</w:t>
            </w:r>
          </w:p>
        </w:tc>
        <w:tc>
          <w:tcPr>
            <w:tcW w:w="4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预防技术</w:t>
            </w:r>
          </w:p>
        </w:tc>
        <w:tc>
          <w:tcPr>
            <w:tcW w:w="110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治理技术</w:t>
            </w:r>
          </w:p>
        </w:tc>
        <w:tc>
          <w:tcPr>
            <w:tcW w:w="1753"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污染物排放浓度水平(mg/m³)</w:t>
            </w:r>
          </w:p>
        </w:tc>
        <w:tc>
          <w:tcPr>
            <w:tcW w:w="127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技术适用条件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p>
        </w:tc>
        <w:tc>
          <w:tcPr>
            <w:tcW w:w="4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p>
        </w:tc>
        <w:tc>
          <w:tcPr>
            <w:tcW w:w="110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颗粒物</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SO₂</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NOx</w:t>
            </w:r>
          </w:p>
        </w:tc>
        <w:tc>
          <w:tcPr>
            <w:tcW w:w="4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铅及其化合物</w:t>
            </w:r>
          </w:p>
        </w:tc>
        <w:tc>
          <w:tcPr>
            <w:tcW w:w="127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可行技术1</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110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①旋风除尘技术+②袋式除尘技术+③湿法脱硫技术/①旋风除尘技术+②干法脱硫技术+③袋式除尘技术</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5</w:t>
            </w:r>
            <w:r>
              <w:rPr>
                <w:rFonts w:hint="eastAsia"/>
                <w:lang w:val="en-US" w:eastAsia="zh-CN"/>
              </w:rPr>
              <w:t>~</w:t>
            </w:r>
            <w:r>
              <w:rPr>
                <w:lang w:val="en-US" w:eastAsia="zh-CN"/>
              </w:rPr>
              <w:t>30</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25</w:t>
            </w:r>
            <w:r>
              <w:rPr>
                <w:rFonts w:hint="eastAsia"/>
                <w:lang w:val="en-US" w:eastAsia="zh-CN"/>
              </w:rPr>
              <w:t>~</w:t>
            </w:r>
            <w:r>
              <w:rPr>
                <w:lang w:val="en-US" w:eastAsia="zh-CN"/>
              </w:rPr>
              <w:t>200</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4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127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适用于以铸造焦炭为燃料的冲天炉。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7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可行技术2</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炉盖与除尘一体化技术</w:t>
            </w:r>
          </w:p>
        </w:tc>
        <w:tc>
          <w:tcPr>
            <w:tcW w:w="110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①旋风除尘技术(可选)+②袋式除尘技术/滤筒除尘技术</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5</w:t>
            </w:r>
            <w:r>
              <w:rPr>
                <w:rFonts w:hint="eastAsia"/>
                <w:lang w:val="en-US" w:eastAsia="zh-CN"/>
              </w:rPr>
              <w:t>~</w:t>
            </w:r>
            <w:r>
              <w:rPr>
                <w:lang w:val="en-US" w:eastAsia="zh-CN"/>
              </w:rPr>
              <w:t>20</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4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127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适用于金属熔炼</w:t>
            </w:r>
            <w:r>
              <w:rPr>
                <w:rFonts w:hint="eastAsia"/>
                <w:lang w:val="en-US" w:eastAsia="zh-CN"/>
              </w:rPr>
              <w:t>(</w:t>
            </w:r>
            <w:r>
              <w:rPr>
                <w:lang w:val="en-US" w:eastAsia="zh-CN"/>
              </w:rPr>
              <w:t>化</w:t>
            </w:r>
            <w:r>
              <w:rPr>
                <w:rFonts w:hint="eastAsia"/>
                <w:lang w:val="en-US" w:eastAsia="zh-CN"/>
              </w:rPr>
              <w:t>)</w:t>
            </w:r>
            <w:r>
              <w:rPr>
                <w:lang w:val="en-US" w:eastAsia="zh-CN"/>
              </w:rPr>
              <w:t>工序的中频感应电炉。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2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可行技术3</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低氮燃烧技术</w:t>
            </w:r>
          </w:p>
        </w:tc>
        <w:tc>
          <w:tcPr>
            <w:tcW w:w="110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①旋风除尘技术(可选)+②袋式除尘技术/滤筒除尘技术</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5</w:t>
            </w:r>
            <w:r>
              <w:rPr>
                <w:rFonts w:hint="eastAsia"/>
                <w:lang w:val="en-US" w:eastAsia="zh-CN"/>
              </w:rPr>
              <w:t>~</w:t>
            </w:r>
            <w:r>
              <w:rPr>
                <w:lang w:val="en-US" w:eastAsia="zh-CN"/>
              </w:rPr>
              <w:t>20</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50</w:t>
            </w:r>
            <w:r>
              <w:rPr>
                <w:rFonts w:hint="eastAsia"/>
                <w:lang w:val="en-US" w:eastAsia="zh-CN"/>
              </w:rPr>
              <w:t>~</w:t>
            </w:r>
            <w:r>
              <w:rPr>
                <w:lang w:val="en-US" w:eastAsia="zh-CN"/>
              </w:rPr>
              <w:t>200</w:t>
            </w:r>
          </w:p>
        </w:tc>
        <w:tc>
          <w:tcPr>
            <w:tcW w:w="4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127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适用于金属熔炼</w:t>
            </w:r>
            <w:r>
              <w:rPr>
                <w:rFonts w:hint="eastAsia"/>
                <w:lang w:val="en-US" w:eastAsia="zh-CN"/>
              </w:rPr>
              <w:t>(</w:t>
            </w:r>
            <w:r>
              <w:rPr>
                <w:lang w:val="en-US" w:eastAsia="zh-CN"/>
              </w:rPr>
              <w:t>化</w:t>
            </w:r>
            <w:r>
              <w:rPr>
                <w:rFonts w:hint="eastAsia"/>
                <w:lang w:val="en-US" w:eastAsia="zh-CN"/>
              </w:rPr>
              <w:t>)</w:t>
            </w:r>
            <w:r>
              <w:rPr>
                <w:lang w:val="en-US" w:eastAsia="zh-CN"/>
              </w:rPr>
              <w:t>工序的燃气炉，一般应用于铝合金的熔炼</w:t>
            </w:r>
            <w:r>
              <w:rPr>
                <w:rFonts w:hint="eastAsia"/>
                <w:lang w:val="en-US" w:eastAsia="zh-CN"/>
              </w:rPr>
              <w:t>(</w:t>
            </w:r>
            <w:r>
              <w:rPr>
                <w:lang w:val="en-US" w:eastAsia="zh-CN"/>
              </w:rPr>
              <w:t>化</w:t>
            </w:r>
            <w:r>
              <w:rPr>
                <w:rFonts w:hint="eastAsia"/>
                <w:lang w:val="en-US" w:eastAsia="zh-CN"/>
              </w:rPr>
              <w:t>)</w:t>
            </w:r>
            <w:r>
              <w:rPr>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6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可行技术4</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w:t>
            </w:r>
          </w:p>
        </w:tc>
        <w:tc>
          <w:tcPr>
            <w:tcW w:w="110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①旋风除尘技术(可选)+②袋式除尘技术/滤筒除尘技术</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5</w:t>
            </w:r>
            <w:r>
              <w:rPr>
                <w:rFonts w:hint="eastAsia"/>
                <w:b/>
                <w:bCs/>
                <w:lang w:val="en-US" w:eastAsia="zh-CN"/>
              </w:rPr>
              <w:t>~</w:t>
            </w:r>
            <w:r>
              <w:rPr>
                <w:b/>
                <w:bCs/>
                <w:lang w:val="en-US" w:eastAsia="zh-CN"/>
              </w:rPr>
              <w:t>30</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w:t>
            </w:r>
          </w:p>
        </w:tc>
        <w:tc>
          <w:tcPr>
            <w:tcW w:w="4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2</w:t>
            </w:r>
            <w:r>
              <w:rPr>
                <w:b/>
                <w:bCs/>
                <w:vertAlign w:val="superscript"/>
                <w:lang w:val="en-US" w:eastAsia="zh-CN"/>
              </w:rPr>
              <w:t>a</w:t>
            </w:r>
          </w:p>
        </w:tc>
        <w:tc>
          <w:tcPr>
            <w:tcW w:w="127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b/>
                <w:bCs/>
              </w:rPr>
            </w:pPr>
            <w:r>
              <w:rPr>
                <w:b/>
                <w:bCs/>
                <w:lang w:val="en-US" w:eastAsia="zh-CN"/>
              </w:rPr>
              <w:t>适用于金属熔炼</w:t>
            </w:r>
            <w:r>
              <w:rPr>
                <w:rFonts w:hint="eastAsia"/>
                <w:b/>
                <w:bCs/>
                <w:lang w:val="en-US" w:eastAsia="zh-CN"/>
              </w:rPr>
              <w:t>(</w:t>
            </w:r>
            <w:r>
              <w:rPr>
                <w:b/>
                <w:bCs/>
                <w:lang w:val="en-US" w:eastAsia="zh-CN"/>
              </w:rPr>
              <w:t>化</w:t>
            </w:r>
            <w:r>
              <w:rPr>
                <w:rFonts w:hint="eastAsia"/>
                <w:b/>
                <w:bCs/>
                <w:lang w:val="en-US" w:eastAsia="zh-CN"/>
              </w:rPr>
              <w:t>)</w:t>
            </w:r>
            <w:r>
              <w:rPr>
                <w:b/>
                <w:bCs/>
                <w:lang w:val="en-US" w:eastAsia="zh-CN"/>
              </w:rPr>
              <w:t>工序的电弧炉、精炼炉、电阻炉、保温炉、坩埚炉及采用外部集尘罩的中频感应电炉等。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00" w:hRule="atLeast"/>
        </w:trPr>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可行技术5</w:t>
            </w:r>
          </w:p>
        </w:tc>
        <w:tc>
          <w:tcPr>
            <w:tcW w:w="456"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金属液定点处理技术</w:t>
            </w:r>
          </w:p>
        </w:tc>
        <w:tc>
          <w:tcPr>
            <w:tcW w:w="1107"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(1)旋风除尘技术(可选)+②袋式除尘技术/滤筒除尘技术</w:t>
            </w:r>
          </w:p>
        </w:tc>
        <w:tc>
          <w:tcPr>
            <w:tcW w:w="40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5</w:t>
            </w:r>
            <w:r>
              <w:rPr>
                <w:rFonts w:hint="eastAsia"/>
                <w:lang w:val="en-US" w:eastAsia="zh-CN"/>
              </w:rPr>
              <w:t>~</w:t>
            </w:r>
            <w:r>
              <w:rPr>
                <w:lang w:val="en-US" w:eastAsia="zh-CN"/>
              </w:rPr>
              <w:t>30</w:t>
            </w:r>
          </w:p>
        </w:tc>
        <w:tc>
          <w:tcPr>
            <w:tcW w:w="46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46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424"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w:t>
            </w:r>
          </w:p>
        </w:tc>
        <w:tc>
          <w:tcPr>
            <w:tcW w:w="1271"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rPr>
                <w:rFonts w:hint="default"/>
              </w:rPr>
            </w:pPr>
            <w:r>
              <w:rPr>
                <w:lang w:val="en-US" w:eastAsia="zh-CN"/>
              </w:rPr>
              <w:t>适用于金属熔炼</w:t>
            </w:r>
            <w:r>
              <w:rPr>
                <w:rFonts w:hint="eastAsia"/>
                <w:lang w:val="en-US" w:eastAsia="zh-CN"/>
              </w:rPr>
              <w:t>(</w:t>
            </w:r>
            <w:r>
              <w:rPr>
                <w:lang w:val="en-US" w:eastAsia="zh-CN"/>
              </w:rPr>
              <w:t>化</w:t>
            </w:r>
            <w:r>
              <w:rPr>
                <w:rFonts w:hint="eastAsia"/>
                <w:lang w:val="en-US" w:eastAsia="zh-CN"/>
              </w:rPr>
              <w:t>)</w:t>
            </w:r>
            <w:r>
              <w:rPr>
                <w:lang w:val="en-US" w:eastAsia="zh-CN"/>
              </w:rPr>
              <w:t>的金属液处理操作，如球化、蠕化、精炼、除气等，典型应用如球化站、蠕化站、除气机等，使用时需评估其适用性。</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pPr>
            <w:r>
              <w:rPr>
                <w:lang w:val="en-US" w:eastAsia="zh-CN"/>
              </w:rPr>
              <w:t>注：表中“+”代表大气污染治理技术组合。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5" w:hRule="atLeast"/>
        </w:trPr>
        <w:tc>
          <w:tcPr>
            <w:tcW w:w="5000" w:type="pct"/>
            <w:gridSpan w:val="8"/>
            <w:tcBorders>
              <w:top w:val="single" w:color="000000" w:sz="4" w:space="0"/>
              <w:left w:val="single" w:color="000000" w:sz="4" w:space="0"/>
              <w:bottom w:val="single" w:color="000000" w:sz="4" w:space="0"/>
              <w:right w:val="single" w:color="000000" w:sz="4" w:space="0"/>
            </w:tcBorders>
            <w:shd w:val="clear" w:color="auto" w:fill="auto"/>
            <w:vAlign w:val="center"/>
          </w:tcPr>
          <w:p>
            <w:pPr>
              <w:pStyle w:val="19"/>
              <w:bidi w:val="0"/>
              <w:jc w:val="left"/>
            </w:pPr>
            <w:r>
              <w:rPr>
                <w:lang w:val="en-US" w:eastAsia="zh-CN"/>
              </w:rPr>
              <w:t>a适用于铅基及铅青铜合金的铸造熔炼</w:t>
            </w:r>
            <w:r>
              <w:rPr>
                <w:rFonts w:hint="eastAsia"/>
                <w:lang w:val="en-US" w:eastAsia="zh-CN"/>
              </w:rPr>
              <w:t>(</w:t>
            </w:r>
            <w:r>
              <w:rPr>
                <w:lang w:val="en-US" w:eastAsia="zh-CN"/>
              </w:rPr>
              <w:t>化</w:t>
            </w:r>
            <w:r>
              <w:rPr>
                <w:rFonts w:hint="eastAsia"/>
                <w:lang w:val="en-US" w:eastAsia="zh-CN"/>
              </w:rPr>
              <w:t>)</w:t>
            </w:r>
            <w:r>
              <w:rPr>
                <w:lang w:val="en-US" w:eastAsia="zh-CN"/>
              </w:rPr>
              <w:t>炉。</w:t>
            </w:r>
          </w:p>
        </w:tc>
      </w:tr>
    </w:tbl>
    <w:p>
      <w:pPr>
        <w:pStyle w:val="19"/>
        <w:bidi w:val="0"/>
        <w:rPr>
          <w:rFonts w:hint="default"/>
          <w:lang w:val="en-US" w:eastAsia="zh-CN"/>
        </w:rPr>
      </w:pPr>
    </w:p>
    <w:p>
      <w:pPr>
        <w:pStyle w:val="4"/>
        <w:rPr>
          <w:rFonts w:hint="eastAsia"/>
          <w:lang w:val="en-US" w:eastAsia="zh-CN"/>
        </w:rPr>
        <w:sectPr>
          <w:pgSz w:w="16838" w:h="11906" w:orient="landscape"/>
          <w:pgMar w:top="1418" w:right="1418" w:bottom="1418" w:left="1418" w:header="851" w:footer="851" w:gutter="0"/>
          <w:cols w:space="425" w:num="1"/>
          <w:docGrid w:type="lines" w:linePitch="326" w:charSpace="0"/>
        </w:sectPr>
      </w:pPr>
    </w:p>
    <w:p>
      <w:pPr>
        <w:pStyle w:val="29"/>
        <w:rPr>
          <w:rFonts w:hint="default" w:eastAsia="宋体"/>
          <w:lang w:val="en-US" w:eastAsia="zh-CN"/>
        </w:rPr>
      </w:pPr>
      <w:r>
        <w:rPr>
          <w:rFonts w:hint="eastAsia"/>
          <w:lang w:val="en-US" w:eastAsia="zh-CN"/>
        </w:rPr>
        <w:t>2</w:t>
      </w:r>
      <w:r>
        <w:t>.</w:t>
      </w:r>
      <w:r>
        <w:rPr>
          <w:rFonts w:hint="eastAsia"/>
          <w:lang w:val="en-US" w:eastAsia="zh-CN"/>
        </w:rPr>
        <w:t>3</w:t>
      </w:r>
      <w:r>
        <w:t xml:space="preserve"> </w:t>
      </w:r>
      <w:r>
        <w:rPr>
          <w:rFonts w:hint="eastAsia"/>
          <w:lang w:val="en-US" w:eastAsia="zh-CN"/>
        </w:rPr>
        <w:t>废气污染源强</w:t>
      </w:r>
    </w:p>
    <w:p>
      <w:pPr>
        <w:pStyle w:val="29"/>
        <w:keepNext/>
        <w:keepLines/>
        <w:pageBreakBefore w:val="0"/>
        <w:widowControl w:val="0"/>
        <w:kinsoku/>
        <w:wordWrap/>
        <w:overflowPunct/>
        <w:topLinePunct w:val="0"/>
        <w:autoSpaceDE/>
        <w:autoSpaceDN/>
        <w:bidi w:val="0"/>
        <w:adjustRightInd/>
        <w:snapToGrid/>
        <w:textAlignment w:val="auto"/>
        <w:outlineLvl w:val="3"/>
        <w:rPr>
          <w:rFonts w:hint="default" w:eastAsia="宋体"/>
          <w:lang w:val="en-US" w:eastAsia="zh-CN"/>
        </w:rPr>
      </w:pPr>
      <w:r>
        <w:rPr>
          <w:rFonts w:hint="eastAsia"/>
          <w:lang w:val="en-US" w:eastAsia="zh-CN"/>
        </w:rPr>
        <w:t>2</w:t>
      </w:r>
      <w:r>
        <w:t>.</w:t>
      </w:r>
      <w:r>
        <w:rPr>
          <w:rFonts w:hint="eastAsia"/>
          <w:lang w:val="en-US" w:eastAsia="zh-CN"/>
        </w:rPr>
        <w:t>3.1 正常工况</w:t>
      </w:r>
    </w:p>
    <w:p>
      <w:pPr>
        <w:bidi w:val="0"/>
        <w:rPr>
          <w:rFonts w:hint="default"/>
          <w:b/>
          <w:bCs/>
          <w:lang w:val="en-US" w:eastAsia="zh-CN"/>
        </w:rPr>
      </w:pPr>
      <w:r>
        <w:rPr>
          <w:rFonts w:hint="eastAsia"/>
          <w:b/>
          <w:bCs/>
          <w:lang w:val="en-US" w:eastAsia="zh-CN"/>
        </w:rPr>
        <w:t>(1) 电弧炉冶炼废气(G1)</w:t>
      </w:r>
    </w:p>
    <w:p>
      <w:pPr>
        <w:bidi w:val="0"/>
        <w:rPr>
          <w:rFonts w:hint="default"/>
          <w:lang w:val="en-US" w:eastAsia="zh-CN"/>
        </w:rPr>
      </w:pPr>
      <w:r>
        <w:rPr>
          <w:rFonts w:hint="eastAsia"/>
          <w:lang w:val="en-US" w:eastAsia="zh-CN"/>
        </w:rPr>
        <w:t>电弧炉熔炼产生的废气主要污染物为颗粒物、氟化物和二噁英。</w:t>
      </w:r>
    </w:p>
    <w:p>
      <w:pPr>
        <w:bidi w:val="0"/>
        <w:rPr>
          <w:rFonts w:hint="eastAsia"/>
          <w:lang w:val="en-US" w:eastAsia="zh-CN"/>
        </w:rPr>
      </w:pPr>
      <w:r>
        <w:rPr>
          <w:rFonts w:hint="default" w:ascii="Times New Roman" w:hAnsi="Times New Roman" w:cs="Times New Roman"/>
        </w:rPr>
        <w:t>①</w:t>
      </w:r>
      <w:r>
        <w:rPr>
          <w:rFonts w:hint="eastAsia"/>
          <w:lang w:val="en-US" w:eastAsia="zh-CN"/>
        </w:rPr>
        <w:t>颗粒物</w:t>
      </w:r>
    </w:p>
    <w:p>
      <w:pPr>
        <w:bidi w:val="0"/>
        <w:rPr>
          <w:rFonts w:hint="default"/>
          <w:lang w:val="en-US"/>
        </w:rPr>
      </w:pPr>
      <w:r>
        <w:rPr>
          <w:rFonts w:hint="eastAsia"/>
          <w:lang w:val="en-US" w:eastAsia="zh-CN"/>
        </w:rPr>
        <w:t>参照《排放源统计调查产排污核算方法和系数手册》中“机械行业系数手册”下“熔炼”，废气产生系数14372</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lang w:val="en-US" w:eastAsia="zh-CN"/>
        </w:rPr>
        <w:t>/t·产品，颗粒物产生系数4.67kg/t·产品。项目年产钢水量约30000t，有效作业时间3600h，则电弧炉冶炼环节废气产生速率约</w:t>
      </w:r>
      <w:r>
        <w:rPr>
          <w:rFonts w:hint="eastAsia" w:ascii="Times New Roman" w:hAnsi="Times New Roman" w:cs="Times New Roman"/>
          <w:sz w:val="24"/>
          <w:lang w:val="en-US" w:eastAsia="zh-CN"/>
        </w:rPr>
        <w:t>119767</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w:t>
      </w:r>
      <w:r>
        <w:rPr>
          <w:rFonts w:hint="eastAsia"/>
          <w:lang w:val="en-US" w:eastAsia="zh-CN"/>
        </w:rPr>
        <w:t>(</w:t>
      </w:r>
      <w:r>
        <w:rPr>
          <w:rFonts w:hint="eastAsia" w:ascii="Times New Roman" w:hAnsi="Times New Roman" w:cs="Times New Roman"/>
          <w:sz w:val="24"/>
          <w:lang w:val="en-US" w:eastAsia="zh-CN"/>
        </w:rPr>
        <w:t>43116</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/a</w:t>
      </w:r>
      <w:r>
        <w:rPr>
          <w:rFonts w:hint="eastAsia"/>
          <w:lang w:val="en-US" w:eastAsia="zh-CN"/>
        </w:rPr>
        <w:t>)，颗粒物产生约38.92kg/h(140.10t/a)。经屋顶罩捕集(</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val="en-US" w:eastAsia="zh-CN"/>
        </w:rPr>
        <w:t>和布袋除尘器(出去效率98%)处理后，颗粒物排放浓度5.85mg/m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，小于</w:t>
      </w:r>
      <w:r>
        <w:rPr>
          <w:rFonts w:hint="eastAsia"/>
        </w:rPr>
        <w:t>《铸造工业大气污染物排放标准》</w:t>
      </w:r>
      <w:r>
        <w:rPr>
          <w:rFonts w:hint="eastAsia"/>
          <w:lang w:eastAsia="zh-CN"/>
        </w:rPr>
        <w:t>(</w:t>
      </w:r>
      <w:r>
        <w:rPr>
          <w:rFonts w:hint="eastAsia"/>
        </w:rPr>
        <w:t>GB</w:t>
      </w:r>
      <w:r>
        <w:t xml:space="preserve"> 39726-2020</w:t>
      </w:r>
      <w:r>
        <w:rPr>
          <w:rFonts w:hint="eastAsia"/>
          <w:lang w:eastAsia="zh-CN"/>
        </w:rPr>
        <w:t>)</w:t>
      </w:r>
      <w:r>
        <w:rPr>
          <w:rFonts w:hint="eastAsia"/>
          <w:lang w:val="en-US" w:eastAsia="zh-CN"/>
        </w:rPr>
        <w:t>中</w:t>
      </w:r>
      <w:r>
        <w:rPr>
          <w:rFonts w:hint="eastAsia"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标准限值</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sz w:val="24"/>
          <w:lang w:val="en-US" w:eastAsia="zh-CN"/>
        </w:rPr>
        <w:t>排放</w:t>
      </w:r>
      <w:r>
        <w:rPr>
          <w:rFonts w:hint="eastAsia"/>
          <w:lang w:val="en-US" w:eastAsia="zh-CN"/>
        </w:rPr>
        <w:t>约0.70kg/h(2.52t/a)；未捕集颗粒物以无组织形式排放，由于车间相对密闭，空气相对静止，通过加强车间降尘，绝大部分颗粒物自然沉降到地面，本次评价按照90%颗粒物自由沉降计算，则无组织颗粒物排放量约1.40t/a。</w:t>
      </w:r>
    </w:p>
    <w:p>
      <w:pPr>
        <w:rPr>
          <w:rFonts w:hint="eastAsia"/>
          <w:lang w:val="en-US" w:eastAsia="zh-CN"/>
        </w:rPr>
      </w:pPr>
      <w:r>
        <w:rPr>
          <w:rFonts w:hint="default" w:ascii="Times New Roman" w:hAnsi="Times New Roman" w:eastAsia="宋体" w:cs="Times New Roman"/>
        </w:rPr>
        <w:t>②</w:t>
      </w:r>
      <w:r>
        <w:rPr>
          <w:rFonts w:hint="eastAsia"/>
          <w:lang w:val="en-US" w:eastAsia="zh-CN"/>
        </w:rPr>
        <w:t>氟化物</w:t>
      </w:r>
    </w:p>
    <w:p>
      <w:pPr>
        <w:bidi w:val="0"/>
        <w:rPr>
          <w:rFonts w:hint="default" w:eastAsia="宋体"/>
          <w:color w:val="auto"/>
          <w:highlight w:val="none"/>
          <w:lang w:val="en-US" w:eastAsia="zh-CN"/>
        </w:rPr>
      </w:pPr>
      <w:r>
        <w:rPr>
          <w:rFonts w:hint="eastAsia"/>
          <w:color w:val="auto"/>
          <w:highlight w:val="none"/>
        </w:rPr>
        <w:t>氟化物因</w:t>
      </w:r>
      <w:r>
        <w:rPr>
          <w:rFonts w:hint="eastAsia"/>
          <w:color w:val="auto"/>
          <w:highlight w:val="none"/>
          <w:lang w:val="en-US" w:eastAsia="zh-CN"/>
        </w:rPr>
        <w:t>冶炼</w:t>
      </w:r>
      <w:r>
        <w:rPr>
          <w:color w:val="auto"/>
          <w:highlight w:val="none"/>
        </w:rPr>
        <w:t>时加入萤石而产生。萤石的主要作用是作为造渣剂，降低炉渣的熔点，降低炉渣的粘度，增加流动性，使钢水中的有害物质易于进入钢渣中。</w:t>
      </w:r>
      <w:r>
        <w:rPr>
          <w:rFonts w:hint="eastAsia"/>
          <w:color w:val="auto"/>
          <w:highlight w:val="none"/>
          <w:lang w:val="en-US" w:eastAsia="zh-CN"/>
        </w:rPr>
        <w:t>冶炼</w:t>
      </w:r>
      <w:r>
        <w:rPr>
          <w:color w:val="auto"/>
          <w:highlight w:val="none"/>
        </w:rPr>
        <w:t>过程中加入的氟化钙大部分融入渣中，与渣中的其它矿物发生反应，形成低熔点物质。</w:t>
      </w:r>
      <w:r>
        <w:rPr>
          <w:rFonts w:hAnsi="宋体"/>
          <w:snapToGrid w:val="0"/>
          <w:color w:val="auto"/>
          <w:spacing w:val="8"/>
          <w:highlight w:val="none"/>
        </w:rPr>
        <w:t>根据首钢</w:t>
      </w:r>
      <w:r>
        <w:rPr>
          <w:rFonts w:hint="eastAsia" w:hAnsi="宋体"/>
          <w:snapToGrid w:val="0"/>
          <w:color w:val="auto"/>
          <w:spacing w:val="8"/>
          <w:highlight w:val="none"/>
          <w:lang w:eastAsia="zh-CN"/>
        </w:rPr>
        <w:t>炼钢车间</w:t>
      </w:r>
      <w:r>
        <w:rPr>
          <w:rFonts w:hAnsi="宋体"/>
          <w:snapToGrid w:val="0"/>
          <w:color w:val="auto"/>
          <w:spacing w:val="8"/>
          <w:highlight w:val="none"/>
        </w:rPr>
        <w:t>氟平衡研究结果，炼钢氟的逸出率</w:t>
      </w:r>
      <w:r>
        <w:rPr>
          <w:rFonts w:hint="eastAsia" w:hAnsi="宋体"/>
          <w:snapToGrid w:val="0"/>
          <w:color w:val="auto"/>
          <w:spacing w:val="8"/>
          <w:highlight w:val="none"/>
        </w:rPr>
        <w:t>约</w:t>
      </w:r>
      <w:r>
        <w:rPr>
          <w:rFonts w:hint="eastAsia"/>
          <w:snapToGrid w:val="0"/>
          <w:color w:val="auto"/>
          <w:spacing w:val="8"/>
          <w:highlight w:val="none"/>
        </w:rPr>
        <w:t>8</w:t>
      </w:r>
      <w:r>
        <w:rPr>
          <w:snapToGrid w:val="0"/>
          <w:color w:val="auto"/>
          <w:spacing w:val="8"/>
          <w:highlight w:val="none"/>
        </w:rPr>
        <w:t>%</w:t>
      </w:r>
      <w:r>
        <w:rPr>
          <w:rFonts w:hint="eastAsia"/>
          <w:snapToGrid w:val="0"/>
          <w:color w:val="auto"/>
          <w:spacing w:val="8"/>
          <w:highlight w:val="none"/>
          <w:lang w:eastAsia="zh-CN"/>
        </w:rPr>
        <w:t>。</w:t>
      </w:r>
      <w:r>
        <w:rPr>
          <w:rFonts w:hint="eastAsia"/>
          <w:snapToGrid w:val="0"/>
          <w:color w:val="auto"/>
          <w:spacing w:val="8"/>
          <w:highlight w:val="none"/>
          <w:lang w:val="en-US" w:eastAsia="zh-CN"/>
        </w:rPr>
        <w:t>项目</w:t>
      </w:r>
      <w:r>
        <w:rPr>
          <w:color w:val="auto"/>
          <w:highlight w:val="none"/>
        </w:rPr>
        <w:t>萤石消耗</w:t>
      </w:r>
      <w:r>
        <w:rPr>
          <w:rFonts w:hint="eastAsia"/>
          <w:color w:val="auto"/>
          <w:highlight w:val="none"/>
          <w:lang w:val="en-US" w:eastAsia="zh-CN"/>
        </w:rPr>
        <w:t>量</w:t>
      </w:r>
      <w:r>
        <w:rPr>
          <w:color w:val="auto"/>
          <w:highlight w:val="none"/>
        </w:rPr>
        <w:t>为</w:t>
      </w:r>
      <w:r>
        <w:rPr>
          <w:rFonts w:hint="eastAsia"/>
          <w:color w:val="auto"/>
          <w:highlight w:val="none"/>
          <w:lang w:val="en-US" w:eastAsia="zh-CN"/>
        </w:rPr>
        <w:t>18</w:t>
      </w:r>
      <w:r>
        <w:rPr>
          <w:rFonts w:hint="eastAsia"/>
          <w:color w:val="auto"/>
          <w:highlight w:val="none"/>
        </w:rPr>
        <w:t>0</w:t>
      </w:r>
      <w:r>
        <w:rPr>
          <w:color w:val="auto"/>
          <w:highlight w:val="none"/>
        </w:rPr>
        <w:t>t/a</w:t>
      </w:r>
      <w:r>
        <w:rPr>
          <w:rFonts w:hint="eastAsia"/>
          <w:color w:val="auto"/>
          <w:highlight w:val="none"/>
          <w:lang w:eastAsia="zh-CN"/>
        </w:rPr>
        <w:t>，</w:t>
      </w:r>
      <w:r>
        <w:rPr>
          <w:rFonts w:hint="eastAsia"/>
          <w:color w:val="auto"/>
          <w:highlight w:val="none"/>
          <w:lang w:val="en-US" w:eastAsia="zh-CN"/>
        </w:rPr>
        <w:t>氟化钙含量约85%，则氟化物产生速率1.66</w:t>
      </w:r>
      <w:r>
        <w:rPr>
          <w:rFonts w:hint="eastAsia"/>
          <w:lang w:val="en-US" w:eastAsia="zh-CN"/>
        </w:rPr>
        <w:t>kg/h(5.96t/a)。</w:t>
      </w:r>
      <w:r>
        <w:rPr>
          <w:color w:val="auto"/>
          <w:highlight w:val="none"/>
        </w:rPr>
        <w:t>参照《宝钢环保技术(续篇)》第五分册，烟气中氟化物主要以尘氟形式存在，在烟气净化过程被除尘器清除下来</w:t>
      </w:r>
      <w:r>
        <w:rPr>
          <w:rFonts w:hint="eastAsia"/>
          <w:color w:val="auto"/>
          <w:highlight w:val="none"/>
        </w:rPr>
        <w:t>。</w:t>
      </w:r>
      <w:r>
        <w:rPr>
          <w:rFonts w:hint="eastAsia"/>
          <w:color w:val="auto"/>
          <w:highlight w:val="none"/>
          <w:lang w:val="en-US" w:eastAsia="zh-CN"/>
        </w:rPr>
        <w:t>结合除尘系统效率，</w:t>
      </w:r>
      <w:r>
        <w:rPr>
          <w:rFonts w:hint="default" w:ascii="Times New Roman" w:hAnsi="Times New Roman" w:cs="Times New Roman"/>
          <w:color w:val="000000" w:themeColor="text1"/>
          <w14:textFill>
            <w14:solidFill>
              <w14:schemeClr w14:val="tx1"/>
            </w14:solidFill>
          </w14:textFill>
        </w:rPr>
        <w:t>净化后的烟气氟化物（以F计）估算浓度为</w:t>
      </w:r>
      <w:r>
        <w:rPr>
          <w:rFonts w:hint="eastAsia" w:ascii="Times New Roman" w:hAnsi="Times New Roman" w:cs="Times New Roman"/>
          <w:color w:val="000000" w:themeColor="text1"/>
          <w:lang w:val="en-US" w:eastAsia="zh-CN"/>
          <w14:textFill>
            <w14:solidFill>
              <w14:schemeClr w14:val="tx1"/>
            </w14:solidFill>
          </w14:textFill>
        </w:rPr>
        <w:t>0.25</w:t>
      </w:r>
      <w:r>
        <w:rPr>
          <w:rFonts w:hint="default" w:ascii="Times New Roman" w:hAnsi="Times New Roman" w:cs="Times New Roman"/>
          <w:color w:val="000000" w:themeColor="text1"/>
          <w14:textFill>
            <w14:solidFill>
              <w14:schemeClr w14:val="tx1"/>
            </w14:solidFill>
          </w14:textFill>
        </w:rPr>
        <w:t>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，小于《炼钢工业大气污染物排放标准》</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GB</w:t>
      </w: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28664-2012</w:t>
      </w:r>
      <w:r>
        <w:rPr>
          <w:rFonts w:hint="eastAsia" w:ascii="Times New Roman" w:hAnsi="Times New Roman" w:cs="Times New Roman"/>
          <w:color w:val="000000" w:themeColor="text1"/>
          <w:lang w:val="en-US" w:eastAsia="zh-CN"/>
          <w14:textFill>
            <w14:solidFill>
              <w14:schemeClr w14:val="tx1"/>
            </w14:solidFill>
          </w14:textFill>
        </w:rPr>
        <w:t>)中</w:t>
      </w:r>
      <w:r>
        <w:rPr>
          <w:rFonts w:hint="default" w:ascii="Times New Roman" w:hAnsi="Times New Roman" w:cs="Times New Roman"/>
          <w:color w:val="000000" w:themeColor="text1"/>
          <w14:textFill>
            <w14:solidFill>
              <w14:schemeClr w14:val="tx1"/>
            </w14:solidFill>
          </w14:textFill>
        </w:rPr>
        <w:t>5mg/m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标准限值。</w:t>
      </w:r>
    </w:p>
    <w:p>
      <w:pPr>
        <w:bidi w:val="0"/>
        <w:rPr>
          <w:rFonts w:hint="eastAsia"/>
          <w:lang w:val="en-US" w:eastAsia="zh-CN"/>
        </w:rPr>
      </w:pPr>
      <w:r>
        <w:rPr>
          <w:rFonts w:hint="default" w:ascii="Times New Roman" w:hAnsi="Times New Roman" w:eastAsia="宋体" w:cs="Times New Roman"/>
        </w:rPr>
        <w:t>③</w:t>
      </w:r>
      <w:r>
        <w:rPr>
          <w:rFonts w:hint="eastAsia"/>
          <w:lang w:val="en-US" w:eastAsia="zh-CN"/>
        </w:rPr>
        <w:t>二噁英</w:t>
      </w:r>
    </w:p>
    <w:p>
      <w:pPr>
        <w:bidi w:val="0"/>
        <w:rPr>
          <w:rFonts w:hint="eastAsia"/>
        </w:rPr>
      </w:pPr>
      <w:r>
        <w:rPr>
          <w:rFonts w:hint="eastAsia"/>
          <w:lang w:val="en-US" w:eastAsia="zh-CN"/>
        </w:rPr>
        <w:t>项目以废钢为原料，冶炼过程中会产生二噁英。</w:t>
      </w:r>
      <w:r>
        <w:rPr>
          <w:rFonts w:hint="eastAsia"/>
        </w:rPr>
        <w:t>熔炼过程中二噁英主要产生与排放机理，有以下2种情况：①原料中含未完全破坏的PCDD/Fs，在温度不足以彻底分解前释放PCDD/Fs。②</w:t>
      </w:r>
      <w:r>
        <w:t>250</w:t>
      </w:r>
      <w:r>
        <w:rPr>
          <w:rFonts w:hint="eastAsia"/>
          <w:lang w:val="en-US" w:eastAsia="zh-CN"/>
        </w:rPr>
        <w:t>~</w:t>
      </w:r>
      <w:r>
        <w:t>400℃</w:t>
      </w:r>
      <w:r>
        <w:rPr>
          <w:rFonts w:hint="eastAsia"/>
        </w:rPr>
        <w:t>发生初始合成反应，氧化物分解与微分子碳结构转化成芳香族化合物。原料中所含油与有机物及其它碳源都可产生碳细尘粒，</w:t>
      </w:r>
      <w:r>
        <w:t>250-</w:t>
      </w:r>
      <w:r>
        <w:rPr>
          <w:rFonts w:hint="eastAsia"/>
        </w:rPr>
        <w:t>5</w:t>
      </w:r>
      <w:r>
        <w:t>00℃</w:t>
      </w:r>
      <w:r>
        <w:rPr>
          <w:rFonts w:hint="eastAsia"/>
        </w:rPr>
        <w:t>时，这些细尘粒与有机或无机氯元素反应生成PCDD/Fs。根据PCDD/Fs的生成机理，炼钢二噁英主要产生于废钢预热过程和烟气排放降温过程。</w:t>
      </w:r>
    </w:p>
    <w:p>
      <w:pPr>
        <w:bidi w:val="0"/>
        <w:rPr>
          <w:rFonts w:hint="default" w:eastAsia="宋体"/>
          <w:lang w:val="en-US" w:eastAsia="zh-CN"/>
        </w:rPr>
      </w:pPr>
      <w:r>
        <w:rPr>
          <w:rFonts w:hint="eastAsia" w:ascii="Times New Roman" w:hAnsi="Times New Roman" w:cs="Times New Roman"/>
          <w:sz w:val="24"/>
        </w:rPr>
        <w:t>查阅文献《电弧炉炼钢过程中二噁英类的排放浓度和同类物分布》</w:t>
      </w:r>
      <w:r>
        <w:rPr>
          <w:rFonts w:hint="eastAsia" w:cs="Times New Roman"/>
          <w:sz w:val="24"/>
          <w:lang w:eastAsia="zh-CN"/>
        </w:rPr>
        <w:t>(</w:t>
      </w:r>
      <w:r>
        <w:rPr>
          <w:rFonts w:hint="eastAsia" w:ascii="Times New Roman" w:hAnsi="Times New Roman" w:cs="Times New Roman"/>
          <w:sz w:val="24"/>
        </w:rPr>
        <w:t>陆勇</w:t>
      </w:r>
      <w:r>
        <w:rPr>
          <w:rFonts w:hint="eastAsia" w:cs="Times New Roman"/>
          <w:sz w:val="24"/>
          <w:lang w:eastAsia="zh-CN"/>
        </w:rPr>
        <w:t>)</w:t>
      </w:r>
      <w:r>
        <w:rPr>
          <w:rFonts w:hint="eastAsia" w:ascii="Times New Roman" w:hAnsi="Times New Roman" w:cs="Times New Roman"/>
          <w:sz w:val="24"/>
        </w:rPr>
        <w:t>可知，国内某电弧炉炼钢设施炉内直接排烟和屋顶罩排烟烟气中二噁英类毒性当量浓度分别为0.13ngTEQ/m</w:t>
      </w:r>
      <w:r>
        <w:rPr>
          <w:rFonts w:hint="eastAsia" w:ascii="Times New Roman" w:hAnsi="Times New Roman" w:cs="Times New Roman"/>
          <w:sz w:val="24"/>
          <w:vertAlign w:val="superscript"/>
        </w:rPr>
        <w:t>3</w:t>
      </w:r>
      <w:r>
        <w:rPr>
          <w:rFonts w:hint="eastAsia" w:ascii="Times New Roman" w:hAnsi="Times New Roman" w:cs="Times New Roman"/>
          <w:sz w:val="24"/>
        </w:rPr>
        <w:t>和0.17ng</w:t>
      </w:r>
      <w:r>
        <w:rPr>
          <w:rFonts w:hint="eastAsia" w:cs="Times New Roman"/>
          <w:sz w:val="24"/>
          <w:lang w:val="en-US" w:eastAsia="zh-CN"/>
        </w:rPr>
        <w:t xml:space="preserve"> </w:t>
      </w:r>
      <w:r>
        <w:rPr>
          <w:rFonts w:hint="eastAsia" w:ascii="Times New Roman" w:hAnsi="Times New Roman" w:cs="Times New Roman"/>
          <w:sz w:val="24"/>
        </w:rPr>
        <w:t>TEQ/m</w:t>
      </w:r>
      <w:r>
        <w:rPr>
          <w:rFonts w:hint="eastAsia" w:ascii="Times New Roman" w:hAnsi="Times New Roman" w:cs="Times New Roman"/>
          <w:sz w:val="24"/>
          <w:vertAlign w:val="superscript"/>
        </w:rPr>
        <w:t>3</w:t>
      </w:r>
      <w:r>
        <w:rPr>
          <w:rFonts w:hint="eastAsia" w:ascii="Times New Roman" w:hAnsi="Times New Roman" w:cs="Times New Roman"/>
          <w:sz w:val="24"/>
        </w:rPr>
        <w:t>，本次评价取大值计算</w:t>
      </w:r>
      <w:r>
        <w:rPr>
          <w:rFonts w:hint="eastAsia" w:ascii="Times New Roman" w:hAnsi="Times New Roman" w:cs="Times New Roman"/>
          <w:sz w:val="24"/>
          <w:lang w:eastAsia="zh-CN"/>
        </w:rPr>
        <w:t>。</w:t>
      </w:r>
      <w:r>
        <w:rPr>
          <w:rFonts w:hint="default" w:ascii="Times New Roman" w:hAnsi="Times New Roman" w:cs="Times New Roman"/>
          <w:sz w:val="24"/>
        </w:rPr>
        <w:t>项目电弧炉废气产生量为</w:t>
      </w:r>
      <w:r>
        <w:rPr>
          <w:rFonts w:hint="eastAsia" w:ascii="Times New Roman" w:hAnsi="Times New Roman" w:cs="Times New Roman"/>
          <w:sz w:val="24"/>
          <w:lang w:val="en-US" w:eastAsia="zh-CN"/>
        </w:rPr>
        <w:t>43116</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/a，则项目产生二噁英类</w:t>
      </w:r>
      <w:r>
        <w:rPr>
          <w:rFonts w:hint="eastAsia" w:ascii="Times New Roman" w:hAnsi="Times New Roman" w:cs="Times New Roman"/>
          <w:sz w:val="24"/>
          <w:lang w:val="en-US" w:eastAsia="zh-CN"/>
        </w:rPr>
        <w:t>7.</w:t>
      </w:r>
      <w:r>
        <w:rPr>
          <w:rFonts w:hint="eastAsia" w:cs="Times New Roman"/>
          <w:sz w:val="24"/>
          <w:lang w:val="en-US" w:eastAsia="zh-CN"/>
        </w:rPr>
        <w:t>33</w:t>
      </w:r>
      <w:r>
        <w:rPr>
          <w:rFonts w:hint="default" w:ascii="Times New Roman" w:hAnsi="Times New Roman" w:cs="Times New Roman"/>
          <w:sz w:val="24"/>
        </w:rPr>
        <w:t>×10</w:t>
      </w:r>
      <w:r>
        <w:rPr>
          <w:rFonts w:hint="default" w:ascii="Times New Roman" w:hAnsi="Times New Roman" w:cs="Times New Roman"/>
          <w:sz w:val="24"/>
          <w:vertAlign w:val="superscript"/>
        </w:rPr>
        <w:t>-</w:t>
      </w:r>
      <w:r>
        <w:rPr>
          <w:rFonts w:hint="eastAsia" w:ascii="Times New Roman" w:hAnsi="Times New Roman" w:cs="Times New Roman"/>
          <w:sz w:val="24"/>
          <w:vertAlign w:val="superscript"/>
          <w:lang w:val="en-US" w:eastAsia="zh-CN"/>
        </w:rPr>
        <w:t>8</w:t>
      </w:r>
      <w:r>
        <w:rPr>
          <w:rFonts w:hint="default" w:ascii="Times New Roman" w:hAnsi="Times New Roman" w:cs="Times New Roman"/>
          <w:sz w:val="24"/>
        </w:rPr>
        <w:t>t</w:t>
      </w:r>
      <w:r>
        <w:rPr>
          <w:rFonts w:hint="eastAsia" w:ascii="Times New Roman" w:hAnsi="Times New Roman" w:cs="Times New Roman"/>
          <w:sz w:val="24"/>
          <w:lang w:val="en-US" w:eastAsia="zh-CN"/>
        </w:rPr>
        <w:t xml:space="preserve"> </w:t>
      </w:r>
      <w:r>
        <w:rPr>
          <w:rFonts w:hint="eastAsia" w:ascii="Times New Roman" w:hAnsi="Times New Roman" w:cs="Times New Roman"/>
          <w:sz w:val="24"/>
        </w:rPr>
        <w:t>TEQ</w:t>
      </w:r>
      <w:r>
        <w:rPr>
          <w:rFonts w:hint="default" w:ascii="Times New Roman" w:hAnsi="Times New Roman" w:cs="Times New Roman"/>
          <w:sz w:val="24"/>
        </w:rPr>
        <w:t>/a。参照《布袋除尘器和活性炭滤布对烟气中二噁英类的去除效果》</w:t>
      </w:r>
      <w:r>
        <w:rPr>
          <w:rFonts w:hint="eastAsia" w:cs="Times New Roman"/>
          <w:sz w:val="24"/>
          <w:lang w:eastAsia="zh-CN"/>
        </w:rPr>
        <w:t>(</w:t>
      </w:r>
      <w:r>
        <w:rPr>
          <w:rFonts w:hint="default" w:ascii="Times New Roman" w:hAnsi="Times New Roman" w:cs="Times New Roman"/>
          <w:sz w:val="24"/>
        </w:rPr>
        <w:t>金宜英、聂永丰</w:t>
      </w:r>
      <w:r>
        <w:rPr>
          <w:rFonts w:hint="eastAsia" w:cs="Times New Roman"/>
          <w:sz w:val="24"/>
          <w:lang w:eastAsia="zh-CN"/>
        </w:rPr>
        <w:t>)</w:t>
      </w:r>
      <w:r>
        <w:rPr>
          <w:rFonts w:hint="default" w:ascii="Times New Roman" w:hAnsi="Times New Roman" w:cs="Times New Roman"/>
          <w:sz w:val="24"/>
        </w:rPr>
        <w:t>的研究结果：布袋除尘器在去除飞灰的同时对二噁英类也有一定的去除作用，但效率不到40%</w:t>
      </w:r>
      <w:r>
        <w:rPr>
          <w:rFonts w:hint="eastAsia" w:cs="Times New Roman"/>
          <w:sz w:val="24"/>
          <w:lang w:eastAsia="zh-CN"/>
        </w:rPr>
        <w:t>，</w:t>
      </w:r>
      <w:r>
        <w:rPr>
          <w:rFonts w:hint="eastAsia" w:cs="Times New Roman"/>
          <w:sz w:val="24"/>
          <w:lang w:val="en-US" w:eastAsia="zh-CN"/>
        </w:rPr>
        <w:t>本次评价取30%。</w:t>
      </w:r>
      <w:r>
        <w:rPr>
          <w:rFonts w:hint="default" w:ascii="Times New Roman" w:hAnsi="Times New Roman" w:cs="Times New Roman"/>
          <w:color w:val="000000" w:themeColor="text1"/>
          <w14:textFill>
            <w14:solidFill>
              <w14:schemeClr w14:val="tx1"/>
            </w14:solidFill>
          </w14:textFill>
        </w:rPr>
        <w:t>净化后的烟气</w:t>
      </w:r>
      <w:r>
        <w:rPr>
          <w:rFonts w:hint="eastAsia" w:ascii="Times New Roman" w:hAnsi="Times New Roman" w:cs="Times New Roman"/>
          <w:color w:val="000000" w:themeColor="text1"/>
          <w:lang w:val="en-US" w:eastAsia="zh-CN"/>
          <w14:textFill>
            <w14:solidFill>
              <w14:schemeClr w14:val="tx1"/>
            </w14:solidFill>
          </w14:textFill>
        </w:rPr>
        <w:t>二噁英</w:t>
      </w:r>
      <w:r>
        <w:rPr>
          <w:rFonts w:hint="default" w:ascii="Times New Roman" w:hAnsi="Times New Roman" w:cs="Times New Roman"/>
          <w:color w:val="000000" w:themeColor="text1"/>
          <w14:textFill>
            <w14:solidFill>
              <w14:schemeClr w14:val="tx1"/>
            </w14:solidFill>
          </w14:textFill>
        </w:rPr>
        <w:t>估算浓度为</w:t>
      </w:r>
      <w:r>
        <w:rPr>
          <w:rFonts w:hint="default" w:ascii="Times New Roman" w:hAnsi="Times New Roman" w:cs="Times New Roman"/>
          <w:sz w:val="24"/>
          <w:szCs w:val="24"/>
        </w:rPr>
        <w:t>0.</w:t>
      </w:r>
      <w:r>
        <w:rPr>
          <w:rFonts w:hint="default" w:ascii="Times New Roman" w:hAnsi="Times New Roman" w:cs="Times New Roman"/>
          <w:sz w:val="24"/>
          <w:szCs w:val="24"/>
          <w:lang w:val="en-US" w:eastAsia="zh-CN"/>
        </w:rPr>
        <w:t>05</w:t>
      </w:r>
      <w:r>
        <w:rPr>
          <w:rFonts w:hint="default" w:ascii="Times New Roman" w:hAnsi="Times New Roman" w:cs="Times New Roman"/>
          <w:sz w:val="24"/>
          <w:szCs w:val="24"/>
        </w:rPr>
        <w:t>ng</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TEQ/m</w:t>
      </w:r>
      <w:r>
        <w:rPr>
          <w:rFonts w:hint="default" w:ascii="Times New Roman" w:hAnsi="Times New Roman" w:cs="Times New Roman"/>
          <w:sz w:val="24"/>
          <w:szCs w:val="24"/>
          <w:vertAlign w:val="superscript"/>
        </w:rPr>
        <w:t>3</w:t>
      </w:r>
      <w:r>
        <w:rPr>
          <w:rFonts w:hint="default" w:ascii="Times New Roman" w:hAnsi="Times New Roman" w:cs="Times New Roman"/>
          <w:color w:val="000000" w:themeColor="text1"/>
          <w14:textFill>
            <w14:solidFill>
              <w14:schemeClr w14:val="tx1"/>
            </w14:solidFill>
          </w14:textFill>
        </w:rPr>
        <w:t>，小于《炼钢工业大气污染物排放标准》</w:t>
      </w:r>
      <w:r>
        <w:rPr>
          <w:rFonts w:hint="eastAsia" w:ascii="Times New Roman" w:hAnsi="Times New Roman" w:cs="Times New Roman"/>
          <w:color w:val="000000" w:themeColor="text1"/>
          <w:lang w:val="en-US"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GB</w:t>
      </w:r>
      <w:r>
        <w:rPr>
          <w:rFonts w:hint="eastAsia" w:ascii="Times New Roman" w:hAnsi="Times New Roman" w:cs="Times New Roman"/>
          <w:color w:val="000000" w:themeColor="text1"/>
          <w:lang w:val="en-US" w:eastAsia="zh-CN"/>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28664-2012</w:t>
      </w:r>
      <w:r>
        <w:rPr>
          <w:rFonts w:hint="eastAsia" w:ascii="Times New Roman" w:hAnsi="Times New Roman" w:cs="Times New Roman"/>
          <w:color w:val="000000" w:themeColor="text1"/>
          <w:lang w:val="en-US" w:eastAsia="zh-CN"/>
          <w14:textFill>
            <w14:solidFill>
              <w14:schemeClr w14:val="tx1"/>
            </w14:solidFill>
          </w14:textFill>
        </w:rPr>
        <w:t>)中</w:t>
      </w:r>
      <w:r>
        <w:rPr>
          <w:rFonts w:hint="default" w:ascii="Times New Roman" w:hAnsi="Times New Roman" w:cs="Times New Roman"/>
          <w:sz w:val="24"/>
          <w:szCs w:val="24"/>
        </w:rPr>
        <w:t>0.</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rPr>
        <w:t>ng</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TEQ/m</w:t>
      </w:r>
      <w:r>
        <w:rPr>
          <w:rFonts w:hint="default" w:ascii="Times New Roman" w:hAnsi="Times New Roman" w:cs="Times New Roman"/>
          <w:sz w:val="24"/>
          <w:szCs w:val="24"/>
          <w:vertAlign w:val="superscript"/>
        </w:rPr>
        <w:t>3</w:t>
      </w:r>
      <w:r>
        <w:rPr>
          <w:rFonts w:hint="default" w:ascii="Times New Roman" w:hAnsi="Times New Roman" w:cs="Times New Roman"/>
          <w:color w:val="000000" w:themeColor="text1"/>
          <w14:textFill>
            <w14:solidFill>
              <w14:schemeClr w14:val="tx1"/>
            </w14:solidFill>
          </w14:textFill>
        </w:rPr>
        <w:t>标准限值。</w:t>
      </w:r>
    </w:p>
    <w:p>
      <w:pPr>
        <w:rPr>
          <w:rFonts w:hint="default"/>
          <w:lang w:val="en-US"/>
        </w:rPr>
      </w:pPr>
      <w:r>
        <w:rPr>
          <w:rFonts w:hint="eastAsia" w:cs="宋体"/>
          <w:b/>
          <w:bCs/>
          <w:color w:val="000000"/>
          <w:spacing w:val="-2"/>
          <w:kern w:val="0"/>
          <w:sz w:val="24"/>
          <w:szCs w:val="24"/>
          <w:highlight w:val="none"/>
          <w:lang w:val="en-US" w:eastAsia="zh-CN"/>
        </w:rPr>
        <w:t>(2) 合金熔融废气(G2)</w:t>
      </w:r>
    </w:p>
    <w:p>
      <w:pPr>
        <w:bidi w:val="0"/>
        <w:rPr>
          <w:rFonts w:hint="eastAsia"/>
        </w:rPr>
      </w:pPr>
      <w:r>
        <w:rPr>
          <w:rFonts w:hint="eastAsia"/>
          <w:lang w:val="en-US" w:eastAsia="zh-CN"/>
        </w:rPr>
        <w:t>合金熔融产生的废气主要污染物为颗粒物。参照《排放源统计调查产排污核算方法和系数手册》中“机械行业系数手册”下“熔炼”，废气产生系数14372</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lang w:val="en-US" w:eastAsia="zh-CN"/>
        </w:rPr>
        <w:t>/t·产品，颗粒物产生系数4.67kg/t·产品。项目合金熔融量约3750t，有效作业时间2700h，则合金熔融环节废气产生速率约</w:t>
      </w:r>
      <w:r>
        <w:rPr>
          <w:rFonts w:hint="eastAsia" w:ascii="Times New Roman" w:hAnsi="Times New Roman" w:cs="Times New Roman"/>
          <w:sz w:val="24"/>
          <w:lang w:val="en-US" w:eastAsia="zh-CN"/>
        </w:rPr>
        <w:t>19961</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w:t>
      </w:r>
      <w:r>
        <w:rPr>
          <w:rFonts w:hint="eastAsia"/>
          <w:lang w:val="en-US" w:eastAsia="zh-CN"/>
        </w:rPr>
        <w:t>(</w:t>
      </w:r>
      <w:r>
        <w:rPr>
          <w:rFonts w:hint="eastAsia" w:ascii="Times New Roman" w:hAnsi="Times New Roman" w:cs="Times New Roman"/>
          <w:sz w:val="24"/>
          <w:lang w:val="en-US" w:eastAsia="zh-CN"/>
        </w:rPr>
        <w:t>5390</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/a</w:t>
      </w:r>
      <w:r>
        <w:rPr>
          <w:rFonts w:hint="eastAsia"/>
          <w:lang w:val="en-US" w:eastAsia="zh-CN"/>
        </w:rPr>
        <w:t>)，颗粒物产生速率约6.49kg/h(17.51t/a)。经屋顶罩捕集(</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val="en-US" w:eastAsia="zh-CN"/>
        </w:rPr>
        <w:t>和布袋除尘器(出去效率98%)处理后，颗粒物排放浓度5.85mg/m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，小于</w:t>
      </w:r>
      <w:r>
        <w:rPr>
          <w:rFonts w:hint="eastAsia"/>
        </w:rPr>
        <w:t>《铸造工业大气污染物排放标准》</w:t>
      </w:r>
      <w:r>
        <w:rPr>
          <w:rFonts w:hint="eastAsia"/>
          <w:lang w:eastAsia="zh-CN"/>
        </w:rPr>
        <w:t>(</w:t>
      </w:r>
      <w:r>
        <w:rPr>
          <w:rFonts w:hint="eastAsia"/>
        </w:rPr>
        <w:t>GB</w:t>
      </w:r>
      <w:r>
        <w:t xml:space="preserve"> 39726-2020</w:t>
      </w:r>
      <w:r>
        <w:rPr>
          <w:rFonts w:hint="eastAsia"/>
          <w:lang w:eastAsia="zh-CN"/>
        </w:rPr>
        <w:t>)</w:t>
      </w:r>
      <w:r>
        <w:rPr>
          <w:rFonts w:hint="eastAsia"/>
          <w:lang w:val="en-US" w:eastAsia="zh-CN"/>
        </w:rPr>
        <w:t>中</w:t>
      </w:r>
      <w:r>
        <w:rPr>
          <w:rFonts w:hint="eastAsia"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标准限值</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sz w:val="24"/>
          <w:lang w:val="en-US" w:eastAsia="zh-CN"/>
        </w:rPr>
        <w:t>排放</w:t>
      </w:r>
      <w:r>
        <w:rPr>
          <w:rFonts w:hint="eastAsia"/>
          <w:lang w:val="en-US" w:eastAsia="zh-CN"/>
        </w:rPr>
        <w:t>约0.12kg/h(0.32t/a)；未捕集颗粒物以无组织形式排放，由于车间相对密闭，空气相对静止，通过加强车间降尘，绝大部分颗粒物自然沉降到地面，本次评价按照90%颗粒物自由沉降计算，则无组织颗粒物排放量约0.18t/a。</w:t>
      </w:r>
    </w:p>
    <w:p>
      <w:pPr>
        <w:pStyle w:val="15"/>
        <w:rPr>
          <w:rFonts w:hint="default"/>
          <w:b/>
          <w:bCs/>
          <w:lang w:val="en-US"/>
        </w:rPr>
      </w:pPr>
      <w:r>
        <w:rPr>
          <w:rFonts w:hint="eastAsia" w:cs="Times New Roman"/>
          <w:b/>
          <w:bCs/>
          <w:color w:val="000000"/>
          <w:highlight w:val="none"/>
          <w:lang w:val="en-US" w:eastAsia="zh-CN"/>
        </w:rPr>
        <w:t>(3) AOD炉精炼废气(G3)</w:t>
      </w:r>
    </w:p>
    <w:p>
      <w:pPr>
        <w:bidi w:val="0"/>
        <w:rPr>
          <w:rFonts w:hint="default" w:eastAsia="宋体"/>
          <w:lang w:val="en-US" w:eastAsia="zh-CN"/>
        </w:rPr>
      </w:pPr>
      <w:r>
        <w:rPr>
          <w:rFonts w:hint="eastAsia"/>
          <w:lang w:val="en-US" w:eastAsia="zh-CN"/>
        </w:rPr>
        <w:t>AOD炉精炼产生的废气主要污染物为颗粒物。参照《排放源统计调查产排污核算方法和系数手册》中“机械行业系数手册”下“熔炼”，废气产生系数14372</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lang w:val="en-US" w:eastAsia="zh-CN"/>
        </w:rPr>
        <w:t>/t·产品，颗粒物产生系数4.67kg/t·产品。项目年产钢水量约30000t，有效作业时间2700h，则AOD炉精炼环节废气产生速率约</w:t>
      </w:r>
      <w:r>
        <w:rPr>
          <w:rFonts w:hint="eastAsia" w:ascii="Times New Roman" w:hAnsi="Times New Roman" w:cs="Times New Roman"/>
          <w:sz w:val="24"/>
          <w:lang w:val="en-US" w:eastAsia="zh-CN"/>
        </w:rPr>
        <w:t>159689</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w:t>
      </w:r>
      <w:r>
        <w:rPr>
          <w:rFonts w:hint="eastAsia"/>
          <w:lang w:val="en-US" w:eastAsia="zh-CN"/>
        </w:rPr>
        <w:t>(</w:t>
      </w:r>
      <w:r>
        <w:rPr>
          <w:rFonts w:hint="eastAsia" w:ascii="Times New Roman" w:hAnsi="Times New Roman" w:cs="Times New Roman"/>
          <w:sz w:val="24"/>
          <w:lang w:val="en-US" w:eastAsia="zh-CN"/>
        </w:rPr>
        <w:t>43116</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/a</w:t>
      </w:r>
      <w:r>
        <w:rPr>
          <w:rFonts w:hint="eastAsia"/>
          <w:lang w:val="en-US" w:eastAsia="zh-CN"/>
        </w:rPr>
        <w:t>)，颗粒物产生速率约51.89kg/h(140.10t/a)。经屋顶罩捕集(</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val="en-US" w:eastAsia="zh-CN"/>
        </w:rPr>
        <w:t>和布袋除尘器(出去效率98%)处理后，颗粒物排放浓度5.85mg/m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，小于</w:t>
      </w:r>
      <w:r>
        <w:rPr>
          <w:rFonts w:hint="eastAsia"/>
        </w:rPr>
        <w:t>《铸造工业大气污染物排放标准》</w:t>
      </w:r>
      <w:r>
        <w:rPr>
          <w:rFonts w:hint="eastAsia"/>
          <w:lang w:eastAsia="zh-CN"/>
        </w:rPr>
        <w:t>(</w:t>
      </w:r>
      <w:r>
        <w:rPr>
          <w:rFonts w:hint="eastAsia"/>
        </w:rPr>
        <w:t>GB</w:t>
      </w:r>
      <w:r>
        <w:t xml:space="preserve"> 39726-2020</w:t>
      </w:r>
      <w:r>
        <w:rPr>
          <w:rFonts w:hint="eastAsia"/>
          <w:lang w:eastAsia="zh-CN"/>
        </w:rPr>
        <w:t>)</w:t>
      </w:r>
      <w:r>
        <w:rPr>
          <w:rFonts w:hint="eastAsia"/>
          <w:lang w:val="en-US" w:eastAsia="zh-CN"/>
        </w:rPr>
        <w:t>中</w:t>
      </w:r>
      <w:r>
        <w:rPr>
          <w:rFonts w:hint="eastAsia"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标准限值</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sz w:val="24"/>
          <w:lang w:val="en-US" w:eastAsia="zh-CN"/>
        </w:rPr>
        <w:t>排放</w:t>
      </w:r>
      <w:r>
        <w:rPr>
          <w:rFonts w:hint="eastAsia"/>
          <w:lang w:val="en-US" w:eastAsia="zh-CN"/>
        </w:rPr>
        <w:t>约0.93kg/h(2.52t/a)；未捕集颗粒物以无组织形式排放，由于车间相对密闭，空气相对静止，通过加强车间降尘，绝大部分颗粒物自然沉降到地面，本次评价按照90%颗粒物自由沉降计算，则无组织颗粒物排放量约1.40t/a。</w:t>
      </w:r>
    </w:p>
    <w:p>
      <w:pPr>
        <w:pStyle w:val="15"/>
        <w:rPr>
          <w:rFonts w:hint="default" w:eastAsia="宋体"/>
          <w:b/>
          <w:bCs/>
          <w:lang w:val="en-US" w:eastAsia="zh-CN"/>
        </w:rPr>
      </w:pPr>
      <w:r>
        <w:rPr>
          <w:rFonts w:hint="eastAsia"/>
          <w:b/>
          <w:bCs/>
          <w:lang w:eastAsia="zh-CN"/>
        </w:rPr>
        <w:t>(</w:t>
      </w:r>
      <w:r>
        <w:rPr>
          <w:rFonts w:hint="eastAsia"/>
          <w:b/>
          <w:bCs/>
          <w:lang w:val="en-US" w:eastAsia="zh-CN"/>
        </w:rPr>
        <w:t>4</w:t>
      </w:r>
      <w:r>
        <w:rPr>
          <w:rFonts w:hint="eastAsia"/>
          <w:b/>
          <w:bCs/>
          <w:lang w:eastAsia="zh-CN"/>
        </w:rPr>
        <w:t>)</w:t>
      </w:r>
      <w:r>
        <w:rPr>
          <w:rFonts w:hint="eastAsia"/>
          <w:b/>
          <w:bCs/>
          <w:lang w:val="en-US" w:eastAsia="zh-CN"/>
        </w:rPr>
        <w:t xml:space="preserve"> LF炉精炼废气(G4)</w:t>
      </w:r>
    </w:p>
    <w:p>
      <w:pPr>
        <w:bidi w:val="0"/>
        <w:rPr>
          <w:rFonts w:hint="eastAsia"/>
        </w:rPr>
      </w:pPr>
      <w:r>
        <w:rPr>
          <w:rFonts w:hint="eastAsia"/>
          <w:lang w:val="en-US" w:eastAsia="zh-CN"/>
        </w:rPr>
        <w:t>LF炉精炼产生的废气主要污染物为颗粒物。参照《排放源统计调查产排污核算方法和系数手册》中“机械行业系数手册”下“熔炼”，废气产生系数14372</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lang w:val="en-US" w:eastAsia="zh-CN"/>
        </w:rPr>
        <w:t>/t·产品，颗粒物产生系数按4.67kg/t·产品。项目年产钢水量约15000t，有效作业时间700h，则LF炉精炼环节废气产生速率约</w:t>
      </w:r>
      <w:r>
        <w:rPr>
          <w:rFonts w:hint="eastAsia" w:ascii="Times New Roman" w:hAnsi="Times New Roman" w:cs="Times New Roman"/>
          <w:sz w:val="24"/>
          <w:lang w:val="en-US" w:eastAsia="zh-CN"/>
        </w:rPr>
        <w:t>287440</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w:t>
      </w:r>
      <w:r>
        <w:rPr>
          <w:rFonts w:hint="eastAsia"/>
          <w:lang w:val="en-US" w:eastAsia="zh-CN"/>
        </w:rPr>
        <w:t>(</w:t>
      </w:r>
      <w:r>
        <w:rPr>
          <w:rFonts w:hint="eastAsia" w:ascii="Times New Roman" w:hAnsi="Times New Roman" w:cs="Times New Roman"/>
          <w:sz w:val="24"/>
          <w:lang w:val="en-US" w:eastAsia="zh-CN"/>
        </w:rPr>
        <w:t>21558</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/a</w:t>
      </w:r>
      <w:r>
        <w:rPr>
          <w:rFonts w:hint="eastAsia"/>
          <w:lang w:val="en-US" w:eastAsia="zh-CN"/>
        </w:rPr>
        <w:t>)，颗粒物产生速率约70.05kg/h(93.40t/a)。经屋顶罩捕集(</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val="en-US" w:eastAsia="zh-CN"/>
        </w:rPr>
        <w:t>和布袋除尘器(出去效率98%)处理后，颗粒物排放浓度5.85mg/m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，小于</w:t>
      </w:r>
      <w:r>
        <w:rPr>
          <w:rFonts w:hint="eastAsia"/>
        </w:rPr>
        <w:t>《铸造工业大气污染物排放标准》</w:t>
      </w:r>
      <w:r>
        <w:rPr>
          <w:rFonts w:hint="eastAsia"/>
          <w:lang w:eastAsia="zh-CN"/>
        </w:rPr>
        <w:t>(</w:t>
      </w:r>
      <w:r>
        <w:rPr>
          <w:rFonts w:hint="eastAsia"/>
        </w:rPr>
        <w:t>GB</w:t>
      </w:r>
      <w:r>
        <w:t xml:space="preserve"> 39726-2020</w:t>
      </w:r>
      <w:r>
        <w:rPr>
          <w:rFonts w:hint="eastAsia"/>
          <w:lang w:eastAsia="zh-CN"/>
        </w:rPr>
        <w:t>)</w:t>
      </w:r>
      <w:r>
        <w:rPr>
          <w:rFonts w:hint="eastAsia"/>
          <w:lang w:val="en-US" w:eastAsia="zh-CN"/>
        </w:rPr>
        <w:t>中</w:t>
      </w:r>
      <w:r>
        <w:rPr>
          <w:rFonts w:hint="eastAsia"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标准限值</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sz w:val="24"/>
          <w:lang w:val="en-US" w:eastAsia="zh-CN"/>
        </w:rPr>
        <w:t>排放</w:t>
      </w:r>
      <w:r>
        <w:rPr>
          <w:rFonts w:hint="eastAsia"/>
          <w:lang w:val="en-US" w:eastAsia="zh-CN"/>
        </w:rPr>
        <w:t>约0.42kg/h(1.26t/a)；未捕集颗粒物以无组织形式排放，由于车间相对密闭，空气相对静止，通过加强车间降尘，绝大部分颗粒物自然沉降到地面，本次评价按照90%颗粒物自由沉降计算，则无组织颗粒物排放量约0.70t/a。</w:t>
      </w:r>
    </w:p>
    <w:p>
      <w:pPr>
        <w:pStyle w:val="15"/>
        <w:rPr>
          <w:rFonts w:hint="default" w:eastAsia="宋体"/>
          <w:b/>
          <w:bCs/>
          <w:lang w:val="en-US" w:eastAsia="zh-CN"/>
        </w:rPr>
      </w:pPr>
      <w:r>
        <w:rPr>
          <w:rFonts w:hint="eastAsia"/>
          <w:b/>
          <w:bCs/>
          <w:lang w:eastAsia="zh-CN"/>
        </w:rPr>
        <w:t>(</w:t>
      </w:r>
      <w:r>
        <w:rPr>
          <w:rFonts w:hint="eastAsia"/>
          <w:b/>
          <w:bCs/>
          <w:lang w:val="en-US" w:eastAsia="zh-CN"/>
        </w:rPr>
        <w:t>5</w:t>
      </w:r>
      <w:r>
        <w:rPr>
          <w:rFonts w:hint="eastAsia"/>
          <w:b/>
          <w:bCs/>
          <w:lang w:eastAsia="zh-CN"/>
        </w:rPr>
        <w:t>)</w:t>
      </w:r>
      <w:r>
        <w:rPr>
          <w:rFonts w:hint="eastAsia"/>
          <w:b/>
          <w:bCs/>
          <w:lang w:val="en-US" w:eastAsia="zh-CN"/>
        </w:rPr>
        <w:t xml:space="preserve"> VOD炉精炼废气(G5)</w:t>
      </w:r>
    </w:p>
    <w:p>
      <w:pPr>
        <w:bidi w:val="0"/>
        <w:rPr>
          <w:rFonts w:hint="default" w:eastAsia="宋体"/>
          <w:lang w:val="en-US" w:eastAsia="zh-CN"/>
        </w:rPr>
      </w:pPr>
      <w:r>
        <w:rPr>
          <w:rFonts w:hint="eastAsia"/>
          <w:lang w:val="en-US" w:eastAsia="zh-CN"/>
        </w:rPr>
        <w:t>VOD炉精炼产生的废气主要污染物为颗粒物。参照《排放源统计调查产排污核算方法和系数手册》中“机械行业系数手册”下“熔炼”，废气产生系数14372</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lang w:val="en-US" w:eastAsia="zh-CN"/>
        </w:rPr>
        <w:t>/t·产品，颗粒物产生系数按4.67kg/t·产品。项目年产钢水量约15000t，有效作业时间2400h，则VOD炉精炼环节废气产生速率约</w:t>
      </w:r>
      <w:r>
        <w:rPr>
          <w:rFonts w:hint="eastAsia" w:ascii="Times New Roman" w:hAnsi="Times New Roman" w:cs="Times New Roman"/>
          <w:sz w:val="24"/>
          <w:lang w:val="en-US" w:eastAsia="zh-CN"/>
        </w:rPr>
        <w:t>89825</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w:t>
      </w:r>
      <w:r>
        <w:rPr>
          <w:rFonts w:hint="eastAsia"/>
          <w:lang w:val="en-US" w:eastAsia="zh-CN"/>
        </w:rPr>
        <w:t>(</w:t>
      </w:r>
      <w:r>
        <w:rPr>
          <w:rFonts w:hint="eastAsia" w:ascii="Times New Roman" w:hAnsi="Times New Roman" w:cs="Times New Roman"/>
          <w:sz w:val="24"/>
          <w:lang w:val="en-US" w:eastAsia="zh-CN"/>
        </w:rPr>
        <w:t>21558</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/a</w:t>
      </w:r>
      <w:r>
        <w:rPr>
          <w:rFonts w:hint="eastAsia"/>
          <w:lang w:val="en-US" w:eastAsia="zh-CN"/>
        </w:rPr>
        <w:t>)，颗粒物产生速率约70.05kg/h(29.19t/a)。经屋顶罩捕集(</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val="en-US" w:eastAsia="zh-CN"/>
        </w:rPr>
        <w:t>和布袋除尘器(出去效率98%)处理后，颗粒物排放浓度5.85mg/m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，小于</w:t>
      </w:r>
      <w:r>
        <w:rPr>
          <w:rFonts w:hint="eastAsia"/>
        </w:rPr>
        <w:t>《铸造工业大气污染物排放标准》</w:t>
      </w:r>
      <w:r>
        <w:rPr>
          <w:rFonts w:hint="eastAsia"/>
          <w:lang w:eastAsia="zh-CN"/>
        </w:rPr>
        <w:t>(</w:t>
      </w:r>
      <w:r>
        <w:rPr>
          <w:rFonts w:hint="eastAsia"/>
        </w:rPr>
        <w:t>GB</w:t>
      </w:r>
      <w:r>
        <w:t xml:space="preserve"> 39726-2020</w:t>
      </w:r>
      <w:r>
        <w:rPr>
          <w:rFonts w:hint="eastAsia"/>
          <w:lang w:eastAsia="zh-CN"/>
        </w:rPr>
        <w:t>)</w:t>
      </w:r>
      <w:r>
        <w:rPr>
          <w:rFonts w:hint="eastAsia"/>
          <w:lang w:val="en-US" w:eastAsia="zh-CN"/>
        </w:rPr>
        <w:t>中</w:t>
      </w:r>
      <w:r>
        <w:rPr>
          <w:rFonts w:hint="eastAsia"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标准限值</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sz w:val="24"/>
          <w:lang w:val="en-US" w:eastAsia="zh-CN"/>
        </w:rPr>
        <w:t>排放</w:t>
      </w:r>
      <w:r>
        <w:rPr>
          <w:rFonts w:hint="eastAsia"/>
          <w:lang w:val="en-US" w:eastAsia="zh-CN"/>
        </w:rPr>
        <w:t>约0.53kg/h(1.26t/a)；未捕集颗粒物以无组织形式排放，由于车间相对密闭，空气相对静止，通过加强车间降尘，绝大部分颗粒物自然沉降到地面，本次评价按照90%颗粒物自由沉降计算，则无组织颗粒物排放量约0.70t/a。</w:t>
      </w:r>
    </w:p>
    <w:p>
      <w:pPr>
        <w:pStyle w:val="15"/>
        <w:rPr>
          <w:rFonts w:hint="default" w:eastAsia="宋体"/>
          <w:b/>
          <w:bCs/>
          <w:lang w:val="en-US" w:eastAsia="zh-CN"/>
        </w:rPr>
      </w:pPr>
      <w:r>
        <w:rPr>
          <w:rFonts w:hint="eastAsia"/>
          <w:b/>
          <w:bCs/>
          <w:lang w:eastAsia="zh-CN"/>
        </w:rPr>
        <w:t>(</w:t>
      </w:r>
      <w:r>
        <w:rPr>
          <w:rFonts w:hint="eastAsia"/>
          <w:b/>
          <w:bCs/>
          <w:lang w:val="en-US" w:eastAsia="zh-CN"/>
        </w:rPr>
        <w:t>6</w:t>
      </w:r>
      <w:r>
        <w:rPr>
          <w:rFonts w:hint="eastAsia"/>
          <w:b/>
          <w:bCs/>
          <w:lang w:eastAsia="zh-CN"/>
        </w:rPr>
        <w:t>)</w:t>
      </w:r>
      <w:r>
        <w:rPr>
          <w:rFonts w:hint="eastAsia"/>
          <w:b/>
          <w:bCs/>
          <w:lang w:val="en-US" w:eastAsia="zh-CN"/>
        </w:rPr>
        <w:t xml:space="preserve"> 浇铸废气(G6)</w:t>
      </w:r>
    </w:p>
    <w:p>
      <w:pPr>
        <w:bidi w:val="0"/>
        <w:rPr>
          <w:rFonts w:hint="eastAsia"/>
        </w:rPr>
      </w:pPr>
      <w:r>
        <w:rPr>
          <w:rFonts w:hint="eastAsia"/>
          <w:lang w:val="en-US" w:eastAsia="zh-CN"/>
        </w:rPr>
        <w:t>浇铸产生的废气污染物主要为颗粒物。参照《排放源统计调查产排污核算方法和系数手册》中“机械行业系数手册”下“浇筑”(原料金属液等)，废气产生系数6000</w:t>
      </w:r>
      <w:r>
        <w:rPr>
          <w:rFonts w:hint="eastAsia" w:ascii="Times New Roman" w:hAnsi="Times New Roman" w:cs="Times New Roman"/>
          <w:sz w:val="24"/>
        </w:rPr>
        <w:t>m</w:t>
      </w:r>
      <w:r>
        <w:rPr>
          <w:rFonts w:hint="eastAsia" w:ascii="Times New Roman" w:hAnsi="Times New Roman" w:cs="Times New Roman"/>
          <w:sz w:val="24"/>
          <w:vertAlign w:val="superscript"/>
        </w:rPr>
        <w:t>3</w:t>
      </w:r>
      <w:r>
        <w:rPr>
          <w:rFonts w:hint="eastAsia"/>
          <w:lang w:val="en-US" w:eastAsia="zh-CN"/>
        </w:rPr>
        <w:t>/t·产品，颗粒物产生系数按0.247kg/t·产品。项目年产特殊钢铸件约30000t，有效作业时间3600h，则浇铸环节废气产生速率约</w:t>
      </w:r>
      <w:r>
        <w:rPr>
          <w:rFonts w:hint="eastAsia" w:ascii="Times New Roman" w:hAnsi="Times New Roman" w:cs="Times New Roman"/>
          <w:sz w:val="24"/>
          <w:lang w:val="en-US" w:eastAsia="zh-CN"/>
        </w:rPr>
        <w:t>50000</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eastAsia" w:ascii="Times New Roman" w:hAnsi="Times New Roman" w:cs="Times New Roman"/>
          <w:sz w:val="24"/>
          <w:lang w:val="en-US" w:eastAsia="zh-CN"/>
        </w:rPr>
        <w:t>h</w:t>
      </w:r>
      <w:r>
        <w:rPr>
          <w:rFonts w:hint="eastAsia"/>
          <w:lang w:val="en-US" w:eastAsia="zh-CN"/>
        </w:rPr>
        <w:t>(</w:t>
      </w:r>
      <w:r>
        <w:rPr>
          <w:rFonts w:hint="eastAsia" w:ascii="Times New Roman" w:hAnsi="Times New Roman" w:cs="Times New Roman"/>
          <w:sz w:val="24"/>
          <w:lang w:val="en-US" w:eastAsia="zh-CN"/>
        </w:rPr>
        <w:t>18000</w:t>
      </w:r>
      <w:r>
        <w:rPr>
          <w:rFonts w:hint="default" w:ascii="Times New Roman" w:hAnsi="Times New Roman" w:cs="Times New Roman"/>
          <w:sz w:val="24"/>
        </w:rPr>
        <w:t>×10</w:t>
      </w:r>
      <w:r>
        <w:rPr>
          <w:rFonts w:hint="eastAsia" w:ascii="Times New Roman" w:hAnsi="Times New Roman" w:cs="Times New Roman"/>
          <w:sz w:val="24"/>
          <w:vertAlign w:val="superscript"/>
          <w:lang w:val="en-US" w:eastAsia="zh-CN"/>
        </w:rPr>
        <w:t>4</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/a</w:t>
      </w:r>
      <w:r>
        <w:rPr>
          <w:rFonts w:hint="eastAsia"/>
          <w:lang w:val="en-US" w:eastAsia="zh-CN"/>
        </w:rPr>
        <w:t>)，颗粒物产生速率约2.06kg/h(7.41t/a)。经屋顶罩捕集(</w:t>
      </w:r>
      <w:r>
        <w:rPr>
          <w:rFonts w:hint="eastAsia" w:ascii="Times New Roman" w:hAnsi="Times New Roman" w:cs="Times New Roman"/>
          <w:sz w:val="24"/>
          <w:lang w:val="en-US" w:eastAsia="zh-CN"/>
        </w:rPr>
        <w:t>捕集率9</w:t>
      </w:r>
      <w:r>
        <w:rPr>
          <w:rFonts w:hint="eastAsia" w:cs="Times New Roman"/>
          <w:sz w:val="24"/>
          <w:lang w:val="en-US" w:eastAsia="zh-CN"/>
        </w:rPr>
        <w:t>0</w:t>
      </w:r>
      <w:r>
        <w:rPr>
          <w:rFonts w:hint="eastAsia" w:ascii="Times New Roman" w:hAnsi="Times New Roman" w:cs="Times New Roman"/>
          <w:sz w:val="24"/>
          <w:lang w:val="en-US" w:eastAsia="zh-CN"/>
        </w:rPr>
        <w:t>%</w:t>
      </w:r>
      <w:r>
        <w:rPr>
          <w:rFonts w:hint="eastAsia"/>
          <w:lang w:val="en-US" w:eastAsia="zh-CN"/>
        </w:rPr>
        <w:t>)</w:t>
      </w:r>
      <w:r>
        <w:rPr>
          <w:rFonts w:hint="eastAsia" w:ascii="Times New Roman" w:hAnsi="Times New Roman" w:cs="Times New Roman"/>
          <w:sz w:val="24"/>
          <w:lang w:val="en-US" w:eastAsia="zh-CN"/>
        </w:rPr>
        <w:t>和布袋除尘器(出去效率98%)处理后，颗粒物排放浓度5.85mg/m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，小于</w:t>
      </w:r>
      <w:r>
        <w:rPr>
          <w:rFonts w:hint="eastAsia"/>
        </w:rPr>
        <w:t>《铸造工业大气污染物排放标准》</w:t>
      </w:r>
      <w:r>
        <w:rPr>
          <w:rFonts w:hint="eastAsia"/>
          <w:lang w:eastAsia="zh-CN"/>
        </w:rPr>
        <w:t>(</w:t>
      </w:r>
      <w:r>
        <w:rPr>
          <w:rFonts w:hint="eastAsia"/>
        </w:rPr>
        <w:t>GB</w:t>
      </w:r>
      <w:r>
        <w:t xml:space="preserve"> 39726-2020</w:t>
      </w:r>
      <w:r>
        <w:rPr>
          <w:rFonts w:hint="eastAsia"/>
          <w:lang w:eastAsia="zh-CN"/>
        </w:rPr>
        <w:t>)</w:t>
      </w:r>
      <w:r>
        <w:rPr>
          <w:rFonts w:hint="eastAsia"/>
          <w:lang w:val="en-US" w:eastAsia="zh-CN"/>
        </w:rPr>
        <w:t>中</w:t>
      </w:r>
      <w:r>
        <w:rPr>
          <w:rFonts w:hint="eastAsia" w:ascii="Times New Roman" w:hAnsi="Times New Roman" w:cs="Times New Roman"/>
          <w:color w:val="000000" w:themeColor="text1"/>
          <w:lang w:val="en-US" w:eastAsia="zh-CN"/>
          <w14:textFill>
            <w14:solidFill>
              <w14:schemeClr w14:val="tx1"/>
            </w14:solidFill>
          </w14:textFill>
        </w:rPr>
        <w:t>30</w:t>
      </w:r>
      <w:r>
        <w:rPr>
          <w:rFonts w:hint="default" w:ascii="Times New Roman" w:hAnsi="Times New Roman" w:cs="Times New Roman"/>
          <w:color w:val="000000" w:themeColor="text1"/>
          <w14:textFill>
            <w14:solidFill>
              <w14:schemeClr w14:val="tx1"/>
            </w14:solidFill>
          </w14:textFill>
        </w:rPr>
        <w:t>mg/m</w:t>
      </w:r>
      <w:r>
        <w:rPr>
          <w:rFonts w:hint="default" w:ascii="Times New Roman" w:hAnsi="Times New Roman" w:cs="Times New Roman"/>
          <w:color w:val="000000" w:themeColor="text1"/>
          <w:vertAlign w:val="superscript"/>
          <w14:textFill>
            <w14:solidFill>
              <w14:schemeClr w14:val="tx1"/>
            </w14:solidFill>
          </w14:textFill>
        </w:rPr>
        <w:t>3</w:t>
      </w:r>
      <w:r>
        <w:rPr>
          <w:rFonts w:hint="default" w:ascii="Times New Roman" w:hAnsi="Times New Roman" w:cs="Times New Roman"/>
          <w:color w:val="000000" w:themeColor="text1"/>
          <w14:textFill>
            <w14:solidFill>
              <w14:schemeClr w14:val="tx1"/>
            </w14:solidFill>
          </w14:textFill>
        </w:rPr>
        <w:t>标准限值</w:t>
      </w:r>
      <w:r>
        <w:rPr>
          <w:rFonts w:hint="eastAsia" w:ascii="Times New Roman" w:hAnsi="Times New Roman" w:cs="Times New Roman"/>
          <w:color w:val="000000" w:themeColor="text1"/>
          <w:lang w:eastAsia="zh-CN"/>
          <w14:textFill>
            <w14:solidFill>
              <w14:schemeClr w14:val="tx1"/>
            </w14:solidFill>
          </w14:textFill>
        </w:rPr>
        <w:t>，</w:t>
      </w:r>
      <w:r>
        <w:rPr>
          <w:rFonts w:hint="eastAsia" w:ascii="Times New Roman" w:hAnsi="Times New Roman" w:cs="Times New Roman"/>
          <w:sz w:val="24"/>
          <w:lang w:val="en-US" w:eastAsia="zh-CN"/>
        </w:rPr>
        <w:t>排放</w:t>
      </w:r>
      <w:r>
        <w:rPr>
          <w:rFonts w:hint="eastAsia"/>
          <w:lang w:val="en-US" w:eastAsia="zh-CN"/>
        </w:rPr>
        <w:t>约0.04kg/h(0.13t/a)；未捕集颗粒物以无组织形式排放，由于车间相对密闭，空气相对静止，通过加强车间降尘，绝大部分颗粒物自然沉降到地面，本次评价按照90%颗粒物自由沉降计算，则无组织颗粒物排放量约0.07t/a。</w:t>
      </w:r>
    </w:p>
    <w:p>
      <w:pPr>
        <w:pStyle w:val="15"/>
        <w:rPr>
          <w:rFonts w:hint="default" w:eastAsia="宋体"/>
          <w:b/>
          <w:bCs/>
          <w:lang w:val="en-US" w:eastAsia="zh-CN"/>
        </w:rPr>
      </w:pPr>
      <w:r>
        <w:rPr>
          <w:rFonts w:hint="eastAsia"/>
          <w:b/>
          <w:bCs/>
          <w:lang w:eastAsia="zh-CN"/>
        </w:rPr>
        <w:t>(</w:t>
      </w:r>
      <w:r>
        <w:rPr>
          <w:rFonts w:hint="eastAsia"/>
          <w:b/>
          <w:bCs/>
          <w:lang w:val="en-US" w:eastAsia="zh-CN"/>
        </w:rPr>
        <w:t>7</w:t>
      </w:r>
      <w:r>
        <w:rPr>
          <w:rFonts w:hint="eastAsia"/>
          <w:b/>
          <w:bCs/>
          <w:lang w:eastAsia="zh-CN"/>
        </w:rPr>
        <w:t>)</w:t>
      </w:r>
      <w:r>
        <w:rPr>
          <w:rFonts w:hint="eastAsia"/>
          <w:b/>
          <w:bCs/>
          <w:lang w:val="en-US" w:eastAsia="zh-CN"/>
        </w:rPr>
        <w:t xml:space="preserve"> 热处理废气(G7)</w:t>
      </w:r>
    </w:p>
    <w:p>
      <w:pPr>
        <w:bidi w:val="0"/>
        <w:rPr>
          <w:rFonts w:hint="eastAsia"/>
          <w:lang w:val="en-US" w:eastAsia="zh-CN"/>
        </w:rPr>
      </w:pPr>
      <w:r>
        <w:rPr>
          <w:rFonts w:hint="eastAsia"/>
          <w:lang w:val="en-US" w:eastAsia="zh-CN"/>
        </w:rPr>
        <w:t>项目设置4台热处理炉，均采用天然气作为燃料，燃烧废气主要污染物为颗粒物、二氧化硫和氮氧化物。热处理炉采用低氮燃烧技术(带烟气回流低氮天然气燃烧器)，可降低50%氮氧化物排放。每台退火炉用气量为270Nm</w:t>
      </w:r>
      <w:r>
        <w:rPr>
          <w:rFonts w:hint="eastAsia"/>
          <w:vertAlign w:val="superscript"/>
          <w:lang w:val="en-US" w:eastAsia="zh-CN"/>
        </w:rPr>
        <w:t>3</w:t>
      </w:r>
      <w:r>
        <w:rPr>
          <w:rFonts w:hint="eastAsia"/>
          <w:lang w:val="en-US" w:eastAsia="zh-CN"/>
        </w:rPr>
        <w:t>/h，4台热处理炉用气量=270Nm</w:t>
      </w:r>
      <w:r>
        <w:rPr>
          <w:rFonts w:hint="eastAsia"/>
          <w:vertAlign w:val="superscript"/>
          <w:lang w:val="en-US" w:eastAsia="zh-CN"/>
        </w:rPr>
        <w:t>3</w:t>
      </w:r>
      <w:r>
        <w:rPr>
          <w:rFonts w:hint="eastAsia"/>
          <w:lang w:val="en-US" w:eastAsia="zh-CN"/>
        </w:rPr>
        <w:t>/h</w:t>
      </w:r>
      <w:r>
        <w:rPr>
          <w:rFonts w:hint="default" w:ascii="Times New Roman" w:hAnsi="Times New Roman" w:cs="Times New Roman"/>
          <w:lang w:val="en-US" w:eastAsia="zh-CN"/>
        </w:rPr>
        <w:t>×</w:t>
      </w:r>
      <w:r>
        <w:rPr>
          <w:rFonts w:hint="eastAsia" w:ascii="Times New Roman" w:hAnsi="Times New Roman" w:cs="Times New Roman"/>
          <w:lang w:val="en-US" w:eastAsia="zh-CN"/>
        </w:rPr>
        <w:t>4</w:t>
      </w:r>
      <w:r>
        <w:rPr>
          <w:rFonts w:hint="default" w:ascii="Times New Roman" w:hAnsi="Times New Roman" w:cs="Times New Roman"/>
          <w:lang w:val="en-US" w:eastAsia="zh-CN"/>
        </w:rPr>
        <w:t>×</w:t>
      </w:r>
      <w:r>
        <w:rPr>
          <w:rFonts w:hint="eastAsia" w:cs="Times New Roman"/>
          <w:lang w:val="en-US" w:eastAsia="zh-CN"/>
        </w:rPr>
        <w:t>1000h=108</w:t>
      </w:r>
      <w:r>
        <w:rPr>
          <w:rFonts w:hint="default" w:ascii="Times New Roman" w:hAnsi="Times New Roman" w:cs="Times New Roman"/>
          <w:lang w:val="en-US" w:eastAsia="zh-CN"/>
        </w:rPr>
        <w:t>×</w:t>
      </w:r>
      <w:r>
        <w:rPr>
          <w:rFonts w:hint="eastAsia" w:cs="Times New Roman"/>
          <w:lang w:val="en-US" w:eastAsia="zh-CN"/>
        </w:rPr>
        <w:t>10</w:t>
      </w:r>
      <w:r>
        <w:rPr>
          <w:rFonts w:hint="eastAsia" w:cs="Times New Roman"/>
          <w:vertAlign w:val="superscript"/>
          <w:lang w:val="en-US" w:eastAsia="zh-CN"/>
        </w:rPr>
        <w:t>4</w:t>
      </w:r>
      <w:r>
        <w:rPr>
          <w:rFonts w:hint="eastAsia"/>
          <w:lang w:val="en-US" w:eastAsia="zh-CN"/>
        </w:rPr>
        <w:t>m</w:t>
      </w:r>
      <w:r>
        <w:rPr>
          <w:rFonts w:hint="eastAsia"/>
          <w:vertAlign w:val="superscript"/>
          <w:lang w:val="en-US" w:eastAsia="zh-CN"/>
        </w:rPr>
        <w:t>3</w:t>
      </w:r>
      <w:r>
        <w:rPr>
          <w:rFonts w:hint="eastAsia"/>
          <w:lang w:val="en-US" w:eastAsia="zh-CN"/>
        </w:rPr>
        <w:t>/a。</w:t>
      </w:r>
    </w:p>
    <w:p>
      <w:pPr>
        <w:bidi w:val="0"/>
        <w:rPr>
          <w:rFonts w:hint="eastAsia"/>
          <w:lang w:val="en-US" w:eastAsia="zh-CN"/>
        </w:rPr>
      </w:pPr>
      <w:r>
        <w:rPr>
          <w:rFonts w:hint="eastAsia"/>
          <w:lang w:val="en-US" w:eastAsia="zh-CN"/>
        </w:rPr>
        <w:t>参照《排放源统计调查产排污核算方法和系数手册》中“机械行业系数手册”，热处理炉废气量产污系数为13.6m</w:t>
      </w:r>
      <w:r>
        <w:rPr>
          <w:rFonts w:hint="eastAsia"/>
          <w:vertAlign w:val="superscript"/>
          <w:lang w:val="en-US" w:eastAsia="zh-CN"/>
        </w:rPr>
        <w:t>3</w:t>
      </w:r>
      <w:r>
        <w:rPr>
          <w:rFonts w:hint="eastAsia"/>
          <w:lang w:val="en-US" w:eastAsia="zh-CN"/>
        </w:rPr>
        <w:t>/m</w:t>
      </w:r>
      <w:r>
        <w:rPr>
          <w:rFonts w:hint="eastAsia"/>
          <w:vertAlign w:val="superscript"/>
          <w:lang w:val="en-US" w:eastAsia="zh-CN"/>
        </w:rPr>
        <w:t>3</w:t>
      </w:r>
      <w:r>
        <w:rPr>
          <w:rFonts w:hint="eastAsia"/>
          <w:lang w:val="en-US" w:eastAsia="zh-CN"/>
        </w:rPr>
        <w:t>·原料，SO</w:t>
      </w:r>
      <w:r>
        <w:rPr>
          <w:rFonts w:hint="eastAsia"/>
          <w:vertAlign w:val="subscript"/>
          <w:lang w:val="en-US" w:eastAsia="zh-CN"/>
        </w:rPr>
        <w:t>2</w:t>
      </w:r>
      <w:r>
        <w:rPr>
          <w:rFonts w:hint="eastAsia"/>
          <w:lang w:val="en-US" w:eastAsia="zh-CN"/>
        </w:rPr>
        <w:t>产污系数为0.000002Skg/m</w:t>
      </w:r>
      <w:r>
        <w:rPr>
          <w:rFonts w:hint="eastAsia"/>
          <w:vertAlign w:val="superscript"/>
          <w:lang w:val="en-US" w:eastAsia="zh-CN"/>
        </w:rPr>
        <w:t>3</w:t>
      </w:r>
      <w:r>
        <w:rPr>
          <w:rFonts w:hint="eastAsia"/>
          <w:lang w:val="en-US" w:eastAsia="zh-CN"/>
        </w:rPr>
        <w:t>·原料，NOx产污系数为0.00187kg/m</w:t>
      </w:r>
      <w:r>
        <w:rPr>
          <w:rFonts w:hint="eastAsia"/>
          <w:vertAlign w:val="superscript"/>
          <w:lang w:val="en-US" w:eastAsia="zh-CN"/>
        </w:rPr>
        <w:t>3</w:t>
      </w:r>
      <w:r>
        <w:rPr>
          <w:rFonts w:hint="eastAsia"/>
          <w:lang w:val="en-US" w:eastAsia="zh-CN"/>
        </w:rPr>
        <w:t>·原料，颗粒物产污系数为0.000286kg/m</w:t>
      </w:r>
      <w:r>
        <w:rPr>
          <w:rFonts w:hint="eastAsia"/>
          <w:vertAlign w:val="superscript"/>
          <w:lang w:val="en-US" w:eastAsia="zh-CN"/>
        </w:rPr>
        <w:t>3</w:t>
      </w:r>
      <w:r>
        <w:rPr>
          <w:rFonts w:hint="eastAsia"/>
          <w:lang w:val="en-US" w:eastAsia="zh-CN"/>
        </w:rPr>
        <w:t>·原料。</w:t>
      </w:r>
    </w:p>
    <w:p>
      <w:pPr>
        <w:bidi w:val="0"/>
        <w:rPr>
          <w:rFonts w:hint="eastAsia"/>
          <w:color w:val="auto"/>
          <w:lang w:val="en-US" w:eastAsia="zh-CN"/>
        </w:rPr>
      </w:pPr>
      <w:r>
        <w:rPr>
          <w:rFonts w:hint="eastAsia"/>
          <w:color w:val="auto"/>
          <w:lang w:val="en-US" w:eastAsia="zh-CN"/>
        </w:rPr>
        <w:t>天然气中S为收到基硫分，单位为mg/m</w:t>
      </w:r>
      <w:r>
        <w:rPr>
          <w:rFonts w:hint="eastAsia"/>
          <w:color w:val="auto"/>
          <w:vertAlign w:val="superscript"/>
          <w:lang w:val="en-US" w:eastAsia="zh-CN"/>
        </w:rPr>
        <w:t>3</w:t>
      </w:r>
      <w:r>
        <w:rPr>
          <w:rFonts w:hint="eastAsia"/>
          <w:color w:val="auto"/>
          <w:lang w:val="en-US" w:eastAsia="zh-CN"/>
        </w:rPr>
        <w:t>，取100。热处理炉燃烧天然气产生的烟气量14688m</w:t>
      </w:r>
      <w:r>
        <w:rPr>
          <w:rFonts w:hint="eastAsia"/>
          <w:color w:val="auto"/>
          <w:vertAlign w:val="superscript"/>
          <w:lang w:val="en-US" w:eastAsia="zh-CN"/>
        </w:rPr>
        <w:t>3</w:t>
      </w:r>
      <w:r>
        <w:rPr>
          <w:rFonts w:hint="eastAsia"/>
          <w:color w:val="auto"/>
          <w:lang w:val="en-US" w:eastAsia="zh-CN"/>
        </w:rPr>
        <w:t>/h，颗粒物、SO</w:t>
      </w:r>
      <w:r>
        <w:rPr>
          <w:rFonts w:hint="eastAsia"/>
          <w:color w:val="auto"/>
          <w:vertAlign w:val="subscript"/>
          <w:lang w:val="en-US" w:eastAsia="zh-CN"/>
        </w:rPr>
        <w:t>2</w:t>
      </w:r>
      <w:r>
        <w:rPr>
          <w:rFonts w:hint="eastAsia"/>
          <w:color w:val="auto"/>
          <w:lang w:val="en-US" w:eastAsia="zh-CN"/>
        </w:rPr>
        <w:t>、NOx排放浓度21.11</w:t>
      </w:r>
      <w:r>
        <w:rPr>
          <w:rFonts w:hint="eastAsia" w:ascii="Times New Roman" w:hAnsi="Times New Roman" w:cs="Times New Roman"/>
          <w:sz w:val="24"/>
          <w:lang w:val="en-US" w:eastAsia="zh-CN"/>
        </w:rPr>
        <w:t>mg/m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vertAlign w:val="baseline"/>
          <w:lang w:val="en-US" w:eastAsia="zh-CN"/>
        </w:rPr>
        <w:t>、14.98</w:t>
      </w:r>
      <w:r>
        <w:rPr>
          <w:rFonts w:hint="eastAsia" w:ascii="Times New Roman" w:hAnsi="Times New Roman" w:cs="Times New Roman"/>
          <w:sz w:val="24"/>
          <w:lang w:val="en-US" w:eastAsia="zh-CN"/>
        </w:rPr>
        <w:t>mg/m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vertAlign w:val="baseline"/>
          <w:lang w:val="en-US" w:eastAsia="zh-CN"/>
        </w:rPr>
        <w:t>、34.38</w:t>
      </w:r>
      <w:r>
        <w:rPr>
          <w:rFonts w:hint="eastAsia" w:ascii="Times New Roman" w:hAnsi="Times New Roman" w:cs="Times New Roman"/>
          <w:sz w:val="24"/>
          <w:lang w:val="en-US" w:eastAsia="zh-CN"/>
        </w:rPr>
        <w:t>mg/m</w:t>
      </w:r>
      <w:r>
        <w:rPr>
          <w:rFonts w:hint="eastAsia" w:ascii="Times New Roman" w:hAnsi="Times New Roman" w:cs="Times New Roman"/>
          <w:sz w:val="24"/>
          <w:vertAlign w:val="superscript"/>
          <w:lang w:val="en-US" w:eastAsia="zh-CN"/>
        </w:rPr>
        <w:t>3</w:t>
      </w:r>
      <w:r>
        <w:rPr>
          <w:rFonts w:hint="eastAsia"/>
          <w:color w:val="auto"/>
          <w:lang w:val="en-US" w:eastAsia="zh-CN"/>
        </w:rPr>
        <w:t>，排放速率0.31kg/h、0.22kg/h、1.01kg/h，排放量0.31t/a、0.22t/a、1.01t/a。</w:t>
      </w:r>
    </w:p>
    <w:p>
      <w:pPr>
        <w:bidi w:val="0"/>
        <w:rPr>
          <w:rFonts w:hint="eastAsia"/>
          <w:lang w:val="en-US" w:eastAsia="zh-CN"/>
        </w:rPr>
      </w:pPr>
      <w:r>
        <w:rPr>
          <w:rFonts w:hint="eastAsia"/>
        </w:rPr>
        <w:t>项目运营后废气主要产污环节、污染物种类、污染源源强核算及采取的污染防治措施详见表</w:t>
      </w:r>
      <w:r>
        <w:rPr>
          <w:rFonts w:hint="eastAsia"/>
          <w:lang w:val="en-US" w:eastAsia="zh-CN"/>
        </w:rPr>
        <w:t>2.3-1</w:t>
      </w:r>
      <w:r>
        <w:rPr>
          <w:rFonts w:hint="eastAsia"/>
        </w:rPr>
        <w:t>。</w:t>
      </w:r>
    </w:p>
    <w:p>
      <w:pPr>
        <w:bidi w:val="0"/>
        <w:rPr>
          <w:rFonts w:hint="eastAsia"/>
          <w:lang w:val="en-US" w:eastAsia="zh-CN"/>
        </w:rPr>
        <w:sectPr>
          <w:pgSz w:w="11906" w:h="16838"/>
          <w:pgMar w:top="1418" w:right="1418" w:bottom="1418" w:left="1418" w:header="851" w:footer="851" w:gutter="0"/>
          <w:cols w:space="425" w:num="1"/>
          <w:docGrid w:type="lines" w:linePitch="326" w:charSpace="0"/>
        </w:sectPr>
      </w:pPr>
    </w:p>
    <w:p>
      <w:pPr>
        <w:pStyle w:val="21"/>
        <w:bidi w:val="0"/>
        <w:rPr>
          <w:rFonts w:hint="eastAsia"/>
          <w:lang w:val="en-US" w:eastAsia="zh-CN"/>
        </w:rPr>
      </w:pPr>
      <w:r>
        <w:rPr>
          <w:rFonts w:hint="eastAsia"/>
          <w:lang w:val="en-US" w:eastAsia="zh-CN"/>
        </w:rPr>
        <w:t>表2.3-1  项目废气污染源强核算结果</w:t>
      </w:r>
    </w:p>
    <w:tbl>
      <w:tblPr>
        <w:tblStyle w:val="17"/>
        <w:tblW w:w="146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
        <w:gridCol w:w="591"/>
        <w:gridCol w:w="910"/>
        <w:gridCol w:w="878"/>
        <w:gridCol w:w="899"/>
        <w:gridCol w:w="899"/>
        <w:gridCol w:w="899"/>
        <w:gridCol w:w="833"/>
        <w:gridCol w:w="924"/>
        <w:gridCol w:w="778"/>
        <w:gridCol w:w="840"/>
        <w:gridCol w:w="783"/>
        <w:gridCol w:w="705"/>
        <w:gridCol w:w="612"/>
        <w:gridCol w:w="737"/>
        <w:gridCol w:w="846"/>
        <w:gridCol w:w="722"/>
        <w:gridCol w:w="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892" w:type="dxa"/>
            <w:vMerge w:val="restart"/>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污染源</w:t>
            </w:r>
          </w:p>
        </w:tc>
        <w:tc>
          <w:tcPr>
            <w:tcW w:w="591" w:type="dxa"/>
            <w:vMerge w:val="restart"/>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eastAsia="宋体" w:cs="Times New Roman"/>
                <w:b/>
                <w:bCs/>
                <w:color w:val="auto"/>
                <w:sz w:val="15"/>
                <w:szCs w:val="15"/>
                <w:highlight w:val="none"/>
              </w:rPr>
              <w:t>核算</w:t>
            </w:r>
          </w:p>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eastAsia="宋体" w:cs="Times New Roman"/>
                <w:b/>
                <w:bCs/>
                <w:color w:val="auto"/>
                <w:sz w:val="15"/>
                <w:szCs w:val="15"/>
                <w:highlight w:val="none"/>
              </w:rPr>
              <w:t>方法</w:t>
            </w:r>
          </w:p>
        </w:tc>
        <w:tc>
          <w:tcPr>
            <w:tcW w:w="910" w:type="dxa"/>
            <w:vMerge w:val="restart"/>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eastAsia="宋体" w:cs="Times New Roman"/>
                <w:b/>
                <w:bCs/>
                <w:color w:val="auto"/>
                <w:sz w:val="15"/>
                <w:szCs w:val="15"/>
                <w:highlight w:val="none"/>
              </w:rPr>
              <w:t>污染物</w:t>
            </w:r>
          </w:p>
        </w:tc>
        <w:tc>
          <w:tcPr>
            <w:tcW w:w="878" w:type="dxa"/>
            <w:vMerge w:val="restart"/>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eastAsia="宋体" w:cs="Times New Roman"/>
                <w:b/>
                <w:bCs/>
                <w:color w:val="auto"/>
                <w:sz w:val="15"/>
                <w:szCs w:val="15"/>
                <w:highlight w:val="none"/>
              </w:rPr>
              <w:t>烟气量(m</w:t>
            </w:r>
            <w:r>
              <w:rPr>
                <w:rFonts w:hint="default" w:ascii="Times New Roman" w:hAnsi="Times New Roman" w:eastAsia="宋体" w:cs="Times New Roman"/>
                <w:b/>
                <w:bCs/>
                <w:color w:val="auto"/>
                <w:sz w:val="15"/>
                <w:szCs w:val="15"/>
                <w:highlight w:val="none"/>
                <w:vertAlign w:val="superscript"/>
              </w:rPr>
              <w:t>3</w:t>
            </w:r>
            <w:r>
              <w:rPr>
                <w:rFonts w:hint="default" w:ascii="Times New Roman" w:hAnsi="Times New Roman" w:eastAsia="宋体" w:cs="Times New Roman"/>
                <w:b/>
                <w:bCs/>
                <w:color w:val="auto"/>
                <w:sz w:val="15"/>
                <w:szCs w:val="15"/>
                <w:highlight w:val="none"/>
              </w:rPr>
              <w:t>/h)</w:t>
            </w:r>
          </w:p>
        </w:tc>
        <w:tc>
          <w:tcPr>
            <w:tcW w:w="2697" w:type="dxa"/>
            <w:gridSpan w:val="3"/>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eastAsia="宋体" w:cs="Times New Roman"/>
                <w:b/>
                <w:bCs/>
                <w:color w:val="auto"/>
                <w:sz w:val="15"/>
                <w:szCs w:val="15"/>
                <w:highlight w:val="none"/>
              </w:rPr>
              <w:t>产生情况</w:t>
            </w:r>
          </w:p>
        </w:tc>
        <w:tc>
          <w:tcPr>
            <w:tcW w:w="1757" w:type="dxa"/>
            <w:gridSpan w:val="2"/>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eastAsia="宋体" w:cs="Times New Roman"/>
                <w:b/>
                <w:bCs/>
                <w:color w:val="auto"/>
                <w:sz w:val="15"/>
                <w:szCs w:val="15"/>
                <w:highlight w:val="none"/>
              </w:rPr>
              <w:t>治理措施</w:t>
            </w:r>
          </w:p>
        </w:tc>
        <w:tc>
          <w:tcPr>
            <w:tcW w:w="2401" w:type="dxa"/>
            <w:gridSpan w:val="3"/>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eastAsia="宋体" w:cs="Times New Roman"/>
                <w:b/>
                <w:bCs/>
                <w:color w:val="auto"/>
                <w:sz w:val="15"/>
                <w:szCs w:val="15"/>
                <w:highlight w:val="none"/>
              </w:rPr>
              <w:t>排放情况</w:t>
            </w:r>
          </w:p>
        </w:tc>
        <w:tc>
          <w:tcPr>
            <w:tcW w:w="2900" w:type="dxa"/>
            <w:gridSpan w:val="4"/>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cs="Times New Roman"/>
                <w:b/>
                <w:bCs/>
                <w:color w:val="auto"/>
                <w:sz w:val="15"/>
                <w:szCs w:val="15"/>
                <w:highlight w:val="none"/>
                <w:lang w:val="en-US" w:eastAsia="zh-CN"/>
              </w:rPr>
              <w:t>排气筒</w:t>
            </w:r>
            <w:r>
              <w:rPr>
                <w:rFonts w:hint="default" w:ascii="Times New Roman" w:hAnsi="Times New Roman" w:eastAsia="宋体" w:cs="Times New Roman"/>
                <w:b/>
                <w:bCs/>
                <w:color w:val="auto"/>
                <w:sz w:val="15"/>
                <w:szCs w:val="15"/>
                <w:highlight w:val="none"/>
              </w:rPr>
              <w:t>参数</w:t>
            </w:r>
          </w:p>
        </w:tc>
        <w:tc>
          <w:tcPr>
            <w:tcW w:w="722" w:type="dxa"/>
            <w:vMerge w:val="restart"/>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cs="Times New Roman"/>
                <w:b/>
                <w:bCs/>
                <w:color w:val="auto"/>
                <w:sz w:val="15"/>
                <w:szCs w:val="15"/>
                <w:highlight w:val="none"/>
              </w:rPr>
              <w:t>排放时间(h)</w:t>
            </w:r>
          </w:p>
        </w:tc>
        <w:tc>
          <w:tcPr>
            <w:tcW w:w="917" w:type="dxa"/>
            <w:vMerge w:val="restart"/>
            <w:tcBorders>
              <w:insideH w:val="single" w:sz="4"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rPr>
            </w:pPr>
            <w:r>
              <w:rPr>
                <w:rFonts w:hint="default" w:ascii="Times New Roman" w:hAnsi="Times New Roman" w:eastAsia="宋体" w:cs="Times New Roman"/>
                <w:b/>
                <w:bCs/>
                <w:color w:val="auto"/>
                <w:sz w:val="15"/>
                <w:szCs w:val="15"/>
                <w:highlight w:val="none"/>
              </w:rPr>
              <w:t>排放标准(mg/m</w:t>
            </w:r>
            <w:r>
              <w:rPr>
                <w:rFonts w:hint="default" w:ascii="Times New Roman" w:hAnsi="Times New Roman" w:eastAsia="宋体" w:cs="Times New Roman"/>
                <w:b/>
                <w:bCs/>
                <w:color w:val="auto"/>
                <w:sz w:val="15"/>
                <w:szCs w:val="15"/>
                <w:highlight w:val="none"/>
                <w:vertAlign w:val="superscript"/>
              </w:rPr>
              <w:t>3</w:t>
            </w:r>
            <w:r>
              <w:rPr>
                <w:rFonts w:hint="default" w:ascii="Times New Roman" w:hAnsi="Times New Roman" w:eastAsia="宋体" w:cs="Times New Roman"/>
                <w:b/>
                <w:bCs/>
                <w:color w:val="auto"/>
                <w:sz w:val="15"/>
                <w:szCs w:val="15"/>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89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p>
        </w:tc>
        <w:tc>
          <w:tcPr>
            <w:tcW w:w="910"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p>
        </w:tc>
        <w:tc>
          <w:tcPr>
            <w:tcW w:w="878"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浓度(mg/m</w:t>
            </w:r>
            <w:r>
              <w:rPr>
                <w:rFonts w:hint="default" w:ascii="Times New Roman" w:hAnsi="Times New Roman" w:cs="Times New Roman"/>
                <w:b/>
                <w:bCs/>
                <w:color w:val="auto"/>
                <w:sz w:val="15"/>
                <w:szCs w:val="15"/>
                <w:highlight w:val="none"/>
                <w:vertAlign w:val="superscript"/>
              </w:rPr>
              <w:t>3</w:t>
            </w:r>
            <w:r>
              <w:rPr>
                <w:rFonts w:hint="default" w:ascii="Times New Roman" w:hAnsi="Times New Roman" w:cs="Times New Roman"/>
                <w:b/>
                <w:bCs/>
                <w:color w:val="auto"/>
                <w:sz w:val="15"/>
                <w:szCs w:val="15"/>
                <w:highlight w:val="none"/>
              </w:rPr>
              <w:t>)</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速率(kg/h)</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产生量(t/a)</w:t>
            </w:r>
          </w:p>
        </w:tc>
        <w:tc>
          <w:tcPr>
            <w:tcW w:w="83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工艺</w:t>
            </w: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效率(%)</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浓度(mg/m</w:t>
            </w:r>
            <w:r>
              <w:rPr>
                <w:rFonts w:hint="default" w:ascii="Times New Roman" w:hAnsi="Times New Roman" w:cs="Times New Roman"/>
                <w:b/>
                <w:bCs/>
                <w:color w:val="auto"/>
                <w:sz w:val="15"/>
                <w:szCs w:val="15"/>
                <w:highlight w:val="none"/>
                <w:vertAlign w:val="superscript"/>
              </w:rPr>
              <w:t>3</w:t>
            </w:r>
            <w:r>
              <w:rPr>
                <w:rFonts w:hint="default" w:ascii="Times New Roman" w:hAnsi="Times New Roman" w:cs="Times New Roman"/>
                <w:b/>
                <w:bCs/>
                <w:color w:val="auto"/>
                <w:sz w:val="15"/>
                <w:szCs w:val="15"/>
                <w:highlight w:val="none"/>
              </w:rPr>
              <w:t>)</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速率(kg/h)</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排放量(t/a)</w:t>
            </w:r>
          </w:p>
        </w:tc>
        <w:tc>
          <w:tcPr>
            <w:tcW w:w="705"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bCs/>
                <w:color w:val="auto"/>
                <w:sz w:val="15"/>
                <w:szCs w:val="15"/>
                <w:highlight w:val="none"/>
                <w:lang w:val="en-US" w:eastAsia="zh-CN"/>
              </w:rPr>
            </w:pPr>
            <w:r>
              <w:rPr>
                <w:rFonts w:hint="default" w:ascii="Times New Roman" w:hAnsi="Times New Roman" w:cs="Times New Roman"/>
                <w:b/>
                <w:bCs/>
                <w:color w:val="auto"/>
                <w:sz w:val="15"/>
                <w:szCs w:val="15"/>
                <w:highlight w:val="none"/>
                <w:lang w:val="en-US" w:eastAsia="zh-CN"/>
              </w:rPr>
              <w:t>编号</w:t>
            </w:r>
          </w:p>
        </w:tc>
        <w:tc>
          <w:tcPr>
            <w:tcW w:w="61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高度(m)</w:t>
            </w:r>
          </w:p>
        </w:tc>
        <w:tc>
          <w:tcPr>
            <w:tcW w:w="73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内径(m)</w:t>
            </w:r>
          </w:p>
        </w:tc>
        <w:tc>
          <w:tcPr>
            <w:tcW w:w="846"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r>
              <w:rPr>
                <w:rFonts w:hint="default" w:ascii="Times New Roman" w:hAnsi="Times New Roman" w:cs="Times New Roman"/>
                <w:b/>
                <w:bCs/>
                <w:color w:val="auto"/>
                <w:sz w:val="15"/>
                <w:szCs w:val="15"/>
                <w:highlight w:val="none"/>
              </w:rPr>
              <w:t>温度(</w:t>
            </w:r>
            <w:r>
              <w:rPr>
                <w:rFonts w:hint="default" w:ascii="Times New Roman" w:hAnsi="Times New Roman" w:cs="Times New Roman"/>
                <w:b/>
                <w:bCs/>
                <w:color w:val="auto"/>
                <w:sz w:val="15"/>
                <w:szCs w:val="15"/>
                <w:highlight w:val="none"/>
                <w:vertAlign w:val="superscript"/>
              </w:rPr>
              <w:t>o</w:t>
            </w:r>
            <w:r>
              <w:rPr>
                <w:rFonts w:hint="default" w:ascii="Times New Roman" w:hAnsi="Times New Roman" w:cs="Times New Roman"/>
                <w:b/>
                <w:bCs/>
                <w:color w:val="auto"/>
                <w:sz w:val="15"/>
                <w:szCs w:val="15"/>
                <w:highlight w:val="none"/>
              </w:rPr>
              <w:t>C)</w:t>
            </w:r>
          </w:p>
        </w:tc>
        <w:tc>
          <w:tcPr>
            <w:tcW w:w="72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p>
        </w:tc>
        <w:tc>
          <w:tcPr>
            <w:tcW w:w="91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bCs/>
                <w:color w:val="auto"/>
                <w:sz w:val="15"/>
                <w:szCs w:val="15"/>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eastAsia="zh-CN"/>
              </w:rPr>
            </w:pPr>
            <w:r>
              <w:rPr>
                <w:rFonts w:hint="default" w:ascii="Times New Roman" w:hAnsi="Times New Roman" w:cs="Times New Roman"/>
                <w:color w:val="auto"/>
                <w:sz w:val="15"/>
                <w:szCs w:val="15"/>
                <w:highlight w:val="none"/>
              </w:rPr>
              <w:t>电弧炉冶炼废气</w:t>
            </w:r>
            <w:r>
              <w:rPr>
                <w:rFonts w:hint="default" w:ascii="Times New Roman" w:hAnsi="Times New Roman" w:cs="Times New Roman"/>
                <w:color w:val="auto"/>
                <w:sz w:val="15"/>
                <w:szCs w:val="15"/>
                <w:highlight w:val="none"/>
                <w:lang w:eastAsia="zh-CN"/>
              </w:rPr>
              <w:t>(</w:t>
            </w:r>
            <w:r>
              <w:rPr>
                <w:rFonts w:hint="default" w:ascii="Times New Roman" w:hAnsi="Times New Roman" w:cs="Times New Roman"/>
                <w:color w:val="auto"/>
                <w:sz w:val="15"/>
                <w:szCs w:val="15"/>
                <w:highlight w:val="none"/>
              </w:rPr>
              <w:t>G1</w:t>
            </w:r>
            <w:r>
              <w:rPr>
                <w:rFonts w:hint="default" w:ascii="Times New Roman" w:hAnsi="Times New Roman" w:cs="Times New Roman"/>
                <w:color w:val="auto"/>
                <w:sz w:val="15"/>
                <w:szCs w:val="15"/>
                <w:highlight w:val="none"/>
                <w:lang w:eastAsia="zh-CN"/>
              </w:rPr>
              <w:t>)</w:t>
            </w:r>
          </w:p>
        </w:tc>
        <w:tc>
          <w:tcPr>
            <w:tcW w:w="591"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产污系数法</w:t>
            </w: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颗粒物</w:t>
            </w:r>
          </w:p>
        </w:tc>
        <w:tc>
          <w:tcPr>
            <w:tcW w:w="878"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119767</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292.44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35.03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126.09 </w:t>
            </w:r>
          </w:p>
        </w:tc>
        <w:tc>
          <w:tcPr>
            <w:tcW w:w="833"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屋顶罩收集+布袋除尘器处理</w:t>
            </w:r>
            <w:r>
              <w:rPr>
                <w:rFonts w:hint="eastAsia" w:ascii="Times New Roman" w:hAnsi="Times New Roman" w:cs="Times New Roman"/>
                <w:color w:val="auto"/>
                <w:sz w:val="15"/>
                <w:szCs w:val="15"/>
                <w:highlight w:val="none"/>
                <w:lang w:val="en-US" w:eastAsia="zh-CN"/>
              </w:rPr>
              <w:t>，捕集效率90%</w:t>
            </w: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98</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5.85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0.70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2.52 </w:t>
            </w:r>
          </w:p>
        </w:tc>
        <w:tc>
          <w:tcPr>
            <w:tcW w:w="705"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DA001</w:t>
            </w:r>
          </w:p>
        </w:tc>
        <w:tc>
          <w:tcPr>
            <w:tcW w:w="612"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15</w:t>
            </w:r>
          </w:p>
        </w:tc>
        <w:tc>
          <w:tcPr>
            <w:tcW w:w="737"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2.6</w:t>
            </w:r>
          </w:p>
        </w:tc>
        <w:tc>
          <w:tcPr>
            <w:tcW w:w="846"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70</w:t>
            </w:r>
          </w:p>
        </w:tc>
        <w:tc>
          <w:tcPr>
            <w:tcW w:w="722"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3600</w:t>
            </w: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氟化物</w:t>
            </w:r>
          </w:p>
        </w:tc>
        <w:tc>
          <w:tcPr>
            <w:tcW w:w="878"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12.45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1.49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5.37 </w:t>
            </w:r>
          </w:p>
        </w:tc>
        <w:tc>
          <w:tcPr>
            <w:tcW w:w="833"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98</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0.25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0.03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0.11 </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二噁英</w:t>
            </w:r>
          </w:p>
        </w:tc>
        <w:tc>
          <w:tcPr>
            <w:tcW w:w="878"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sz w:val="15"/>
                <w:szCs w:val="15"/>
                <w:highlight w:val="none"/>
              </w:rPr>
            </w:pPr>
            <w:r>
              <w:rPr>
                <w:rFonts w:hint="default" w:ascii="Times New Roman" w:hAnsi="Times New Roman" w:cs="Times New Roman"/>
                <w:sz w:val="15"/>
                <w:szCs w:val="15"/>
              </w:rPr>
              <w:t>0.17ng</w:t>
            </w:r>
            <w:r>
              <w:rPr>
                <w:rFonts w:hint="default" w:ascii="Times New Roman" w:hAnsi="Times New Roman" w:cs="Times New Roman"/>
                <w:sz w:val="15"/>
                <w:szCs w:val="15"/>
                <w:lang w:val="en-US" w:eastAsia="zh-CN"/>
              </w:rPr>
              <w:t xml:space="preserve"> </w:t>
            </w:r>
            <w:r>
              <w:rPr>
                <w:rFonts w:hint="default" w:ascii="Times New Roman" w:hAnsi="Times New Roman" w:cs="Times New Roman"/>
                <w:sz w:val="15"/>
                <w:szCs w:val="15"/>
              </w:rPr>
              <w:t>TEQ/m</w:t>
            </w:r>
            <w:r>
              <w:rPr>
                <w:rFonts w:hint="default" w:ascii="Times New Roman" w:hAnsi="Times New Roman" w:cs="Times New Roman"/>
                <w:sz w:val="15"/>
                <w:szCs w:val="15"/>
                <w:vertAlign w:val="superscript"/>
              </w:rPr>
              <w:t>3</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2.04</w:t>
            </w:r>
            <w:r>
              <w:rPr>
                <w:rFonts w:hint="default" w:ascii="Times New Roman" w:hAnsi="Times New Roman" w:cs="Times New Roman"/>
                <w:color w:val="auto"/>
                <w:sz w:val="15"/>
                <w:szCs w:val="15"/>
                <w:highlight w:val="none"/>
              </w:rPr>
              <w:t>×10</w:t>
            </w:r>
            <w:r>
              <w:rPr>
                <w:rFonts w:hint="default" w:ascii="Times New Roman" w:hAnsi="Times New Roman" w:cs="Times New Roman"/>
                <w:color w:val="auto"/>
                <w:sz w:val="15"/>
                <w:szCs w:val="15"/>
                <w:highlight w:val="none"/>
                <w:vertAlign w:val="superscript"/>
              </w:rPr>
              <w:t>-8</w:t>
            </w:r>
            <w:r>
              <w:rPr>
                <w:rFonts w:hint="default" w:ascii="Times New Roman" w:hAnsi="Times New Roman" w:cs="Times New Roman"/>
                <w:color w:val="auto"/>
                <w:sz w:val="15"/>
                <w:szCs w:val="15"/>
                <w:highlight w:val="none"/>
                <w:lang w:val="en-US" w:eastAsia="zh-CN"/>
              </w:rPr>
              <w:t xml:space="preserve">kg </w:t>
            </w:r>
            <w:r>
              <w:rPr>
                <w:rFonts w:hint="default" w:ascii="Times New Roman" w:hAnsi="Times New Roman" w:cs="Times New Roman"/>
                <w:color w:val="auto"/>
                <w:sz w:val="15"/>
                <w:szCs w:val="15"/>
                <w:highlight w:val="none"/>
              </w:rPr>
              <w:t>TEQ/a</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rPr>
              <w:t>7.33×10</w:t>
            </w:r>
            <w:r>
              <w:rPr>
                <w:rFonts w:hint="default" w:ascii="Times New Roman" w:hAnsi="Times New Roman" w:cs="Times New Roman"/>
                <w:color w:val="auto"/>
                <w:sz w:val="15"/>
                <w:szCs w:val="15"/>
                <w:highlight w:val="none"/>
                <w:vertAlign w:val="superscript"/>
              </w:rPr>
              <w:t>-8</w:t>
            </w:r>
            <w:r>
              <w:rPr>
                <w:rFonts w:hint="default" w:ascii="Times New Roman" w:hAnsi="Times New Roman" w:cs="Times New Roman"/>
                <w:color w:val="auto"/>
                <w:sz w:val="15"/>
                <w:szCs w:val="15"/>
                <w:highlight w:val="none"/>
              </w:rPr>
              <w:t>t TEQ/a</w:t>
            </w:r>
          </w:p>
        </w:tc>
        <w:tc>
          <w:tcPr>
            <w:tcW w:w="833"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30</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sz w:val="15"/>
                <w:szCs w:val="15"/>
              </w:rPr>
              <w:t>0.</w:t>
            </w:r>
            <w:r>
              <w:rPr>
                <w:rFonts w:hint="default" w:ascii="Times New Roman" w:hAnsi="Times New Roman" w:cs="Times New Roman"/>
                <w:sz w:val="15"/>
                <w:szCs w:val="15"/>
                <w:lang w:val="en-US" w:eastAsia="zh-CN"/>
              </w:rPr>
              <w:t>05</w:t>
            </w:r>
            <w:r>
              <w:rPr>
                <w:rFonts w:hint="default" w:ascii="Times New Roman" w:hAnsi="Times New Roman" w:cs="Times New Roman"/>
                <w:sz w:val="15"/>
                <w:szCs w:val="15"/>
              </w:rPr>
              <w:t>ng</w:t>
            </w:r>
            <w:r>
              <w:rPr>
                <w:rFonts w:hint="default" w:ascii="Times New Roman" w:hAnsi="Times New Roman" w:cs="Times New Roman"/>
                <w:sz w:val="15"/>
                <w:szCs w:val="15"/>
                <w:lang w:val="en-US" w:eastAsia="zh-CN"/>
              </w:rPr>
              <w:t xml:space="preserve"> </w:t>
            </w:r>
            <w:r>
              <w:rPr>
                <w:rFonts w:hint="default" w:ascii="Times New Roman" w:hAnsi="Times New Roman" w:cs="Times New Roman"/>
                <w:sz w:val="15"/>
                <w:szCs w:val="15"/>
              </w:rPr>
              <w:t>TEQ/m</w:t>
            </w:r>
            <w:r>
              <w:rPr>
                <w:rFonts w:hint="default" w:ascii="Times New Roman" w:hAnsi="Times New Roman" w:cs="Times New Roman"/>
                <w:sz w:val="15"/>
                <w:szCs w:val="15"/>
                <w:vertAlign w:val="superscript"/>
              </w:rPr>
              <w:t>3</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0.62</w:t>
            </w:r>
            <w:r>
              <w:rPr>
                <w:rFonts w:hint="default" w:ascii="Times New Roman" w:hAnsi="Times New Roman" w:cs="Times New Roman"/>
                <w:color w:val="auto"/>
                <w:sz w:val="15"/>
                <w:szCs w:val="15"/>
                <w:highlight w:val="none"/>
              </w:rPr>
              <w:t>×10</w:t>
            </w:r>
            <w:r>
              <w:rPr>
                <w:rFonts w:hint="default" w:ascii="Times New Roman" w:hAnsi="Times New Roman" w:cs="Times New Roman"/>
                <w:color w:val="auto"/>
                <w:sz w:val="15"/>
                <w:szCs w:val="15"/>
                <w:highlight w:val="none"/>
                <w:vertAlign w:val="superscript"/>
              </w:rPr>
              <w:t>-8</w:t>
            </w:r>
            <w:r>
              <w:rPr>
                <w:rFonts w:hint="default" w:ascii="Times New Roman" w:hAnsi="Times New Roman" w:cs="Times New Roman"/>
                <w:color w:val="auto"/>
                <w:sz w:val="15"/>
                <w:szCs w:val="15"/>
                <w:highlight w:val="none"/>
                <w:lang w:val="en-US" w:eastAsia="zh-CN"/>
              </w:rPr>
              <w:t xml:space="preserve">kg </w:t>
            </w:r>
            <w:r>
              <w:rPr>
                <w:rFonts w:hint="default" w:ascii="Times New Roman" w:hAnsi="Times New Roman" w:cs="Times New Roman"/>
                <w:color w:val="auto"/>
                <w:sz w:val="15"/>
                <w:szCs w:val="15"/>
                <w:highlight w:val="none"/>
              </w:rPr>
              <w:t>TEQ/a</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2.20</w:t>
            </w:r>
            <w:r>
              <w:rPr>
                <w:rFonts w:hint="default" w:ascii="Times New Roman" w:hAnsi="Times New Roman" w:cs="Times New Roman"/>
                <w:color w:val="auto"/>
                <w:sz w:val="15"/>
                <w:szCs w:val="15"/>
                <w:highlight w:val="none"/>
              </w:rPr>
              <w:t>×10</w:t>
            </w:r>
            <w:r>
              <w:rPr>
                <w:rFonts w:hint="default" w:ascii="Times New Roman" w:hAnsi="Times New Roman" w:cs="Times New Roman"/>
                <w:color w:val="auto"/>
                <w:sz w:val="15"/>
                <w:szCs w:val="15"/>
                <w:highlight w:val="none"/>
                <w:vertAlign w:val="superscript"/>
              </w:rPr>
              <w:t>-8</w:t>
            </w:r>
            <w:r>
              <w:rPr>
                <w:rFonts w:hint="default" w:ascii="Times New Roman" w:hAnsi="Times New Roman" w:cs="Times New Roman"/>
                <w:color w:val="auto"/>
                <w:sz w:val="15"/>
                <w:szCs w:val="15"/>
                <w:highlight w:val="none"/>
              </w:rPr>
              <w:t>t TEQ/a</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eastAsia="zh-CN"/>
              </w:rPr>
            </w:pPr>
            <w:r>
              <w:rPr>
                <w:rFonts w:hint="default" w:ascii="Times New Roman" w:hAnsi="Times New Roman" w:cs="Times New Roman"/>
                <w:color w:val="auto"/>
                <w:sz w:val="15"/>
                <w:szCs w:val="15"/>
                <w:highlight w:val="none"/>
              </w:rPr>
              <w:t>AOD炉精炼废气</w:t>
            </w:r>
            <w:r>
              <w:rPr>
                <w:rFonts w:hint="default" w:ascii="Times New Roman" w:hAnsi="Times New Roman" w:cs="Times New Roman"/>
                <w:color w:val="auto"/>
                <w:sz w:val="15"/>
                <w:szCs w:val="15"/>
                <w:highlight w:val="none"/>
                <w:lang w:eastAsia="zh-CN"/>
              </w:rPr>
              <w:t>(</w:t>
            </w:r>
            <w:r>
              <w:rPr>
                <w:rFonts w:hint="default" w:ascii="Times New Roman" w:hAnsi="Times New Roman" w:cs="Times New Roman"/>
                <w:color w:val="auto"/>
                <w:sz w:val="15"/>
                <w:szCs w:val="15"/>
                <w:highlight w:val="none"/>
              </w:rPr>
              <w:t>G3</w:t>
            </w:r>
            <w:r>
              <w:rPr>
                <w:rFonts w:hint="default" w:ascii="Times New Roman" w:hAnsi="Times New Roman" w:cs="Times New Roman"/>
                <w:color w:val="auto"/>
                <w:sz w:val="15"/>
                <w:szCs w:val="15"/>
                <w:highlight w:val="none"/>
                <w:lang w:eastAsia="zh-CN"/>
              </w:rPr>
              <w:t>)</w:t>
            </w: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颗粒物</w:t>
            </w:r>
          </w:p>
        </w:tc>
        <w:tc>
          <w:tcPr>
            <w:tcW w:w="8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159689</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292.44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46.70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126.09 </w:t>
            </w:r>
          </w:p>
        </w:tc>
        <w:tc>
          <w:tcPr>
            <w:tcW w:w="833"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98</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5.85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0.93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2.52 </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2700</w:t>
            </w: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eastAsia="zh-CN"/>
              </w:rPr>
            </w:pPr>
            <w:r>
              <w:rPr>
                <w:rFonts w:hint="default" w:ascii="Times New Roman" w:hAnsi="Times New Roman" w:cs="Times New Roman"/>
                <w:color w:val="auto"/>
                <w:sz w:val="15"/>
                <w:szCs w:val="15"/>
                <w:highlight w:val="none"/>
              </w:rPr>
              <w:t>合金熔融废气</w:t>
            </w:r>
            <w:r>
              <w:rPr>
                <w:rFonts w:hint="default" w:ascii="Times New Roman" w:hAnsi="Times New Roman" w:cs="Times New Roman"/>
                <w:color w:val="auto"/>
                <w:sz w:val="15"/>
                <w:szCs w:val="15"/>
                <w:highlight w:val="none"/>
                <w:lang w:eastAsia="zh-CN"/>
              </w:rPr>
              <w:t>(</w:t>
            </w:r>
            <w:r>
              <w:rPr>
                <w:rFonts w:hint="default" w:ascii="Times New Roman" w:hAnsi="Times New Roman" w:cs="Times New Roman"/>
                <w:color w:val="auto"/>
                <w:sz w:val="15"/>
                <w:szCs w:val="15"/>
                <w:highlight w:val="none"/>
              </w:rPr>
              <w:t>G2</w:t>
            </w:r>
            <w:r>
              <w:rPr>
                <w:rFonts w:hint="default" w:ascii="Times New Roman" w:hAnsi="Times New Roman" w:cs="Times New Roman"/>
                <w:color w:val="auto"/>
                <w:sz w:val="15"/>
                <w:szCs w:val="15"/>
                <w:highlight w:val="none"/>
                <w:lang w:eastAsia="zh-CN"/>
              </w:rPr>
              <w:t>)</w:t>
            </w: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颗粒物</w:t>
            </w:r>
          </w:p>
        </w:tc>
        <w:tc>
          <w:tcPr>
            <w:tcW w:w="8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19961</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292.44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5.84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15.76 </w:t>
            </w:r>
          </w:p>
        </w:tc>
        <w:tc>
          <w:tcPr>
            <w:tcW w:w="833"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98</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5.85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0.12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0.32 </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2700</w:t>
            </w: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eastAsia="zh-CN"/>
              </w:rPr>
            </w:pPr>
            <w:r>
              <w:rPr>
                <w:rFonts w:hint="default" w:ascii="Times New Roman" w:hAnsi="Times New Roman" w:cs="Times New Roman"/>
                <w:color w:val="auto"/>
                <w:sz w:val="15"/>
                <w:szCs w:val="15"/>
                <w:highlight w:val="none"/>
              </w:rPr>
              <w:t>LF炉精炼废气</w:t>
            </w:r>
            <w:r>
              <w:rPr>
                <w:rFonts w:hint="default" w:ascii="Times New Roman" w:hAnsi="Times New Roman" w:cs="Times New Roman"/>
                <w:color w:val="auto"/>
                <w:sz w:val="15"/>
                <w:szCs w:val="15"/>
                <w:highlight w:val="none"/>
                <w:lang w:eastAsia="zh-CN"/>
              </w:rPr>
              <w:t>(</w:t>
            </w:r>
            <w:r>
              <w:rPr>
                <w:rFonts w:hint="default" w:ascii="Times New Roman" w:hAnsi="Times New Roman" w:cs="Times New Roman"/>
                <w:color w:val="auto"/>
                <w:sz w:val="15"/>
                <w:szCs w:val="15"/>
                <w:highlight w:val="none"/>
              </w:rPr>
              <w:t>G4</w:t>
            </w:r>
            <w:r>
              <w:rPr>
                <w:rFonts w:hint="default" w:ascii="Times New Roman" w:hAnsi="Times New Roman" w:cs="Times New Roman"/>
                <w:color w:val="auto"/>
                <w:sz w:val="15"/>
                <w:szCs w:val="15"/>
                <w:highlight w:val="none"/>
                <w:lang w:eastAsia="zh-CN"/>
              </w:rPr>
              <w:t>)</w:t>
            </w: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颗粒物</w:t>
            </w:r>
          </w:p>
        </w:tc>
        <w:tc>
          <w:tcPr>
            <w:tcW w:w="8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71860</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292.44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21.02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63.05 </w:t>
            </w:r>
          </w:p>
        </w:tc>
        <w:tc>
          <w:tcPr>
            <w:tcW w:w="833"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98</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5.85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0.42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1.26 </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3000</w:t>
            </w: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eastAsia="zh-CN"/>
              </w:rPr>
            </w:pPr>
            <w:r>
              <w:rPr>
                <w:rFonts w:hint="default" w:ascii="Times New Roman" w:hAnsi="Times New Roman" w:cs="Times New Roman"/>
                <w:color w:val="auto"/>
                <w:sz w:val="15"/>
                <w:szCs w:val="15"/>
                <w:highlight w:val="none"/>
              </w:rPr>
              <w:t>VOD炉精炼废气</w:t>
            </w:r>
            <w:r>
              <w:rPr>
                <w:rFonts w:hint="default" w:ascii="Times New Roman" w:hAnsi="Times New Roman" w:cs="Times New Roman"/>
                <w:color w:val="auto"/>
                <w:sz w:val="15"/>
                <w:szCs w:val="15"/>
                <w:highlight w:val="none"/>
                <w:lang w:eastAsia="zh-CN"/>
              </w:rPr>
              <w:t>(</w:t>
            </w:r>
            <w:r>
              <w:rPr>
                <w:rFonts w:hint="default" w:ascii="Times New Roman" w:hAnsi="Times New Roman" w:cs="Times New Roman"/>
                <w:color w:val="auto"/>
                <w:sz w:val="15"/>
                <w:szCs w:val="15"/>
                <w:highlight w:val="none"/>
              </w:rPr>
              <w:t>G5</w:t>
            </w:r>
            <w:r>
              <w:rPr>
                <w:rFonts w:hint="default" w:ascii="Times New Roman" w:hAnsi="Times New Roman" w:cs="Times New Roman"/>
                <w:color w:val="auto"/>
                <w:sz w:val="15"/>
                <w:szCs w:val="15"/>
                <w:highlight w:val="none"/>
                <w:lang w:eastAsia="zh-CN"/>
              </w:rPr>
              <w:t>)</w:t>
            </w: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颗粒物</w:t>
            </w:r>
          </w:p>
        </w:tc>
        <w:tc>
          <w:tcPr>
            <w:tcW w:w="8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89825</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292.44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46.70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126.09 </w:t>
            </w:r>
          </w:p>
        </w:tc>
        <w:tc>
          <w:tcPr>
            <w:tcW w:w="833"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98</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5.85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0.93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2.52 </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2400</w:t>
            </w: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eastAsia="zh-CN"/>
              </w:rPr>
            </w:pPr>
            <w:r>
              <w:rPr>
                <w:rFonts w:hint="default" w:ascii="Times New Roman" w:hAnsi="Times New Roman" w:cs="Times New Roman"/>
                <w:color w:val="auto"/>
                <w:sz w:val="15"/>
                <w:szCs w:val="15"/>
                <w:highlight w:val="none"/>
              </w:rPr>
              <w:t>浇铸废气</w:t>
            </w:r>
            <w:r>
              <w:rPr>
                <w:rFonts w:hint="default" w:ascii="Times New Roman" w:hAnsi="Times New Roman" w:cs="Times New Roman"/>
                <w:color w:val="auto"/>
                <w:sz w:val="15"/>
                <w:szCs w:val="15"/>
                <w:highlight w:val="none"/>
                <w:lang w:eastAsia="zh-CN"/>
              </w:rPr>
              <w:t>(</w:t>
            </w:r>
            <w:r>
              <w:rPr>
                <w:rFonts w:hint="default" w:ascii="Times New Roman" w:hAnsi="Times New Roman" w:cs="Times New Roman"/>
                <w:color w:val="auto"/>
                <w:sz w:val="15"/>
                <w:szCs w:val="15"/>
                <w:highlight w:val="none"/>
              </w:rPr>
              <w:t>G6</w:t>
            </w:r>
            <w:r>
              <w:rPr>
                <w:rFonts w:hint="default" w:ascii="Times New Roman" w:hAnsi="Times New Roman" w:cs="Times New Roman"/>
                <w:color w:val="auto"/>
                <w:sz w:val="15"/>
                <w:szCs w:val="15"/>
                <w:highlight w:val="none"/>
                <w:lang w:eastAsia="zh-CN"/>
              </w:rPr>
              <w:t>)</w:t>
            </w: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颗粒物</w:t>
            </w:r>
          </w:p>
        </w:tc>
        <w:tc>
          <w:tcPr>
            <w:tcW w:w="8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50000</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37.05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1.85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6.67 </w:t>
            </w:r>
          </w:p>
        </w:tc>
        <w:tc>
          <w:tcPr>
            <w:tcW w:w="833"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98</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0.74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0.04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0.13 </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3600</w:t>
            </w: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eastAsia="zh-CN"/>
              </w:rPr>
            </w:pPr>
            <w:r>
              <w:rPr>
                <w:rFonts w:hint="default" w:ascii="Times New Roman" w:hAnsi="Times New Roman" w:cs="Times New Roman"/>
                <w:color w:val="auto"/>
                <w:sz w:val="15"/>
                <w:szCs w:val="15"/>
                <w:highlight w:val="none"/>
              </w:rPr>
              <w:t>热处理废气</w:t>
            </w:r>
            <w:r>
              <w:rPr>
                <w:rFonts w:hint="default" w:ascii="Times New Roman" w:hAnsi="Times New Roman" w:cs="Times New Roman"/>
                <w:color w:val="auto"/>
                <w:sz w:val="15"/>
                <w:szCs w:val="15"/>
                <w:highlight w:val="none"/>
                <w:lang w:eastAsia="zh-CN"/>
              </w:rPr>
              <w:t>(</w:t>
            </w:r>
            <w:r>
              <w:rPr>
                <w:rFonts w:hint="default" w:ascii="Times New Roman" w:hAnsi="Times New Roman" w:cs="Times New Roman"/>
                <w:color w:val="auto"/>
                <w:sz w:val="15"/>
                <w:szCs w:val="15"/>
                <w:highlight w:val="none"/>
              </w:rPr>
              <w:t>G7</w:t>
            </w:r>
            <w:r>
              <w:rPr>
                <w:rFonts w:hint="default" w:ascii="Times New Roman" w:hAnsi="Times New Roman" w:cs="Times New Roman"/>
                <w:color w:val="auto"/>
                <w:sz w:val="15"/>
                <w:szCs w:val="15"/>
                <w:highlight w:val="none"/>
                <w:lang w:eastAsia="zh-CN"/>
              </w:rPr>
              <w:t>)</w:t>
            </w: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r>
              <w:rPr>
                <w:rFonts w:hint="default" w:ascii="Times New Roman" w:hAnsi="Times New Roman" w:cs="Times New Roman"/>
                <w:color w:val="auto"/>
                <w:sz w:val="15"/>
                <w:szCs w:val="15"/>
                <w:highlight w:val="none"/>
                <w:lang w:val="en-US" w:eastAsia="zh-CN"/>
              </w:rPr>
              <w:t>颗粒物</w:t>
            </w:r>
          </w:p>
        </w:tc>
        <w:tc>
          <w:tcPr>
            <w:tcW w:w="878"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14688</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21.11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0.31</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0.31</w:t>
            </w:r>
          </w:p>
        </w:tc>
        <w:tc>
          <w:tcPr>
            <w:tcW w:w="83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w:t>
            </w: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0</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21.11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0.31</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0.31</w:t>
            </w:r>
          </w:p>
        </w:tc>
        <w:tc>
          <w:tcPr>
            <w:tcW w:w="705"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DA002</w:t>
            </w:r>
          </w:p>
        </w:tc>
        <w:tc>
          <w:tcPr>
            <w:tcW w:w="612"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15</w:t>
            </w:r>
          </w:p>
        </w:tc>
        <w:tc>
          <w:tcPr>
            <w:tcW w:w="737"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1.0</w:t>
            </w:r>
          </w:p>
        </w:tc>
        <w:tc>
          <w:tcPr>
            <w:tcW w:w="846"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100</w:t>
            </w:r>
          </w:p>
        </w:tc>
        <w:tc>
          <w:tcPr>
            <w:tcW w:w="722" w:type="dxa"/>
            <w:vMerge w:val="restart"/>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1000</w:t>
            </w: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二氧化硫</w:t>
            </w:r>
          </w:p>
        </w:tc>
        <w:tc>
          <w:tcPr>
            <w:tcW w:w="878"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14.98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0.22</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0.22</w:t>
            </w:r>
          </w:p>
        </w:tc>
        <w:tc>
          <w:tcPr>
            <w:tcW w:w="83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w:t>
            </w: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0</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14.98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0.22</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0.22</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9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氮氧化物</w:t>
            </w:r>
          </w:p>
        </w:tc>
        <w:tc>
          <w:tcPr>
            <w:tcW w:w="878"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68.76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1.01</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1.01</w:t>
            </w:r>
          </w:p>
        </w:tc>
        <w:tc>
          <w:tcPr>
            <w:tcW w:w="83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低氮燃烧</w:t>
            </w: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50</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34.38 </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0.51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 xml:space="preserve">0.51 </w:t>
            </w:r>
          </w:p>
        </w:tc>
        <w:tc>
          <w:tcPr>
            <w:tcW w:w="705"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61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37"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4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722"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2" w:hRule="atLeast"/>
          <w:jc w:val="center"/>
        </w:trPr>
        <w:tc>
          <w:tcPr>
            <w:tcW w:w="89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生产舌尖</w:t>
            </w:r>
          </w:p>
        </w:tc>
        <w:tc>
          <w:tcPr>
            <w:tcW w:w="591"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91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颗粒物</w:t>
            </w:r>
          </w:p>
        </w:tc>
        <w:tc>
          <w:tcPr>
            <w:tcW w:w="8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15"/>
                <w:szCs w:val="15"/>
                <w:lang w:val="en-US" w:eastAsia="zh-CN"/>
              </w:rPr>
            </w:pPr>
            <w:r>
              <w:rPr>
                <w:rFonts w:hint="default" w:ascii="Times New Roman" w:hAnsi="Times New Roman" w:eastAsia="宋体" w:cs="Times New Roman"/>
                <w:sz w:val="15"/>
                <w:szCs w:val="15"/>
                <w:lang w:val="en-US" w:eastAsia="zh-CN"/>
              </w:rPr>
              <w:t xml:space="preserve">11.30 </w:t>
            </w:r>
          </w:p>
        </w:tc>
        <w:tc>
          <w:tcPr>
            <w:tcW w:w="899"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15"/>
                <w:szCs w:val="15"/>
                <w:lang w:val="en-US" w:eastAsia="zh-CN"/>
              </w:rPr>
            </w:pPr>
            <w:r>
              <w:rPr>
                <w:rFonts w:hint="default" w:ascii="Times New Roman" w:hAnsi="Times New Roman" w:eastAsia="宋体" w:cs="Times New Roman"/>
                <w:sz w:val="15"/>
                <w:szCs w:val="15"/>
                <w:lang w:val="en-US" w:eastAsia="zh-CN"/>
              </w:rPr>
              <w:t xml:space="preserve">30.51 </w:t>
            </w:r>
          </w:p>
        </w:tc>
        <w:tc>
          <w:tcPr>
            <w:tcW w:w="83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车间封闭，保证集气效率</w:t>
            </w:r>
          </w:p>
        </w:tc>
        <w:tc>
          <w:tcPr>
            <w:tcW w:w="92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90</w:t>
            </w:r>
          </w:p>
        </w:tc>
        <w:tc>
          <w:tcPr>
            <w:tcW w:w="778"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sz w:val="15"/>
                <w:szCs w:val="15"/>
              </w:rPr>
            </w:pPr>
            <w:r>
              <w:rPr>
                <w:rFonts w:hint="default" w:ascii="Times New Roman" w:hAnsi="Times New Roman" w:cs="Times New Roman"/>
                <w:sz w:val="15"/>
                <w:szCs w:val="15"/>
                <w:lang w:val="en-US" w:eastAsia="zh-CN"/>
              </w:rPr>
              <w:t>/</w:t>
            </w:r>
          </w:p>
        </w:tc>
        <w:tc>
          <w:tcPr>
            <w:tcW w:w="840"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15"/>
                <w:szCs w:val="15"/>
                <w:lang w:val="en-US" w:eastAsia="zh-CN"/>
              </w:rPr>
            </w:pPr>
            <w:r>
              <w:rPr>
                <w:rFonts w:hint="default" w:ascii="Times New Roman" w:hAnsi="Times New Roman" w:eastAsia="宋体" w:cs="Times New Roman"/>
                <w:sz w:val="15"/>
                <w:szCs w:val="15"/>
                <w:lang w:val="en-US" w:eastAsia="zh-CN"/>
              </w:rPr>
              <w:t xml:space="preserve">1.13 </w:t>
            </w:r>
          </w:p>
        </w:tc>
        <w:tc>
          <w:tcPr>
            <w:tcW w:w="78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 w:val="15"/>
                <w:szCs w:val="15"/>
                <w:lang w:val="en-US" w:eastAsia="zh-CN"/>
              </w:rPr>
            </w:pPr>
            <w:r>
              <w:rPr>
                <w:rFonts w:hint="default" w:ascii="Times New Roman" w:hAnsi="Times New Roman" w:eastAsia="宋体" w:cs="Times New Roman"/>
                <w:sz w:val="15"/>
                <w:szCs w:val="15"/>
                <w:lang w:val="en-US" w:eastAsia="zh-CN"/>
              </w:rPr>
              <w:t xml:space="preserve">3.05 </w:t>
            </w:r>
          </w:p>
        </w:tc>
        <w:tc>
          <w:tcPr>
            <w:tcW w:w="705"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w:t>
            </w:r>
          </w:p>
        </w:tc>
        <w:tc>
          <w:tcPr>
            <w:tcW w:w="2195" w:type="dxa"/>
            <w:gridSpan w:val="3"/>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eastAsia" w:ascii="Times New Roman" w:hAnsi="Times New Roman" w:cs="Times New Roman"/>
                <w:color w:val="auto"/>
                <w:sz w:val="15"/>
                <w:szCs w:val="15"/>
                <w:highlight w:val="none"/>
                <w:lang w:val="en-US" w:eastAsia="zh-CN"/>
              </w:rPr>
              <w:t>60</w:t>
            </w:r>
            <w:r>
              <w:rPr>
                <w:rFonts w:hint="default"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lang w:val="en-US" w:eastAsia="zh-CN"/>
              </w:rPr>
              <w:t>30</w:t>
            </w:r>
            <w:r>
              <w:rPr>
                <w:rFonts w:hint="default" w:ascii="Times New Roman" w:hAnsi="Times New Roman" w:cs="Times New Roman"/>
                <w:color w:val="auto"/>
                <w:sz w:val="15"/>
                <w:szCs w:val="15"/>
                <w:highlight w:val="none"/>
              </w:rPr>
              <w:t>×</w:t>
            </w:r>
            <w:r>
              <w:rPr>
                <w:rFonts w:hint="default" w:ascii="Times New Roman" w:hAnsi="Times New Roman" w:cs="Times New Roman"/>
                <w:color w:val="auto"/>
                <w:sz w:val="15"/>
                <w:szCs w:val="15"/>
                <w:highlight w:val="none"/>
                <w:lang w:val="en-US" w:eastAsia="zh-CN"/>
              </w:rPr>
              <w:t>1</w:t>
            </w:r>
            <w:r>
              <w:rPr>
                <w:rFonts w:hint="eastAsia" w:ascii="Times New Roman" w:hAnsi="Times New Roman" w:cs="Times New Roman"/>
                <w:color w:val="auto"/>
                <w:sz w:val="15"/>
                <w:szCs w:val="15"/>
                <w:highlight w:val="none"/>
                <w:lang w:val="en-US" w:eastAsia="zh-CN"/>
              </w:rPr>
              <w:t>2</w:t>
            </w:r>
            <w:r>
              <w:rPr>
                <w:rFonts w:hint="default" w:ascii="Times New Roman" w:hAnsi="Times New Roman" w:cs="Times New Roman"/>
                <w:color w:val="auto"/>
                <w:sz w:val="15"/>
                <w:szCs w:val="15"/>
                <w:highlight w:val="none"/>
                <w:lang w:val="en-US" w:eastAsia="zh-CN"/>
              </w:rPr>
              <w:t>m</w:t>
            </w:r>
            <w:r>
              <w:rPr>
                <w:rFonts w:hint="eastAsia" w:ascii="Times New Roman" w:hAnsi="Times New Roman" w:cs="Times New Roman"/>
                <w:color w:val="auto"/>
                <w:sz w:val="15"/>
                <w:szCs w:val="15"/>
                <w:highlight w:val="none"/>
                <w:lang w:val="en-US" w:eastAsia="zh-CN"/>
              </w:rPr>
              <w:t>+30</w:t>
            </w:r>
            <w:r>
              <w:rPr>
                <w:rFonts w:hint="default"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lang w:val="en-US" w:eastAsia="zh-CN"/>
              </w:rPr>
              <w:t>20</w:t>
            </w:r>
            <w:r>
              <w:rPr>
                <w:rFonts w:hint="default" w:ascii="Times New Roman" w:hAnsi="Times New Roman" w:cs="Times New Roman"/>
                <w:color w:val="auto"/>
                <w:sz w:val="15"/>
                <w:szCs w:val="15"/>
                <w:highlight w:val="none"/>
              </w:rPr>
              <w:t>×</w:t>
            </w:r>
            <w:r>
              <w:rPr>
                <w:rFonts w:hint="default" w:ascii="Times New Roman" w:hAnsi="Times New Roman" w:cs="Times New Roman"/>
                <w:color w:val="auto"/>
                <w:sz w:val="15"/>
                <w:szCs w:val="15"/>
                <w:highlight w:val="none"/>
                <w:lang w:val="en-US" w:eastAsia="zh-CN"/>
              </w:rPr>
              <w:t>1</w:t>
            </w:r>
            <w:r>
              <w:rPr>
                <w:rFonts w:hint="eastAsia" w:ascii="Times New Roman" w:hAnsi="Times New Roman" w:cs="Times New Roman"/>
                <w:color w:val="auto"/>
                <w:sz w:val="15"/>
                <w:szCs w:val="15"/>
                <w:highlight w:val="none"/>
                <w:lang w:val="en-US" w:eastAsia="zh-CN"/>
              </w:rPr>
              <w:t>2</w:t>
            </w:r>
            <w:r>
              <w:rPr>
                <w:rFonts w:hint="default" w:ascii="Times New Roman" w:hAnsi="Times New Roman" w:cs="Times New Roman"/>
                <w:color w:val="auto"/>
                <w:sz w:val="15"/>
                <w:szCs w:val="15"/>
                <w:highlight w:val="none"/>
                <w:lang w:val="en-US" w:eastAsia="zh-CN"/>
              </w:rPr>
              <w:t>m</w:t>
            </w:r>
            <w:r>
              <w:rPr>
                <w:rFonts w:hint="eastAsia" w:ascii="Times New Roman" w:hAnsi="Times New Roman" w:cs="Times New Roman"/>
                <w:color w:val="auto"/>
                <w:sz w:val="15"/>
                <w:szCs w:val="15"/>
                <w:highlight w:val="none"/>
                <w:lang w:val="en-US" w:eastAsia="zh-CN"/>
              </w:rPr>
              <w:t>+110</w:t>
            </w:r>
            <w:r>
              <w:rPr>
                <w:rFonts w:hint="default" w:ascii="Times New Roman" w:hAnsi="Times New Roman" w:cs="Times New Roman"/>
                <w:color w:val="auto"/>
                <w:sz w:val="15"/>
                <w:szCs w:val="15"/>
                <w:highlight w:val="none"/>
              </w:rPr>
              <w:t>×</w:t>
            </w:r>
            <w:r>
              <w:rPr>
                <w:rFonts w:hint="eastAsia" w:ascii="Times New Roman" w:hAnsi="Times New Roman" w:cs="Times New Roman"/>
                <w:color w:val="auto"/>
                <w:sz w:val="15"/>
                <w:szCs w:val="15"/>
                <w:highlight w:val="none"/>
                <w:lang w:val="en-US" w:eastAsia="zh-CN"/>
              </w:rPr>
              <w:t>18</w:t>
            </w:r>
            <w:r>
              <w:rPr>
                <w:rFonts w:hint="default" w:ascii="Times New Roman" w:hAnsi="Times New Roman" w:cs="Times New Roman"/>
                <w:color w:val="auto"/>
                <w:sz w:val="15"/>
                <w:szCs w:val="15"/>
                <w:highlight w:val="none"/>
              </w:rPr>
              <w:t>×</w:t>
            </w:r>
            <w:r>
              <w:rPr>
                <w:rFonts w:hint="default" w:ascii="Times New Roman" w:hAnsi="Times New Roman" w:cs="Times New Roman"/>
                <w:color w:val="auto"/>
                <w:sz w:val="15"/>
                <w:szCs w:val="15"/>
                <w:highlight w:val="none"/>
                <w:lang w:val="en-US" w:eastAsia="zh-CN"/>
              </w:rPr>
              <w:t>1</w:t>
            </w:r>
            <w:r>
              <w:rPr>
                <w:rFonts w:hint="eastAsia" w:ascii="Times New Roman" w:hAnsi="Times New Roman" w:cs="Times New Roman"/>
                <w:color w:val="auto"/>
                <w:sz w:val="15"/>
                <w:szCs w:val="15"/>
                <w:highlight w:val="none"/>
                <w:lang w:val="en-US" w:eastAsia="zh-CN"/>
              </w:rPr>
              <w:t>2</w:t>
            </w:r>
            <w:r>
              <w:rPr>
                <w:rFonts w:hint="default" w:ascii="Times New Roman" w:hAnsi="Times New Roman" w:cs="Times New Roman"/>
                <w:color w:val="auto"/>
                <w:sz w:val="15"/>
                <w:szCs w:val="15"/>
                <w:highlight w:val="none"/>
                <w:lang w:val="en-US" w:eastAsia="zh-CN"/>
              </w:rPr>
              <w:t>m</w:t>
            </w:r>
          </w:p>
        </w:tc>
        <w:tc>
          <w:tcPr>
            <w:tcW w:w="72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sz w:val="15"/>
                <w:szCs w:val="15"/>
                <w:highlight w:val="none"/>
                <w:lang w:val="en-US" w:eastAsia="zh-CN"/>
              </w:rPr>
            </w:pPr>
            <w:r>
              <w:rPr>
                <w:rFonts w:hint="default" w:ascii="Times New Roman" w:hAnsi="Times New Roman" w:cs="Times New Roman"/>
                <w:color w:val="auto"/>
                <w:sz w:val="15"/>
                <w:szCs w:val="15"/>
                <w:highlight w:val="none"/>
                <w:lang w:val="en-US" w:eastAsia="zh-CN"/>
              </w:rPr>
              <w:t>3600</w:t>
            </w:r>
          </w:p>
        </w:tc>
        <w:tc>
          <w:tcPr>
            <w:tcW w:w="91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color w:val="auto"/>
                <w:sz w:val="15"/>
                <w:szCs w:val="15"/>
                <w:highlight w:val="none"/>
              </w:rPr>
            </w:pPr>
          </w:p>
        </w:tc>
      </w:tr>
    </w:tbl>
    <w:p>
      <w:pPr>
        <w:pStyle w:val="19"/>
        <w:rPr>
          <w:rFonts w:hint="eastAsia"/>
          <w:lang w:val="en-US" w:eastAsia="zh-CN"/>
        </w:rPr>
      </w:pPr>
    </w:p>
    <w:p>
      <w:pPr>
        <w:pStyle w:val="19"/>
        <w:rPr>
          <w:rFonts w:hint="default"/>
          <w:lang w:val="en-US" w:eastAsia="zh-CN"/>
        </w:rPr>
        <w:sectPr>
          <w:pgSz w:w="16838" w:h="11906" w:orient="landscape"/>
          <w:pgMar w:top="1418" w:right="1418" w:bottom="1418" w:left="1418" w:header="851" w:footer="851" w:gutter="0"/>
          <w:cols w:space="425" w:num="1"/>
          <w:docGrid w:type="lines" w:linePitch="326" w:charSpace="0"/>
        </w:sectPr>
      </w:pPr>
    </w:p>
    <w:p>
      <w:pPr>
        <w:pStyle w:val="29"/>
        <w:keepNext/>
        <w:keepLines/>
        <w:pageBreakBefore w:val="0"/>
        <w:widowControl w:val="0"/>
        <w:kinsoku/>
        <w:wordWrap/>
        <w:overflowPunct/>
        <w:topLinePunct w:val="0"/>
        <w:autoSpaceDE/>
        <w:autoSpaceDN/>
        <w:bidi w:val="0"/>
        <w:adjustRightInd/>
        <w:snapToGrid/>
        <w:textAlignment w:val="auto"/>
        <w:outlineLvl w:val="3"/>
        <w:rPr>
          <w:rFonts w:hint="default" w:eastAsia="宋体"/>
          <w:lang w:val="en-US" w:eastAsia="zh-CN"/>
        </w:rPr>
      </w:pPr>
      <w:r>
        <w:rPr>
          <w:rFonts w:hint="eastAsia"/>
          <w:lang w:val="en-US" w:eastAsia="zh-CN"/>
        </w:rPr>
        <w:t>2</w:t>
      </w:r>
      <w:r>
        <w:t>.</w:t>
      </w:r>
      <w:r>
        <w:rPr>
          <w:rFonts w:hint="eastAsia"/>
          <w:lang w:val="en-US" w:eastAsia="zh-CN"/>
        </w:rPr>
        <w:t>3.2 非正常工况</w:t>
      </w:r>
    </w:p>
    <w:p>
      <w:pPr>
        <w:rPr>
          <w:color w:val="auto"/>
          <w:highlight w:val="none"/>
        </w:rPr>
      </w:pPr>
      <w:r>
        <w:rPr>
          <w:rFonts w:hint="eastAsia"/>
        </w:rPr>
        <w:t>项目事故工况主要为滤袋清理不及时，发生堵塞或者滤袋破损，以布袋除尘器去除率降低到90%计，此时事故工况废气仍将由排气筒排放。</w:t>
      </w:r>
      <w:r>
        <w:rPr>
          <w:rFonts w:hint="eastAsia"/>
          <w:color w:val="auto"/>
          <w:highlight w:val="none"/>
        </w:rPr>
        <w:t>为确保区域大气环境容量和区域环境质量目标的改善，在日常运行情况下，建设单位应避免污染物排放控制措施达不到应有效率等非正常工况的产生，减少污染物的非正常工况排放。本评价要求建设单位定期检查废气处理设施运转情况，配备专人负责维护，严格管理，避免失效工况发生。</w:t>
      </w:r>
    </w:p>
    <w:p>
      <w:pPr>
        <w:pStyle w:val="21"/>
        <w:bidi w:val="0"/>
        <w:rPr>
          <w:rFonts w:hint="eastAsia"/>
          <w:lang w:val="en-US" w:eastAsia="zh-CN"/>
        </w:rPr>
      </w:pPr>
      <w:r>
        <w:rPr>
          <w:rFonts w:hint="eastAsia"/>
          <w:lang w:val="en-US" w:eastAsia="zh-CN"/>
        </w:rPr>
        <w:t>表2.3-2  非正常工况废气污染物排放情况</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0"/>
        <w:gridCol w:w="2087"/>
        <w:gridCol w:w="1220"/>
        <w:gridCol w:w="1482"/>
        <w:gridCol w:w="1465"/>
        <w:gridCol w:w="1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0" w:type="pct"/>
            <w:tcBorders>
              <w:insideH w:val="nil"/>
              <w:insideV w:val="nil"/>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beforeAutospacing="0" w:afterAutospacing="0" w:line="360" w:lineRule="exact"/>
              <w:ind w:left="0" w:leftChars="0" w:right="0" w:rightChars="0"/>
              <w:jc w:val="both"/>
              <w:textAlignment w:val="auto"/>
              <w:outlineLvl w:val="9"/>
              <w:rPr>
                <w:b/>
                <w:i w:val="0"/>
                <w:color w:val="000000" w:themeColor="text1"/>
                <w:sz w:val="21"/>
                <w:szCs w:val="21"/>
                <w14:textFill>
                  <w14:solidFill>
                    <w14:schemeClr w14:val="tx1"/>
                  </w14:solidFill>
                </w14:textFill>
              </w:rPr>
            </w:pPr>
            <w:r>
              <w:rPr>
                <w:rFonts w:hint="eastAsia"/>
                <w:b/>
                <w:i w:val="0"/>
                <w:color w:val="000000" w:themeColor="text1"/>
                <w:sz w:val="21"/>
                <w:szCs w:val="21"/>
                <w14:textFill>
                  <w14:solidFill>
                    <w14:schemeClr w14:val="tx1"/>
                  </w14:solidFill>
                </w14:textFill>
              </w:rPr>
              <w:t>非正常排放源</w:t>
            </w:r>
          </w:p>
        </w:tc>
        <w:tc>
          <w:tcPr>
            <w:tcW w:w="1124" w:type="pc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beforeAutospacing="0" w:afterAutospacing="0" w:line="360" w:lineRule="exact"/>
              <w:ind w:left="0" w:leftChars="0" w:right="0" w:rightChars="0"/>
              <w:jc w:val="both"/>
              <w:textAlignment w:val="auto"/>
              <w:outlineLvl w:val="9"/>
              <w:rPr>
                <w:b/>
                <w:i w:val="0"/>
                <w:color w:val="000000" w:themeColor="text1"/>
                <w:sz w:val="21"/>
                <w:szCs w:val="21"/>
                <w14:textFill>
                  <w14:solidFill>
                    <w14:schemeClr w14:val="tx1"/>
                  </w14:solidFill>
                </w14:textFill>
              </w:rPr>
            </w:pPr>
            <w:r>
              <w:rPr>
                <w:rFonts w:hint="eastAsia"/>
                <w:b/>
                <w:i w:val="0"/>
                <w:color w:val="000000" w:themeColor="text1"/>
                <w:sz w:val="21"/>
                <w:szCs w:val="21"/>
                <w14:textFill>
                  <w14:solidFill>
                    <w14:schemeClr w14:val="tx1"/>
                  </w14:solidFill>
                </w14:textFill>
              </w:rPr>
              <w:t>非正常排放原因</w:t>
            </w:r>
          </w:p>
        </w:tc>
        <w:tc>
          <w:tcPr>
            <w:tcW w:w="657" w:type="pc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beforeAutospacing="0" w:afterAutospacing="0" w:line="360" w:lineRule="exact"/>
              <w:ind w:left="0" w:leftChars="0" w:right="0" w:rightChars="0"/>
              <w:jc w:val="both"/>
              <w:textAlignment w:val="auto"/>
              <w:outlineLvl w:val="9"/>
              <w:rPr>
                <w:b/>
                <w:i w:val="0"/>
                <w:color w:val="000000" w:themeColor="text1"/>
                <w:sz w:val="21"/>
                <w:szCs w:val="21"/>
                <w14:textFill>
                  <w14:solidFill>
                    <w14:schemeClr w14:val="tx1"/>
                  </w14:solidFill>
                </w14:textFill>
              </w:rPr>
            </w:pPr>
            <w:r>
              <w:rPr>
                <w:rFonts w:hint="eastAsia"/>
                <w:b/>
                <w:i w:val="0"/>
                <w:color w:val="000000" w:themeColor="text1"/>
                <w:sz w:val="21"/>
                <w:szCs w:val="21"/>
                <w14:textFill>
                  <w14:solidFill>
                    <w14:schemeClr w14:val="tx1"/>
                  </w14:solidFill>
                </w14:textFill>
              </w:rPr>
              <w:t>污染物</w:t>
            </w:r>
          </w:p>
        </w:tc>
        <w:tc>
          <w:tcPr>
            <w:tcW w:w="798" w:type="pc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beforeAutospacing="0" w:afterAutospacing="0" w:line="360" w:lineRule="exact"/>
              <w:ind w:left="0" w:leftChars="0" w:right="0" w:rightChars="0"/>
              <w:jc w:val="both"/>
              <w:textAlignment w:val="auto"/>
              <w:outlineLvl w:val="9"/>
              <w:rPr>
                <w:b/>
                <w:i w:val="0"/>
                <w:color w:val="000000" w:themeColor="text1"/>
                <w:sz w:val="21"/>
                <w:szCs w:val="21"/>
                <w14:textFill>
                  <w14:solidFill>
                    <w14:schemeClr w14:val="tx1"/>
                  </w14:solidFill>
                </w14:textFill>
              </w:rPr>
            </w:pPr>
            <w:r>
              <w:rPr>
                <w:rFonts w:hint="eastAsia"/>
                <w:b/>
                <w:i w:val="0"/>
                <w:color w:val="000000" w:themeColor="text1"/>
                <w:sz w:val="21"/>
                <w:szCs w:val="21"/>
                <w14:textFill>
                  <w14:solidFill>
                    <w14:schemeClr w14:val="tx1"/>
                  </w14:solidFill>
                </w14:textFill>
              </w:rPr>
              <w:t>排放速率</w:t>
            </w:r>
          </w:p>
          <w:p>
            <w:pPr>
              <w:pStyle w:val="66"/>
              <w:keepNext w:val="0"/>
              <w:keepLines w:val="0"/>
              <w:pageBreakBefore w:val="0"/>
              <w:widowControl w:val="0"/>
              <w:kinsoku/>
              <w:wordWrap/>
              <w:overflowPunct/>
              <w:topLinePunct w:val="0"/>
              <w:autoSpaceDE/>
              <w:autoSpaceDN/>
              <w:bidi w:val="0"/>
              <w:adjustRightInd/>
              <w:snapToGrid/>
              <w:spacing w:beforeAutospacing="0" w:afterAutospacing="0" w:line="360" w:lineRule="exact"/>
              <w:ind w:left="0" w:leftChars="0" w:right="0" w:rightChars="0"/>
              <w:jc w:val="both"/>
              <w:textAlignment w:val="auto"/>
              <w:outlineLvl w:val="9"/>
              <w:rPr>
                <w:rFonts w:hint="eastAsia" w:eastAsia="宋体"/>
                <w:b/>
                <w:i w:val="0"/>
                <w:color w:val="000000" w:themeColor="text1"/>
                <w:sz w:val="21"/>
                <w:szCs w:val="21"/>
                <w:lang w:eastAsia="zh-CN"/>
                <w14:textFill>
                  <w14:solidFill>
                    <w14:schemeClr w14:val="tx1"/>
                  </w14:solidFill>
                </w14:textFill>
              </w:rPr>
            </w:pPr>
            <w:r>
              <w:rPr>
                <w:rFonts w:hint="eastAsia"/>
                <w:b/>
                <w:i w:val="0"/>
                <w:color w:val="000000" w:themeColor="text1"/>
                <w:sz w:val="21"/>
                <w:szCs w:val="21"/>
                <w:lang w:eastAsia="zh-CN"/>
                <w14:textFill>
                  <w14:solidFill>
                    <w14:schemeClr w14:val="tx1"/>
                  </w14:solidFill>
                </w14:textFill>
              </w:rPr>
              <w:t>(</w:t>
            </w:r>
            <w:r>
              <w:rPr>
                <w:rFonts w:hint="eastAsia"/>
                <w:b/>
                <w:i w:val="0"/>
                <w:color w:val="000000" w:themeColor="text1"/>
                <w:sz w:val="21"/>
                <w:szCs w:val="21"/>
                <w14:textFill>
                  <w14:solidFill>
                    <w14:schemeClr w14:val="tx1"/>
                  </w14:solidFill>
                </w14:textFill>
              </w:rPr>
              <w:t>k</w:t>
            </w:r>
            <w:r>
              <w:rPr>
                <w:b/>
                <w:i w:val="0"/>
                <w:color w:val="000000" w:themeColor="text1"/>
                <w:sz w:val="21"/>
                <w:szCs w:val="21"/>
                <w14:textFill>
                  <w14:solidFill>
                    <w14:schemeClr w14:val="tx1"/>
                  </w14:solidFill>
                </w14:textFill>
              </w:rPr>
              <w:t>g/h</w:t>
            </w:r>
            <w:r>
              <w:rPr>
                <w:rFonts w:hint="eastAsia"/>
                <w:b/>
                <w:i w:val="0"/>
                <w:color w:val="000000" w:themeColor="text1"/>
                <w:sz w:val="21"/>
                <w:szCs w:val="21"/>
                <w:lang w:eastAsia="zh-CN"/>
                <w14:textFill>
                  <w14:solidFill>
                    <w14:schemeClr w14:val="tx1"/>
                  </w14:solidFill>
                </w14:textFill>
              </w:rPr>
              <w:t>)</w:t>
            </w:r>
          </w:p>
        </w:tc>
        <w:tc>
          <w:tcPr>
            <w:tcW w:w="789" w:type="pc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beforeAutospacing="0" w:afterAutospacing="0" w:line="360" w:lineRule="exact"/>
              <w:ind w:left="0" w:leftChars="0" w:right="0" w:rightChars="0"/>
              <w:jc w:val="both"/>
              <w:textAlignment w:val="auto"/>
              <w:outlineLvl w:val="9"/>
              <w:rPr>
                <w:rFonts w:hint="eastAsia" w:eastAsia="宋体"/>
                <w:b/>
                <w:i w:val="0"/>
                <w:color w:val="000000" w:themeColor="text1"/>
                <w:sz w:val="21"/>
                <w:szCs w:val="21"/>
                <w:lang w:eastAsia="zh-CN"/>
                <w14:textFill>
                  <w14:solidFill>
                    <w14:schemeClr w14:val="tx1"/>
                  </w14:solidFill>
                </w14:textFill>
              </w:rPr>
            </w:pPr>
            <w:r>
              <w:rPr>
                <w:rFonts w:hint="eastAsia"/>
                <w:b/>
                <w:i w:val="0"/>
                <w:color w:val="000000" w:themeColor="text1"/>
                <w:sz w:val="21"/>
                <w:szCs w:val="21"/>
                <w14:textFill>
                  <w14:solidFill>
                    <w14:schemeClr w14:val="tx1"/>
                  </w14:solidFill>
                </w14:textFill>
              </w:rPr>
              <w:t>单次持续时间</w:t>
            </w:r>
            <w:r>
              <w:rPr>
                <w:rFonts w:hint="eastAsia"/>
                <w:b/>
                <w:i w:val="0"/>
                <w:color w:val="000000" w:themeColor="text1"/>
                <w:sz w:val="21"/>
                <w:szCs w:val="21"/>
                <w:lang w:eastAsia="zh-CN"/>
                <w14:textFill>
                  <w14:solidFill>
                    <w14:schemeClr w14:val="tx1"/>
                  </w14:solidFill>
                </w14:textFill>
              </w:rPr>
              <w:t>(</w:t>
            </w:r>
            <w:r>
              <w:rPr>
                <w:rFonts w:hint="eastAsia"/>
                <w:b/>
                <w:i w:val="0"/>
                <w:color w:val="000000" w:themeColor="text1"/>
                <w:sz w:val="21"/>
                <w:szCs w:val="21"/>
                <w14:textFill>
                  <w14:solidFill>
                    <w14:schemeClr w14:val="tx1"/>
                  </w14:solidFill>
                </w14:textFill>
              </w:rPr>
              <w:t>h</w:t>
            </w:r>
            <w:r>
              <w:rPr>
                <w:rFonts w:hint="eastAsia"/>
                <w:b/>
                <w:i w:val="0"/>
                <w:color w:val="000000" w:themeColor="text1"/>
                <w:sz w:val="21"/>
                <w:szCs w:val="21"/>
                <w:lang w:eastAsia="zh-CN"/>
                <w14:textFill>
                  <w14:solidFill>
                    <w14:schemeClr w14:val="tx1"/>
                  </w14:solidFill>
                </w14:textFill>
              </w:rPr>
              <w:t>)</w:t>
            </w:r>
          </w:p>
        </w:tc>
        <w:tc>
          <w:tcPr>
            <w:tcW w:w="789" w:type="pc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beforeAutospacing="0" w:afterAutospacing="0" w:line="360" w:lineRule="exact"/>
              <w:ind w:left="0" w:leftChars="0" w:right="0" w:rightChars="0"/>
              <w:jc w:val="both"/>
              <w:textAlignment w:val="auto"/>
              <w:outlineLvl w:val="9"/>
              <w:rPr>
                <w:rFonts w:hint="eastAsia" w:eastAsia="宋体"/>
                <w:b/>
                <w:i w:val="0"/>
                <w:color w:val="000000" w:themeColor="text1"/>
                <w:sz w:val="21"/>
                <w:szCs w:val="21"/>
                <w:lang w:eastAsia="zh-CN"/>
                <w14:textFill>
                  <w14:solidFill>
                    <w14:schemeClr w14:val="tx1"/>
                  </w14:solidFill>
                </w14:textFill>
              </w:rPr>
            </w:pPr>
            <w:r>
              <w:rPr>
                <w:rFonts w:hint="eastAsia"/>
                <w:b/>
                <w:i w:val="0"/>
                <w:color w:val="000000" w:themeColor="text1"/>
                <w:sz w:val="21"/>
                <w:szCs w:val="21"/>
                <w14:textFill>
                  <w14:solidFill>
                    <w14:schemeClr w14:val="tx1"/>
                  </w14:solidFill>
                </w14:textFill>
              </w:rPr>
              <w:t>年发生频次</w:t>
            </w:r>
            <w:r>
              <w:rPr>
                <w:rFonts w:hint="eastAsia"/>
                <w:b/>
                <w:i w:val="0"/>
                <w:color w:val="000000" w:themeColor="text1"/>
                <w:sz w:val="21"/>
                <w:szCs w:val="21"/>
                <w:lang w:eastAsia="zh-CN"/>
                <w14:textFill>
                  <w14:solidFill>
                    <w14:schemeClr w14:val="tx1"/>
                  </w14:solidFill>
                </w14:textFill>
              </w:rPr>
              <w:t>(</w:t>
            </w:r>
            <w:r>
              <w:rPr>
                <w:rFonts w:hint="eastAsia"/>
                <w:b/>
                <w:i w:val="0"/>
                <w:color w:val="000000" w:themeColor="text1"/>
                <w:sz w:val="21"/>
                <w:szCs w:val="21"/>
                <w14:textFill>
                  <w14:solidFill>
                    <w14:schemeClr w14:val="tx1"/>
                  </w14:solidFill>
                </w14:textFill>
              </w:rPr>
              <w:t>次</w:t>
            </w:r>
            <w:r>
              <w:rPr>
                <w:rFonts w:hint="eastAsia"/>
                <w:b/>
                <w:i w:val="0"/>
                <w:color w:val="000000" w:themeColor="text1"/>
                <w:sz w:val="21"/>
                <w:szCs w:val="21"/>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0" w:type="pct"/>
            <w:vMerge w:val="restar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line="360" w:lineRule="exact"/>
              <w:jc w:val="both"/>
              <w:textAlignment w:val="auto"/>
              <w:rPr>
                <w:b w:val="0"/>
                <w:i w:val="0"/>
                <w:color w:val="000000" w:themeColor="text1"/>
                <w:sz w:val="21"/>
                <w:szCs w:val="21"/>
                <w14:textFill>
                  <w14:solidFill>
                    <w14:schemeClr w14:val="tx1"/>
                  </w14:solidFill>
                </w14:textFill>
              </w:rPr>
            </w:pPr>
            <w:r>
              <w:rPr>
                <w:rFonts w:hint="eastAsia"/>
                <w:b w:val="0"/>
                <w:i w:val="0"/>
                <w:color w:val="000000" w:themeColor="text1"/>
                <w:sz w:val="21"/>
                <w:szCs w:val="21"/>
                <w14:textFill>
                  <w14:solidFill>
                    <w14:schemeClr w14:val="tx1"/>
                  </w14:solidFill>
                </w14:textFill>
              </w:rPr>
              <w:t>收尘系统</w:t>
            </w:r>
          </w:p>
        </w:tc>
        <w:tc>
          <w:tcPr>
            <w:tcW w:w="1124" w:type="pct"/>
            <w:vMerge w:val="restar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line="360" w:lineRule="exact"/>
              <w:jc w:val="both"/>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滤袋破损引起除尘效率下降</w:t>
            </w:r>
          </w:p>
        </w:tc>
        <w:tc>
          <w:tcPr>
            <w:tcW w:w="657" w:type="pc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line="360" w:lineRule="exact"/>
              <w:jc w:val="both"/>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颗粒物</w:t>
            </w:r>
          </w:p>
        </w:tc>
        <w:tc>
          <w:tcPr>
            <w:tcW w:w="798" w:type="pc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122.85</w:t>
            </w:r>
          </w:p>
        </w:tc>
        <w:tc>
          <w:tcPr>
            <w:tcW w:w="789" w:type="pct"/>
            <w:vMerge w:val="restar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line="360" w:lineRule="exact"/>
              <w:jc w:val="both"/>
              <w:textAlignment w:val="auto"/>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5</w:t>
            </w:r>
          </w:p>
        </w:tc>
        <w:tc>
          <w:tcPr>
            <w:tcW w:w="789" w:type="pct"/>
            <w:vMerge w:val="restart"/>
            <w:tcBorders>
              <w:tl2br w:val="nil"/>
              <w:tr2bl w:val="nil"/>
            </w:tcBorders>
            <w:shd w:val="clear" w:color="auto" w:fill="auto"/>
            <w:vAlign w:val="center"/>
          </w:tcPr>
          <w:p>
            <w:pPr>
              <w:pStyle w:val="6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0" w:type="pct"/>
            <w:vMerge w:val="continue"/>
            <w:tcBorders>
              <w:tl2br w:val="nil"/>
              <w:tr2bl w:val="nil"/>
            </w:tcBorders>
            <w:shd w:val="clear" w:color="auto" w:fill="auto"/>
            <w:vAlign w:val="center"/>
          </w:tcPr>
          <w:p>
            <w:pPr>
              <w:pStyle w:val="66"/>
              <w:spacing w:before="40" w:after="40"/>
              <w:jc w:val="both"/>
              <w:rPr>
                <w:rFonts w:hint="eastAsia"/>
                <w:b w:val="0"/>
                <w:i w:val="0"/>
                <w:color w:val="000000" w:themeColor="text1"/>
                <w:sz w:val="21"/>
                <w:szCs w:val="21"/>
                <w14:textFill>
                  <w14:solidFill>
                    <w14:schemeClr w14:val="tx1"/>
                  </w14:solidFill>
                </w14:textFill>
              </w:rPr>
            </w:pPr>
          </w:p>
        </w:tc>
        <w:tc>
          <w:tcPr>
            <w:tcW w:w="1124" w:type="pct"/>
            <w:vMerge w:val="continue"/>
            <w:tcBorders>
              <w:tl2br w:val="nil"/>
              <w:tr2bl w:val="nil"/>
            </w:tcBorders>
            <w:shd w:val="clear" w:color="auto" w:fill="auto"/>
            <w:vAlign w:val="center"/>
          </w:tcPr>
          <w:p>
            <w:pPr>
              <w:pStyle w:val="66"/>
              <w:spacing w:before="40" w:after="40"/>
              <w:jc w:val="both"/>
              <w:rPr>
                <w:rFonts w:hint="eastAsia"/>
                <w:color w:val="000000" w:themeColor="text1"/>
                <w:sz w:val="21"/>
                <w:szCs w:val="21"/>
                <w14:textFill>
                  <w14:solidFill>
                    <w14:schemeClr w14:val="tx1"/>
                  </w14:solidFill>
                </w14:textFill>
              </w:rPr>
            </w:pPr>
          </w:p>
        </w:tc>
        <w:tc>
          <w:tcPr>
            <w:tcW w:w="657" w:type="pct"/>
            <w:tcBorders>
              <w:tl2br w:val="nil"/>
              <w:tr2bl w:val="nil"/>
            </w:tcBorders>
            <w:shd w:val="clear" w:color="auto" w:fill="auto"/>
            <w:vAlign w:val="center"/>
          </w:tcPr>
          <w:p>
            <w:pPr>
              <w:pStyle w:val="66"/>
              <w:spacing w:before="40" w:after="40"/>
              <w:jc w:val="both"/>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氟化物</w:t>
            </w:r>
          </w:p>
        </w:tc>
        <w:tc>
          <w:tcPr>
            <w:tcW w:w="798" w:type="pct"/>
            <w:tcBorders>
              <w:tl2br w:val="nil"/>
              <w:tr2bl w:val="nil"/>
            </w:tcBorders>
            <w:shd w:val="clear" w:color="auto" w:fill="auto"/>
            <w:vAlign w:val="center"/>
          </w:tcPr>
          <w:p>
            <w:pPr>
              <w:pStyle w:val="66"/>
              <w:spacing w:before="40" w:after="40"/>
              <w:jc w:val="both"/>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1.35</w:t>
            </w:r>
          </w:p>
        </w:tc>
        <w:tc>
          <w:tcPr>
            <w:tcW w:w="789" w:type="pct"/>
            <w:vMerge w:val="continue"/>
            <w:tcBorders>
              <w:tl2br w:val="nil"/>
              <w:tr2bl w:val="nil"/>
            </w:tcBorders>
            <w:shd w:val="clear" w:color="auto" w:fill="auto"/>
            <w:vAlign w:val="center"/>
          </w:tcPr>
          <w:p>
            <w:pPr>
              <w:pStyle w:val="66"/>
              <w:spacing w:before="40" w:after="40"/>
              <w:jc w:val="both"/>
              <w:rPr>
                <w:rFonts w:hint="eastAsia"/>
                <w:color w:val="000000" w:themeColor="text1"/>
                <w:sz w:val="21"/>
                <w:szCs w:val="21"/>
                <w14:textFill>
                  <w14:solidFill>
                    <w14:schemeClr w14:val="tx1"/>
                  </w14:solidFill>
                </w14:textFill>
              </w:rPr>
            </w:pPr>
          </w:p>
        </w:tc>
        <w:tc>
          <w:tcPr>
            <w:tcW w:w="789" w:type="pct"/>
            <w:vMerge w:val="continue"/>
            <w:tcBorders>
              <w:tl2br w:val="nil"/>
              <w:tr2bl w:val="nil"/>
            </w:tcBorders>
            <w:shd w:val="clear" w:color="auto" w:fill="auto"/>
            <w:vAlign w:val="center"/>
          </w:tcPr>
          <w:p>
            <w:pPr>
              <w:pStyle w:val="66"/>
              <w:spacing w:before="40" w:after="40"/>
              <w:jc w:val="both"/>
              <w:rPr>
                <w:rFonts w:hint="eastAsia"/>
                <w:color w:val="000000" w:themeColor="text1"/>
                <w:sz w:val="21"/>
                <w:szCs w:val="21"/>
                <w:lang w:val="en-US" w:eastAsia="zh-CN"/>
                <w14:textFill>
                  <w14:solidFill>
                    <w14:schemeClr w14:val="tx1"/>
                  </w14:solidFill>
                </w14:textFill>
              </w:rPr>
            </w:pPr>
          </w:p>
        </w:tc>
      </w:tr>
    </w:tbl>
    <w:p>
      <w:pPr>
        <w:bidi w:val="0"/>
      </w:pPr>
    </w:p>
    <w:p>
      <w:pPr>
        <w:pStyle w:val="31"/>
        <w:rPr>
          <w:rFonts w:hint="default"/>
          <w:lang w:val="en-US" w:eastAsia="zh-CN"/>
        </w:rPr>
      </w:pPr>
      <w:r>
        <w:rPr>
          <w:rFonts w:hint="eastAsia"/>
          <w:lang w:val="en-US" w:eastAsia="zh-CN"/>
        </w:rPr>
        <w:t>3 环境空气质量现状调查</w:t>
      </w:r>
    </w:p>
    <w:p>
      <w:pPr>
        <w:pStyle w:val="15"/>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b/>
          <w:bCs/>
          <w:lang w:val="en-US" w:eastAsia="zh-CN"/>
        </w:rPr>
        <w:t xml:space="preserve"> 基本污染物</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lang w:val="en-US" w:eastAsia="zh-CN"/>
        </w:rPr>
      </w:pPr>
      <w:r>
        <w:rPr>
          <w:color w:val="000000" w:themeColor="text1"/>
          <w14:textFill>
            <w14:solidFill>
              <w14:schemeClr w14:val="tx1"/>
            </w14:solidFill>
          </w14:textFill>
        </w:rPr>
        <w:t>本次评价</w:t>
      </w:r>
      <w:r>
        <w:rPr>
          <w:rFonts w:hint="eastAsia"/>
          <w:color w:val="000000" w:themeColor="text1"/>
          <w14:textFill>
            <w14:solidFill>
              <w14:schemeClr w14:val="tx1"/>
            </w14:solidFill>
          </w14:textFill>
        </w:rPr>
        <w:t>选择</w:t>
      </w:r>
      <w:r>
        <w:rPr>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年</w:t>
      </w:r>
      <w:r>
        <w:rPr>
          <w:rFonts w:hint="eastAsia"/>
          <w:color w:val="000000" w:themeColor="text1"/>
          <w14:textFill>
            <w14:solidFill>
              <w14:schemeClr w14:val="tx1"/>
            </w14:solidFill>
          </w14:textFill>
        </w:rPr>
        <w:t>作为基准年</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根据蚌埠市环境质量公报，</w:t>
      </w:r>
      <w:r>
        <w:rPr>
          <w:rFonts w:hint="eastAsia"/>
          <w:bCs/>
          <w:color w:val="000000" w:themeColor="text1"/>
          <w14:textFill>
            <w14:solidFill>
              <w14:schemeClr w14:val="tx1"/>
            </w14:solidFill>
          </w14:textFill>
        </w:rPr>
        <w:t>202</w:t>
      </w:r>
      <w:r>
        <w:rPr>
          <w:rFonts w:hint="eastAsia"/>
          <w:bCs/>
          <w:color w:val="000000" w:themeColor="text1"/>
          <w:lang w:val="en-US" w:eastAsia="zh-CN"/>
          <w14:textFill>
            <w14:solidFill>
              <w14:schemeClr w14:val="tx1"/>
            </w14:solidFill>
          </w14:textFill>
        </w:rPr>
        <w:t>2</w:t>
      </w:r>
      <w:r>
        <w:rPr>
          <w:rFonts w:hint="eastAsia"/>
          <w:bCs/>
          <w:color w:val="000000" w:themeColor="text1"/>
          <w14:textFill>
            <w14:solidFill>
              <w14:schemeClr w14:val="tx1"/>
            </w14:solidFill>
          </w14:textFill>
        </w:rPr>
        <w:t>年蚌埠市SO</w:t>
      </w:r>
      <w:r>
        <w:rPr>
          <w:rFonts w:hint="eastAsia"/>
          <w:bCs/>
          <w:color w:val="000000" w:themeColor="text1"/>
          <w:vertAlign w:val="subscript"/>
          <w14:textFill>
            <w14:solidFill>
              <w14:schemeClr w14:val="tx1"/>
            </w14:solidFill>
          </w14:textFill>
        </w:rPr>
        <w:t>2</w:t>
      </w:r>
      <w:r>
        <w:rPr>
          <w:rFonts w:hint="eastAsia"/>
          <w:bCs/>
          <w:color w:val="000000" w:themeColor="text1"/>
          <w14:textFill>
            <w14:solidFill>
              <w14:schemeClr w14:val="tx1"/>
            </w14:solidFill>
          </w14:textFill>
        </w:rPr>
        <w:t>、NO</w:t>
      </w:r>
      <w:r>
        <w:rPr>
          <w:rFonts w:hint="eastAsia"/>
          <w:bCs/>
          <w:color w:val="000000" w:themeColor="text1"/>
          <w:vertAlign w:val="subscript"/>
          <w14:textFill>
            <w14:solidFill>
              <w14:schemeClr w14:val="tx1"/>
            </w14:solidFill>
          </w14:textFill>
        </w:rPr>
        <w:t>2</w:t>
      </w:r>
      <w:r>
        <w:rPr>
          <w:rFonts w:hint="eastAsia"/>
          <w:bCs/>
          <w:color w:val="000000" w:themeColor="text1"/>
          <w14:textFill>
            <w14:solidFill>
              <w14:schemeClr w14:val="tx1"/>
            </w14:solidFill>
          </w14:textFill>
        </w:rPr>
        <w:t>、PM</w:t>
      </w:r>
      <w:r>
        <w:rPr>
          <w:rFonts w:hint="eastAsia"/>
          <w:bCs/>
          <w:color w:val="000000" w:themeColor="text1"/>
          <w:vertAlign w:val="subscript"/>
          <w14:textFill>
            <w14:solidFill>
              <w14:schemeClr w14:val="tx1"/>
            </w14:solidFill>
          </w14:textFill>
        </w:rPr>
        <w:t>10</w:t>
      </w:r>
      <w:r>
        <w:rPr>
          <w:rFonts w:hint="eastAsia"/>
          <w:bCs/>
          <w:color w:val="000000" w:themeColor="text1"/>
          <w14:textFill>
            <w14:solidFill>
              <w14:schemeClr w14:val="tx1"/>
            </w14:solidFill>
          </w14:textFill>
        </w:rPr>
        <w:t>、CO 24小时平均第95百分位数浓度分别为10</w:t>
      </w:r>
      <w:r>
        <w:rPr>
          <w:bCs/>
          <w:color w:val="000000" w:themeColor="text1"/>
          <w14:textFill>
            <w14:solidFill>
              <w14:schemeClr w14:val="tx1"/>
            </w14:solidFill>
          </w14:textFill>
        </w:rPr>
        <w:t>μg/m</w:t>
      </w:r>
      <w:r>
        <w:rPr>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、25</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、66</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和800</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，满足《环境空气质量标准》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GB 3095-2012</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中二级标准限值；PM</w:t>
      </w:r>
      <w:r>
        <w:rPr>
          <w:rFonts w:hint="eastAsia"/>
          <w:bCs/>
          <w:color w:val="000000" w:themeColor="text1"/>
          <w:vertAlign w:val="subscript"/>
          <w14:textFill>
            <w14:solidFill>
              <w14:schemeClr w14:val="tx1"/>
            </w14:solidFill>
          </w14:textFill>
        </w:rPr>
        <w:t>2.5</w:t>
      </w:r>
      <w:r>
        <w:rPr>
          <w:rFonts w:hint="eastAsia"/>
          <w:bCs/>
          <w:color w:val="000000" w:themeColor="text1"/>
          <w14:textFill>
            <w14:solidFill>
              <w14:schemeClr w14:val="tx1"/>
            </w14:solidFill>
          </w14:textFill>
        </w:rPr>
        <w:t>年均浓度为37</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、O</w:t>
      </w:r>
      <w:r>
        <w:rPr>
          <w:rFonts w:hint="eastAsia"/>
          <w:bCs/>
          <w:color w:val="000000" w:themeColor="text1"/>
          <w:vertAlign w:val="subscript"/>
          <w14:textFill>
            <w14:solidFill>
              <w14:schemeClr w14:val="tx1"/>
            </w14:solidFill>
          </w14:textFill>
        </w:rPr>
        <w:t>3</w:t>
      </w:r>
      <w:r>
        <w:rPr>
          <w:rFonts w:hint="eastAsia"/>
          <w:bCs/>
          <w:color w:val="000000" w:themeColor="text1"/>
          <w14:textFill>
            <w14:solidFill>
              <w14:schemeClr w14:val="tx1"/>
            </w14:solidFill>
          </w14:textFill>
        </w:rPr>
        <w:t>日最大8小时平均第90百分位数浓度为162</w:t>
      </w:r>
      <w:r>
        <w:rPr>
          <w:bCs/>
          <w:color w:val="000000" w:themeColor="text1"/>
          <w14:textFill>
            <w14:solidFill>
              <w14:schemeClr w14:val="tx1"/>
            </w14:solidFill>
          </w14:textFill>
        </w:rPr>
        <w:t>μ</w:t>
      </w:r>
      <w:r>
        <w:rPr>
          <w:rFonts w:hint="eastAsia"/>
          <w:bCs/>
          <w:color w:val="000000" w:themeColor="text1"/>
          <w14:textFill>
            <w14:solidFill>
              <w14:schemeClr w14:val="tx1"/>
            </w14:solidFill>
          </w14:textFill>
        </w:rPr>
        <w:t>g/m</w:t>
      </w:r>
      <w:r>
        <w:rPr>
          <w:rFonts w:hint="eastAsia"/>
          <w:bCs/>
          <w:color w:val="000000" w:themeColor="text1"/>
          <w:vertAlign w:val="superscript"/>
          <w14:textFill>
            <w14:solidFill>
              <w14:schemeClr w14:val="tx1"/>
            </w14:solidFill>
          </w14:textFill>
        </w:rPr>
        <w:t>3</w:t>
      </w:r>
      <w:r>
        <w:rPr>
          <w:rFonts w:hint="eastAsia"/>
          <w:bCs/>
          <w:color w:val="000000" w:themeColor="text1"/>
          <w14:textFill>
            <w14:solidFill>
              <w14:schemeClr w14:val="tx1"/>
            </w14:solidFill>
          </w14:textFill>
        </w:rPr>
        <w:t>，超过《环境空气质量标准》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GB 3095-2012</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中二级标准限值，区域属于环境空气质量不达标区</w:t>
      </w:r>
      <w:r>
        <w:rPr>
          <w:rFonts w:hint="eastAsia"/>
          <w:bCs/>
          <w:color w:val="000000" w:themeColor="text1"/>
          <w:lang w:eastAsia="zh-CN"/>
          <w14:textFill>
            <w14:solidFill>
              <w14:schemeClr w14:val="tx1"/>
            </w14:solidFill>
          </w14:textFill>
        </w:rPr>
        <w:t>，</w:t>
      </w:r>
      <w:r>
        <w:rPr>
          <w:rFonts w:hint="eastAsia"/>
          <w:bCs/>
          <w:color w:val="000000" w:themeColor="text1"/>
          <w:lang w:val="en-US" w:eastAsia="zh-CN"/>
          <w14:textFill>
            <w14:solidFill>
              <w14:schemeClr w14:val="tx1"/>
            </w14:solidFill>
          </w14:textFill>
        </w:rPr>
        <w:t>超标因子为PM</w:t>
      </w:r>
      <w:r>
        <w:rPr>
          <w:rFonts w:hint="eastAsia"/>
          <w:bCs/>
          <w:color w:val="000000" w:themeColor="text1"/>
          <w:vertAlign w:val="subscript"/>
          <w:lang w:val="en-US" w:eastAsia="zh-CN"/>
          <w14:textFill>
            <w14:solidFill>
              <w14:schemeClr w14:val="tx1"/>
            </w14:solidFill>
          </w14:textFill>
        </w:rPr>
        <w:t>2.5</w:t>
      </w:r>
      <w:r>
        <w:rPr>
          <w:rFonts w:hint="eastAsia"/>
          <w:bCs/>
          <w:color w:val="000000" w:themeColor="text1"/>
          <w:lang w:val="en-US" w:eastAsia="zh-CN"/>
          <w14:textFill>
            <w14:solidFill>
              <w14:schemeClr w14:val="tx1"/>
            </w14:solidFill>
          </w14:textFill>
        </w:rPr>
        <w:t>和O</w:t>
      </w:r>
      <w:r>
        <w:rPr>
          <w:rFonts w:hint="eastAsia"/>
          <w:bCs/>
          <w:color w:val="000000" w:themeColor="text1"/>
          <w:vertAlign w:val="subscript"/>
          <w:lang w:val="en-US" w:eastAsia="zh-CN"/>
          <w14:textFill>
            <w14:solidFill>
              <w14:schemeClr w14:val="tx1"/>
            </w14:solidFill>
          </w14:textFill>
        </w:rPr>
        <w:t>3</w:t>
      </w:r>
      <w:r>
        <w:rPr>
          <w:rFonts w:hint="eastAsia"/>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详细内容见报告表，此处不再赘述。</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eastAsia="宋体"/>
          <w:b/>
          <w:bCs/>
          <w:lang w:val="en-US" w:eastAsia="zh-CN"/>
        </w:rPr>
      </w:pPr>
      <w:r>
        <w:rPr>
          <w:rFonts w:hint="eastAsia"/>
          <w:b/>
          <w:bCs/>
          <w:lang w:eastAsia="zh-CN"/>
        </w:rPr>
        <w:t>(</w:t>
      </w:r>
      <w:r>
        <w:rPr>
          <w:rFonts w:hint="eastAsia"/>
          <w:b/>
          <w:bCs/>
          <w:lang w:val="en-US" w:eastAsia="zh-CN"/>
        </w:rPr>
        <w:t>2</w:t>
      </w:r>
      <w:r>
        <w:rPr>
          <w:rFonts w:hint="eastAsia"/>
          <w:b/>
          <w:bCs/>
          <w:lang w:eastAsia="zh-CN"/>
        </w:rPr>
        <w:t>)</w:t>
      </w:r>
      <w:r>
        <w:rPr>
          <w:rFonts w:hint="eastAsia"/>
          <w:b/>
          <w:bCs/>
          <w:lang w:val="en-US" w:eastAsia="zh-CN"/>
        </w:rPr>
        <w:t xml:space="preserve"> 特征污染物</w:t>
      </w:r>
    </w:p>
    <w:p>
      <w:pPr>
        <w:pStyle w:val="15"/>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bCs/>
          <w:color w:val="000000" w:themeColor="text1"/>
          <w:lang w:val="en-US" w:eastAsia="zh-CN"/>
          <w14:textFill>
            <w14:solidFill>
              <w14:schemeClr w14:val="tx1"/>
            </w14:solidFill>
          </w14:textFill>
        </w:rPr>
      </w:pPr>
      <w:r>
        <w:rPr>
          <w:rFonts w:hint="eastAsia"/>
          <w:kern w:val="0"/>
          <w:lang w:val="en-US" w:eastAsia="zh-CN"/>
        </w:rPr>
        <w:t>项目产生的特征污染物主要为TSP、氟化物以及二噁英，且500m范围内有环境空气保护目标，本次评价设置大气专项评价。本次评价根据《环境影响评价技术导则 大气环境》(HJ 2.2-2018)，在</w:t>
      </w:r>
      <w:r>
        <w:rPr>
          <w:rFonts w:hint="eastAsia"/>
          <w:color w:val="000000" w:themeColor="text1"/>
          <w14:textFill>
            <w14:solidFill>
              <w14:schemeClr w14:val="tx1"/>
            </w14:solidFill>
          </w14:textFill>
        </w:rPr>
        <w:t>全年主导风向</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ENE</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下方向约1.6km的邵圩小区设置1个环境空气监测点(G1)，进行7d(2024年1月15日~22日)的特征污染物监测。监测结果统计见表3-2。由表可知，监测期间TSP日均浓度210~226</w:t>
      </w:r>
      <w:r>
        <w:rPr>
          <w:rFonts w:hint="default" w:ascii="Times New Roman" w:hAnsi="Times New Roman" w:cs="Times New Roman"/>
          <w:color w:val="000000" w:themeColor="text1"/>
          <w:lang w:val="en-US" w:eastAsia="zh-CN"/>
          <w14:textFill>
            <w14:solidFill>
              <w14:schemeClr w14:val="tx1"/>
            </w14:solidFill>
          </w14:textFill>
        </w:rPr>
        <w:t>μg/m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eastAsia" w:ascii="Times New Roman" w:hAnsi="Times New Roman" w:cs="Times New Roman"/>
          <w:color w:val="000000" w:themeColor="text1"/>
          <w:vertAlign w:val="baseline"/>
          <w:lang w:val="en-US" w:eastAsia="zh-CN"/>
          <w14:textFill>
            <w14:solidFill>
              <w14:schemeClr w14:val="tx1"/>
            </w14:solidFill>
          </w14:textFill>
        </w:rPr>
        <w:t>，满足</w:t>
      </w:r>
      <w:r>
        <w:rPr>
          <w:rFonts w:hint="eastAsia"/>
          <w:bCs/>
          <w:color w:val="000000" w:themeColor="text1"/>
          <w14:textFill>
            <w14:solidFill>
              <w14:schemeClr w14:val="tx1"/>
            </w14:solidFill>
          </w14:textFill>
        </w:rPr>
        <w:t>《环境空气质量标准》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GB 3095-2012</w:t>
      </w:r>
      <w:r>
        <w:rPr>
          <w:rFonts w:hint="eastAsia"/>
          <w:bCs/>
          <w:color w:val="000000" w:themeColor="text1"/>
          <w:lang w:eastAsia="zh-CN"/>
          <w14:textFill>
            <w14:solidFill>
              <w14:schemeClr w14:val="tx1"/>
            </w14:solidFill>
          </w14:textFill>
        </w:rPr>
        <w:t>)</w:t>
      </w:r>
      <w:r>
        <w:rPr>
          <w:rFonts w:hint="eastAsia"/>
          <w:bCs/>
          <w:color w:val="000000" w:themeColor="text1"/>
          <w:lang w:val="en-US" w:eastAsia="zh-CN"/>
          <w14:textFill>
            <w14:solidFill>
              <w14:schemeClr w14:val="tx1"/>
            </w14:solidFill>
          </w14:textFill>
        </w:rPr>
        <w:t>二级标准要求；氟化物小时浓度1.6~2.3</w:t>
      </w:r>
      <w:r>
        <w:rPr>
          <w:rFonts w:hint="default" w:ascii="Times New Roman" w:hAnsi="Times New Roman" w:cs="Times New Roman"/>
          <w:color w:val="000000" w:themeColor="text1"/>
          <w:lang w:val="en-US" w:eastAsia="zh-CN"/>
          <w14:textFill>
            <w14:solidFill>
              <w14:schemeClr w14:val="tx1"/>
            </w14:solidFill>
          </w14:textFill>
        </w:rPr>
        <w:t>μg/m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eastAsia" w:ascii="Times New Roman" w:hAnsi="Times New Roman" w:cs="Times New Roman"/>
          <w:color w:val="000000" w:themeColor="text1"/>
          <w:vertAlign w:val="baseline"/>
          <w:lang w:val="en-US" w:eastAsia="zh-CN"/>
          <w14:textFill>
            <w14:solidFill>
              <w14:schemeClr w14:val="tx1"/>
            </w14:solidFill>
          </w14:textFill>
        </w:rPr>
        <w:t>，</w:t>
      </w:r>
      <w:r>
        <w:rPr>
          <w:rFonts w:hint="eastAsia" w:cs="Times New Roman"/>
          <w:color w:val="000000" w:themeColor="text1"/>
          <w:vertAlign w:val="baseline"/>
          <w:lang w:val="en-US" w:eastAsia="zh-CN"/>
          <w14:textFill>
            <w14:solidFill>
              <w14:schemeClr w14:val="tx1"/>
            </w14:solidFill>
          </w14:textFill>
        </w:rPr>
        <w:t>日均浓度1.22~1.44</w:t>
      </w:r>
      <w:r>
        <w:rPr>
          <w:rFonts w:hint="default" w:ascii="Times New Roman" w:hAnsi="Times New Roman" w:cs="Times New Roman"/>
          <w:color w:val="000000" w:themeColor="text1"/>
          <w:lang w:val="en-US" w:eastAsia="zh-CN"/>
          <w14:textFill>
            <w14:solidFill>
              <w14:schemeClr w14:val="tx1"/>
            </w14:solidFill>
          </w14:textFill>
        </w:rPr>
        <w:t>μg/m</w:t>
      </w:r>
      <w:r>
        <w:rPr>
          <w:rFonts w:hint="default" w:ascii="Times New Roman" w:hAnsi="Times New Roman" w:cs="Times New Roman"/>
          <w:color w:val="000000" w:themeColor="text1"/>
          <w:vertAlign w:val="superscript"/>
          <w:lang w:val="en-US" w:eastAsia="zh-CN"/>
          <w14:textFill>
            <w14:solidFill>
              <w14:schemeClr w14:val="tx1"/>
            </w14:solidFill>
          </w14:textFill>
        </w:rPr>
        <w:t>3</w:t>
      </w:r>
      <w:r>
        <w:rPr>
          <w:rFonts w:hint="eastAsia" w:ascii="Times New Roman" w:hAnsi="Times New Roman" w:cs="Times New Roman"/>
          <w:color w:val="000000" w:themeColor="text1"/>
          <w:vertAlign w:val="baseline"/>
          <w:lang w:val="en-US" w:eastAsia="zh-CN"/>
          <w14:textFill>
            <w14:solidFill>
              <w14:schemeClr w14:val="tx1"/>
            </w14:solidFill>
          </w14:textFill>
        </w:rPr>
        <w:t>，</w:t>
      </w:r>
      <w:r>
        <w:rPr>
          <w:rFonts w:hint="eastAsia" w:cs="Times New Roman"/>
          <w:color w:val="000000" w:themeColor="text1"/>
          <w:vertAlign w:val="baseline"/>
          <w:lang w:val="en-US" w:eastAsia="zh-CN"/>
          <w14:textFill>
            <w14:solidFill>
              <w14:schemeClr w14:val="tx1"/>
            </w14:solidFill>
          </w14:textFill>
        </w:rPr>
        <w:t>均满足</w:t>
      </w:r>
      <w:r>
        <w:rPr>
          <w:rFonts w:hint="eastAsia"/>
          <w:bCs/>
          <w:color w:val="000000" w:themeColor="text1"/>
          <w14:textFill>
            <w14:solidFill>
              <w14:schemeClr w14:val="tx1"/>
            </w14:solidFill>
          </w14:textFill>
        </w:rPr>
        <w:t>《环境空气质量标准》</w:t>
      </w:r>
      <w:r>
        <w:rPr>
          <w:rFonts w:hint="eastAsia"/>
          <w:bCs/>
          <w:color w:val="000000" w:themeColor="text1"/>
          <w:lang w:eastAsia="zh-CN"/>
          <w14:textFill>
            <w14:solidFill>
              <w14:schemeClr w14:val="tx1"/>
            </w14:solidFill>
          </w14:textFill>
        </w:rPr>
        <w:t>(</w:t>
      </w:r>
      <w:r>
        <w:rPr>
          <w:rFonts w:hint="eastAsia"/>
          <w:bCs/>
          <w:color w:val="000000" w:themeColor="text1"/>
          <w14:textFill>
            <w14:solidFill>
              <w14:schemeClr w14:val="tx1"/>
            </w14:solidFill>
          </w14:textFill>
        </w:rPr>
        <w:t>GB 3095-2012</w:t>
      </w:r>
      <w:r>
        <w:rPr>
          <w:rFonts w:hint="eastAsia"/>
          <w:bCs/>
          <w:color w:val="000000" w:themeColor="text1"/>
          <w:lang w:eastAsia="zh-CN"/>
          <w14:textFill>
            <w14:solidFill>
              <w14:schemeClr w14:val="tx1"/>
            </w14:solidFill>
          </w14:textFill>
        </w:rPr>
        <w:t>)</w:t>
      </w:r>
      <w:r>
        <w:rPr>
          <w:rFonts w:hint="eastAsia"/>
          <w:bCs/>
          <w:color w:val="000000" w:themeColor="text1"/>
          <w:lang w:val="en-US" w:eastAsia="zh-CN"/>
          <w14:textFill>
            <w14:solidFill>
              <w14:schemeClr w14:val="tx1"/>
            </w14:solidFill>
          </w14:textFill>
        </w:rPr>
        <w:t>二级标准要求；二噁英日均浓度0.054~0.083pg TEQ/m</w:t>
      </w:r>
      <w:r>
        <w:rPr>
          <w:rFonts w:hint="eastAsia"/>
          <w:bCs/>
          <w:color w:val="000000" w:themeColor="text1"/>
          <w:vertAlign w:val="superscript"/>
          <w:lang w:val="en-US" w:eastAsia="zh-CN"/>
          <w14:textFill>
            <w14:solidFill>
              <w14:schemeClr w14:val="tx1"/>
            </w14:solidFill>
          </w14:textFill>
        </w:rPr>
        <w:t>3</w:t>
      </w:r>
      <w:r>
        <w:rPr>
          <w:rFonts w:hint="eastAsia"/>
          <w:bCs/>
          <w:color w:val="000000" w:themeColor="text1"/>
          <w:lang w:val="en-US" w:eastAsia="zh-CN"/>
          <w14:textFill>
            <w14:solidFill>
              <w14:schemeClr w14:val="tx1"/>
            </w14:solidFill>
          </w14:textFill>
        </w:rPr>
        <w:t>。详细内容见报告表，此处不再赘述。</w:t>
      </w:r>
    </w:p>
    <w:p>
      <w:pPr>
        <w:pStyle w:val="31"/>
        <w:rPr>
          <w:rFonts w:hint="default"/>
          <w:lang w:val="en-US" w:eastAsia="zh-CN"/>
        </w:rPr>
      </w:pPr>
      <w:r>
        <w:rPr>
          <w:rFonts w:hint="eastAsia"/>
          <w:lang w:val="en-US" w:eastAsia="zh-CN"/>
        </w:rPr>
        <w:t>4 大气环境影响分析</w:t>
      </w:r>
    </w:p>
    <w:p>
      <w:pPr>
        <w:pStyle w:val="29"/>
        <w:rPr>
          <w:rFonts w:hint="eastAsia"/>
          <w:lang w:val="en-US" w:eastAsia="zh-CN"/>
        </w:rPr>
      </w:pPr>
      <w:r>
        <w:rPr>
          <w:rFonts w:hint="eastAsia"/>
          <w:lang w:val="en-US" w:eastAsia="zh-CN"/>
        </w:rPr>
        <w:t>4</w:t>
      </w:r>
      <w:r>
        <w:t xml:space="preserve">.1 </w:t>
      </w:r>
      <w:r>
        <w:rPr>
          <w:rFonts w:hint="eastAsia"/>
          <w:lang w:val="en-US" w:eastAsia="zh-CN"/>
        </w:rPr>
        <w:t>污染气象</w:t>
      </w:r>
    </w:p>
    <w:p>
      <w:pPr>
        <w:rPr>
          <w:rFonts w:hint="eastAsia"/>
          <w:lang w:val="en-US" w:eastAsia="zh-CN"/>
        </w:rPr>
      </w:pPr>
      <w:r>
        <w:rPr>
          <w:rFonts w:hint="eastAsia"/>
        </w:rPr>
        <w:t>蚌埠</w:t>
      </w:r>
      <w:r>
        <w:t>气象站位于安徽省蚌埠市，地理坐标117.3044</w:t>
      </w:r>
      <w:r>
        <w:rPr>
          <w:rFonts w:hint="eastAsia"/>
          <w:vertAlign w:val="superscript"/>
        </w:rPr>
        <w:t>o</w:t>
      </w:r>
      <w:r>
        <w:rPr>
          <w:rFonts w:hint="eastAsia"/>
        </w:rPr>
        <w:t>E</w:t>
      </w:r>
      <w:r>
        <w:t>，32.8436</w:t>
      </w:r>
      <w:r>
        <w:rPr>
          <w:rFonts w:hint="eastAsia"/>
          <w:vertAlign w:val="superscript"/>
        </w:rPr>
        <w:t>o</w:t>
      </w:r>
      <w:r>
        <w:rPr>
          <w:rFonts w:hint="eastAsia"/>
        </w:rPr>
        <w:t>N</w:t>
      </w:r>
      <w:r>
        <w:t>，海拔高度26.8</w:t>
      </w:r>
      <w:r>
        <w:rPr>
          <w:rFonts w:hint="eastAsia"/>
        </w:rPr>
        <w:t>m</w:t>
      </w:r>
      <w:r>
        <w:t>。气象站距项目约16km，是距项目最近的国家气象站，距离小于50km，满足导则气象资料的使用条件。</w:t>
      </w:r>
      <w:r>
        <w:rPr>
          <w:rFonts w:hint="eastAsia"/>
          <w:lang w:val="en-US" w:eastAsia="zh-CN"/>
        </w:rPr>
        <w:t>根据</w:t>
      </w:r>
      <w:r>
        <w:rPr>
          <w:rFonts w:hint="eastAsia"/>
        </w:rPr>
        <w:t>蚌埠</w:t>
      </w:r>
      <w:r>
        <w:t>气象站</w:t>
      </w:r>
      <w:r>
        <w:rPr>
          <w:rFonts w:hint="eastAsia"/>
          <w:lang w:val="en-US" w:eastAsia="zh-CN"/>
        </w:rPr>
        <w:t>多年气候统计资料，区域主要气候特征见表4.1-1。</w:t>
      </w:r>
    </w:p>
    <w:p>
      <w:pPr>
        <w:pStyle w:val="21"/>
        <w:bidi w:val="0"/>
        <w:rPr>
          <w:rFonts w:hint="eastAsia"/>
          <w:lang w:val="en-US" w:eastAsia="zh-CN"/>
        </w:rPr>
      </w:pPr>
      <w:r>
        <w:rPr>
          <w:rFonts w:hint="eastAsia"/>
          <w:lang w:val="en-US" w:eastAsia="zh-CN"/>
        </w:rPr>
        <w:t>表4.1-1  区域气候特征统计情况表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2680"/>
        <w:gridCol w:w="1647"/>
        <w:gridCol w:w="2095"/>
        <w:gridCol w:w="1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tcBorders>
              <w:insideH w:val="single" w:sz="6" w:space="0"/>
              <w:tl2br w:val="nil"/>
              <w:tr2bl w:val="nil"/>
            </w:tcBorders>
            <w:shd w:val="clear" w:color="auto" w:fill="auto"/>
            <w:vAlign w:val="center"/>
          </w:tcPr>
          <w:p>
            <w:pPr>
              <w:pStyle w:val="19"/>
              <w:snapToGrid w:val="0"/>
              <w:rPr>
                <w:rFonts w:ascii="Times New Roman" w:hAnsi="Times New Roman" w:eastAsia="宋体"/>
                <w:b w:val="0"/>
                <w:bCs/>
                <w:color w:val="auto"/>
                <w:highlight w:val="none"/>
              </w:rPr>
            </w:pPr>
            <w:r>
              <w:rPr>
                <w:rFonts w:ascii="Times New Roman" w:hAnsi="Times New Roman" w:eastAsia="宋体"/>
                <w:b/>
                <w:bCs/>
                <w:color w:val="auto"/>
                <w:highlight w:val="none"/>
              </w:rPr>
              <w:t>统计项目</w:t>
            </w:r>
          </w:p>
        </w:tc>
        <w:tc>
          <w:tcPr>
            <w:tcW w:w="887" w:type="pct"/>
            <w:tcBorders>
              <w:insideH w:val="single" w:sz="6" w:space="0"/>
              <w:tl2br w:val="nil"/>
              <w:tr2bl w:val="nil"/>
            </w:tcBorders>
            <w:shd w:val="clear" w:color="auto" w:fill="auto"/>
            <w:vAlign w:val="center"/>
          </w:tcPr>
          <w:p>
            <w:pPr>
              <w:pStyle w:val="19"/>
              <w:snapToGrid w:val="0"/>
              <w:rPr>
                <w:rFonts w:ascii="Times New Roman" w:hAnsi="Times New Roman" w:eastAsia="宋体"/>
                <w:b w:val="0"/>
                <w:bCs/>
                <w:color w:val="auto"/>
                <w:highlight w:val="none"/>
              </w:rPr>
            </w:pPr>
            <w:r>
              <w:rPr>
                <w:rFonts w:ascii="Times New Roman" w:hAnsi="Times New Roman" w:eastAsia="宋体"/>
                <w:b/>
                <w:bCs/>
                <w:color w:val="auto"/>
                <w:highlight w:val="none"/>
              </w:rPr>
              <w:t>*统计值</w:t>
            </w:r>
          </w:p>
        </w:tc>
        <w:tc>
          <w:tcPr>
            <w:tcW w:w="1128" w:type="pct"/>
            <w:tcBorders>
              <w:insideH w:val="single" w:sz="6" w:space="0"/>
              <w:tl2br w:val="nil"/>
              <w:tr2bl w:val="nil"/>
            </w:tcBorders>
            <w:shd w:val="clear" w:color="auto" w:fill="auto"/>
            <w:vAlign w:val="center"/>
          </w:tcPr>
          <w:p>
            <w:pPr>
              <w:pStyle w:val="19"/>
              <w:snapToGrid w:val="0"/>
              <w:rPr>
                <w:rFonts w:ascii="Times New Roman" w:hAnsi="Times New Roman" w:eastAsia="宋体"/>
                <w:b w:val="0"/>
                <w:bCs/>
                <w:color w:val="auto"/>
                <w:highlight w:val="none"/>
              </w:rPr>
            </w:pPr>
            <w:r>
              <w:rPr>
                <w:rFonts w:ascii="Times New Roman" w:hAnsi="Times New Roman" w:eastAsia="宋体"/>
                <w:b/>
                <w:bCs/>
                <w:color w:val="auto"/>
                <w:highlight w:val="none"/>
              </w:rPr>
              <w:t>极值出现时间</w:t>
            </w:r>
          </w:p>
        </w:tc>
        <w:tc>
          <w:tcPr>
            <w:tcW w:w="886" w:type="pct"/>
            <w:tcBorders>
              <w:insideH w:val="single" w:sz="6" w:space="0"/>
              <w:tl2br w:val="nil"/>
              <w:tr2bl w:val="nil"/>
            </w:tcBorders>
            <w:shd w:val="clear" w:color="auto" w:fill="auto"/>
            <w:vAlign w:val="center"/>
          </w:tcPr>
          <w:p>
            <w:pPr>
              <w:pStyle w:val="19"/>
              <w:snapToGrid w:val="0"/>
              <w:rPr>
                <w:rFonts w:ascii="Times New Roman" w:hAnsi="Times New Roman" w:eastAsia="宋体"/>
                <w:b w:val="0"/>
                <w:bCs/>
                <w:color w:val="auto"/>
                <w:highlight w:val="none"/>
              </w:rPr>
            </w:pPr>
            <w:r>
              <w:rPr>
                <w:rFonts w:ascii="Times New Roman" w:hAnsi="Times New Roman" w:eastAsia="宋体"/>
                <w:b/>
                <w:bCs/>
                <w:color w:val="auto"/>
                <w:highlight w:val="none"/>
              </w:rPr>
              <w:t>**极值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color w:val="auto"/>
                <w:highlight w:val="none"/>
              </w:rPr>
              <w:t>多年平均气温(℃)</w:t>
            </w:r>
          </w:p>
        </w:tc>
        <w:tc>
          <w:tcPr>
            <w:tcW w:w="887"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16.</w:t>
            </w:r>
            <w:r>
              <w:rPr>
                <w:rFonts w:hint="eastAsia"/>
                <w:color w:val="auto"/>
                <w:highlight w:val="none"/>
                <w:lang w:val="en-US" w:eastAsia="zh-CN"/>
              </w:rPr>
              <w:t>00</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99" w:type="pct"/>
            <w:gridSpan w:val="2"/>
            <w:shd w:val="clear" w:color="auto" w:fill="auto"/>
            <w:vAlign w:val="center"/>
          </w:tcPr>
          <w:p>
            <w:pPr>
              <w:pStyle w:val="19"/>
              <w:snapToGrid w:val="0"/>
              <w:rPr>
                <w:color w:val="auto"/>
                <w:highlight w:val="none"/>
              </w:rPr>
            </w:pPr>
            <w:r>
              <w:rPr>
                <w:color w:val="auto"/>
                <w:highlight w:val="none"/>
              </w:rPr>
              <w:t>累年极端最高气温(℃)</w:t>
            </w:r>
          </w:p>
        </w:tc>
        <w:tc>
          <w:tcPr>
            <w:tcW w:w="887" w:type="pct"/>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lang w:val="en-US" w:eastAsia="zh-CN"/>
              </w:rPr>
              <w:t>37.91</w:t>
            </w:r>
          </w:p>
        </w:tc>
        <w:tc>
          <w:tcPr>
            <w:tcW w:w="1128"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200</w:t>
            </w:r>
            <w:r>
              <w:rPr>
                <w:rFonts w:hint="eastAsia"/>
                <w:color w:val="auto"/>
                <w:highlight w:val="none"/>
                <w:lang w:val="en-US" w:eastAsia="zh-CN"/>
              </w:rPr>
              <w:t>3</w:t>
            </w:r>
            <w:r>
              <w:rPr>
                <w:color w:val="auto"/>
                <w:highlight w:val="none"/>
              </w:rPr>
              <w:t>/0</w:t>
            </w:r>
            <w:r>
              <w:rPr>
                <w:rFonts w:hint="eastAsia"/>
                <w:color w:val="auto"/>
                <w:highlight w:val="none"/>
                <w:lang w:val="en-US" w:eastAsia="zh-CN"/>
              </w:rPr>
              <w:t>8</w:t>
            </w:r>
            <w:r>
              <w:rPr>
                <w:color w:val="auto"/>
                <w:highlight w:val="none"/>
              </w:rPr>
              <w:t>/</w:t>
            </w:r>
            <w:r>
              <w:rPr>
                <w:rFonts w:hint="eastAsia"/>
                <w:color w:val="auto"/>
                <w:highlight w:val="none"/>
                <w:lang w:val="en-US" w:eastAsia="zh-CN"/>
              </w:rPr>
              <w:t>01</w:t>
            </w:r>
          </w:p>
        </w:tc>
        <w:tc>
          <w:tcPr>
            <w:tcW w:w="886" w:type="pct"/>
            <w:shd w:val="clear" w:color="auto" w:fill="auto"/>
            <w:vAlign w:val="center"/>
          </w:tcPr>
          <w:p>
            <w:pPr>
              <w:pStyle w:val="19"/>
              <w:snapToGrid w:val="0"/>
              <w:rPr>
                <w:color w:val="auto"/>
                <w:highlight w:val="none"/>
              </w:rPr>
            </w:pPr>
            <w:r>
              <w:rPr>
                <w:rFonts w:hint="eastAsia"/>
                <w:color w:val="auto"/>
                <w:highlight w:val="none"/>
                <w:lang w:val="en-US" w:eastAsia="zh-CN"/>
              </w:rPr>
              <w:t>39.9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color w:val="auto"/>
                <w:highlight w:val="none"/>
              </w:rPr>
              <w:t>累年极端最低气温(℃)</w:t>
            </w:r>
          </w:p>
        </w:tc>
        <w:tc>
          <w:tcPr>
            <w:tcW w:w="887"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w:t>
            </w:r>
            <w:r>
              <w:rPr>
                <w:rFonts w:hint="eastAsia"/>
                <w:color w:val="auto"/>
                <w:highlight w:val="none"/>
                <w:lang w:val="en-US" w:eastAsia="zh-CN"/>
              </w:rPr>
              <w:t>8.31</w:t>
            </w:r>
          </w:p>
        </w:tc>
        <w:tc>
          <w:tcPr>
            <w:tcW w:w="1128" w:type="pct"/>
            <w:shd w:val="clear" w:color="auto" w:fill="auto"/>
            <w:vAlign w:val="center"/>
          </w:tcPr>
          <w:p>
            <w:pPr>
              <w:pStyle w:val="19"/>
              <w:snapToGrid w:val="0"/>
              <w:rPr>
                <w:color w:val="auto"/>
                <w:highlight w:val="none"/>
              </w:rPr>
            </w:pPr>
            <w:r>
              <w:rPr>
                <w:color w:val="auto"/>
                <w:highlight w:val="none"/>
              </w:rPr>
              <w:t>201</w:t>
            </w:r>
            <w:r>
              <w:rPr>
                <w:rFonts w:hint="eastAsia"/>
                <w:color w:val="auto"/>
                <w:highlight w:val="none"/>
              </w:rPr>
              <w:t>6</w:t>
            </w:r>
            <w:r>
              <w:rPr>
                <w:color w:val="auto"/>
                <w:highlight w:val="none"/>
              </w:rPr>
              <w:t>/</w:t>
            </w:r>
            <w:r>
              <w:rPr>
                <w:rFonts w:hint="eastAsia"/>
                <w:color w:val="auto"/>
                <w:highlight w:val="none"/>
              </w:rPr>
              <w:t>01</w:t>
            </w:r>
            <w:r>
              <w:rPr>
                <w:color w:val="auto"/>
                <w:highlight w:val="none"/>
              </w:rPr>
              <w:t>/</w:t>
            </w:r>
            <w:r>
              <w:rPr>
                <w:rFonts w:hint="eastAsia"/>
                <w:color w:val="auto"/>
                <w:highlight w:val="none"/>
              </w:rPr>
              <w:t>24</w:t>
            </w:r>
          </w:p>
        </w:tc>
        <w:tc>
          <w:tcPr>
            <w:tcW w:w="886"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w:t>
            </w:r>
            <w:r>
              <w:rPr>
                <w:rFonts w:hint="eastAsia"/>
                <w:color w:val="auto"/>
                <w:highlight w:val="no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color w:val="auto"/>
                <w:highlight w:val="none"/>
              </w:rPr>
              <w:t>多年平均气压(hPa)</w:t>
            </w:r>
          </w:p>
        </w:tc>
        <w:tc>
          <w:tcPr>
            <w:tcW w:w="887"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1013.</w:t>
            </w:r>
            <w:r>
              <w:rPr>
                <w:rFonts w:hint="eastAsia"/>
                <w:color w:val="auto"/>
                <w:highlight w:val="none"/>
                <w:lang w:val="en-US" w:eastAsia="zh-CN"/>
              </w:rPr>
              <w:t>49</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color w:val="auto"/>
                <w:highlight w:val="none"/>
              </w:rPr>
              <w:t>多年平均水汽压(hPa)</w:t>
            </w:r>
          </w:p>
        </w:tc>
        <w:tc>
          <w:tcPr>
            <w:tcW w:w="887"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15.</w:t>
            </w:r>
            <w:r>
              <w:rPr>
                <w:rFonts w:hint="eastAsia"/>
                <w:color w:val="auto"/>
                <w:highlight w:val="none"/>
                <w:lang w:val="en-US" w:eastAsia="zh-CN"/>
              </w:rPr>
              <w:t>19</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99" w:type="pct"/>
            <w:gridSpan w:val="2"/>
            <w:shd w:val="clear" w:color="auto" w:fill="auto"/>
            <w:vAlign w:val="center"/>
          </w:tcPr>
          <w:p>
            <w:pPr>
              <w:pStyle w:val="19"/>
              <w:snapToGrid w:val="0"/>
              <w:rPr>
                <w:color w:val="auto"/>
                <w:highlight w:val="none"/>
              </w:rPr>
            </w:pPr>
            <w:r>
              <w:rPr>
                <w:color w:val="auto"/>
                <w:highlight w:val="none"/>
              </w:rPr>
              <w:t>多年平均相对湿度(%)</w:t>
            </w:r>
          </w:p>
        </w:tc>
        <w:tc>
          <w:tcPr>
            <w:tcW w:w="887"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7</w:t>
            </w:r>
            <w:r>
              <w:rPr>
                <w:rFonts w:hint="eastAsia"/>
                <w:color w:val="auto"/>
                <w:highlight w:val="none"/>
                <w:lang w:val="en-US" w:eastAsia="zh-CN"/>
              </w:rPr>
              <w:t>2.38</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color w:val="auto"/>
                <w:highlight w:val="none"/>
              </w:rPr>
              <w:t>多年平均</w:t>
            </w:r>
            <w:r>
              <w:rPr>
                <w:rFonts w:hint="eastAsia"/>
                <w:color w:val="auto"/>
                <w:highlight w:val="none"/>
                <w:lang w:val="en-US" w:eastAsia="zh-CN"/>
              </w:rPr>
              <w:t>年</w:t>
            </w:r>
            <w:r>
              <w:rPr>
                <w:color w:val="auto"/>
                <w:highlight w:val="none"/>
              </w:rPr>
              <w:t>降雨量(mm)</w:t>
            </w:r>
          </w:p>
        </w:tc>
        <w:tc>
          <w:tcPr>
            <w:tcW w:w="887" w:type="pct"/>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lang w:val="en-US" w:eastAsia="zh-CN"/>
              </w:rPr>
              <w:t>1019.32</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rFonts w:hint="default" w:eastAsia="宋体"/>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rFonts w:hint="eastAsia"/>
                <w:color w:val="auto"/>
                <w:highlight w:val="none"/>
              </w:rPr>
              <w:t>多年平均最大日降水量</w:t>
            </w:r>
            <w:r>
              <w:rPr>
                <w:color w:val="auto"/>
                <w:highlight w:val="none"/>
              </w:rPr>
              <w:t>(mm)</w:t>
            </w:r>
          </w:p>
        </w:tc>
        <w:tc>
          <w:tcPr>
            <w:tcW w:w="887" w:type="pct"/>
            <w:shd w:val="clear" w:color="auto" w:fill="auto"/>
            <w:vAlign w:val="center"/>
          </w:tcPr>
          <w:p>
            <w:pPr>
              <w:pStyle w:val="19"/>
              <w:snapToGrid w:val="0"/>
              <w:rPr>
                <w:rFonts w:hint="default"/>
                <w:color w:val="auto"/>
                <w:highlight w:val="none"/>
                <w:lang w:val="en-US" w:eastAsia="zh-CN"/>
              </w:rPr>
            </w:pPr>
            <w:r>
              <w:rPr>
                <w:rFonts w:hint="eastAsia"/>
                <w:color w:val="auto"/>
                <w:highlight w:val="none"/>
                <w:lang w:val="en-US" w:eastAsia="zh-CN"/>
              </w:rPr>
              <w:t>110.79</w:t>
            </w:r>
          </w:p>
        </w:tc>
        <w:tc>
          <w:tcPr>
            <w:tcW w:w="1128" w:type="pct"/>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lang w:val="en-US" w:eastAsia="zh-CN"/>
              </w:rPr>
              <w:t>2018/06/28</w:t>
            </w:r>
          </w:p>
        </w:tc>
        <w:tc>
          <w:tcPr>
            <w:tcW w:w="886" w:type="pct"/>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lang w:val="en-US" w:eastAsia="zh-CN"/>
              </w:rPr>
              <w:t>208.1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656" w:type="pct"/>
            <w:vMerge w:val="restart"/>
            <w:shd w:val="clear" w:color="auto" w:fill="auto"/>
            <w:vAlign w:val="center"/>
          </w:tcPr>
          <w:p>
            <w:pPr>
              <w:pStyle w:val="19"/>
              <w:snapToGrid w:val="0"/>
              <w:rPr>
                <w:color w:val="auto"/>
                <w:highlight w:val="none"/>
              </w:rPr>
            </w:pPr>
            <w:r>
              <w:rPr>
                <w:color w:val="auto"/>
                <w:highlight w:val="none"/>
              </w:rPr>
              <w:t>灾害</w:t>
            </w:r>
          </w:p>
          <w:p>
            <w:pPr>
              <w:pStyle w:val="19"/>
              <w:snapToGrid w:val="0"/>
              <w:rPr>
                <w:color w:val="auto"/>
                <w:highlight w:val="none"/>
              </w:rPr>
            </w:pPr>
            <w:r>
              <w:rPr>
                <w:color w:val="auto"/>
                <w:highlight w:val="none"/>
              </w:rPr>
              <w:t>天气</w:t>
            </w:r>
          </w:p>
          <w:p>
            <w:pPr>
              <w:pStyle w:val="19"/>
              <w:snapToGrid w:val="0"/>
              <w:rPr>
                <w:color w:val="auto"/>
                <w:highlight w:val="none"/>
              </w:rPr>
            </w:pPr>
            <w:r>
              <w:rPr>
                <w:color w:val="auto"/>
                <w:highlight w:val="none"/>
              </w:rPr>
              <w:t>统计</w:t>
            </w:r>
          </w:p>
        </w:tc>
        <w:tc>
          <w:tcPr>
            <w:tcW w:w="1443" w:type="pct"/>
            <w:shd w:val="clear" w:color="auto" w:fill="auto"/>
            <w:vAlign w:val="center"/>
          </w:tcPr>
          <w:p>
            <w:pPr>
              <w:pStyle w:val="19"/>
              <w:snapToGrid w:val="0"/>
              <w:rPr>
                <w:color w:val="auto"/>
                <w:highlight w:val="none"/>
              </w:rPr>
            </w:pPr>
            <w:r>
              <w:rPr>
                <w:color w:val="auto"/>
                <w:highlight w:val="none"/>
              </w:rPr>
              <w:t>多年平均沙暴日数(d)</w:t>
            </w:r>
          </w:p>
        </w:tc>
        <w:tc>
          <w:tcPr>
            <w:tcW w:w="887" w:type="pct"/>
            <w:shd w:val="clear" w:color="auto" w:fill="auto"/>
            <w:vAlign w:val="center"/>
          </w:tcPr>
          <w:p>
            <w:pPr>
              <w:pStyle w:val="19"/>
              <w:snapToGrid w:val="0"/>
              <w:rPr>
                <w:rFonts w:hint="eastAsia" w:eastAsia="宋体"/>
                <w:color w:val="auto"/>
                <w:highlight w:val="none"/>
                <w:lang w:val="en-US" w:eastAsia="zh-CN"/>
              </w:rPr>
            </w:pPr>
            <w:r>
              <w:rPr>
                <w:color w:val="auto"/>
                <w:highlight w:val="none"/>
              </w:rPr>
              <w:t>0.</w:t>
            </w:r>
            <w:r>
              <w:rPr>
                <w:rFonts w:hint="eastAsia"/>
                <w:color w:val="auto"/>
                <w:highlight w:val="none"/>
              </w:rPr>
              <w:t>3</w:t>
            </w:r>
            <w:r>
              <w:rPr>
                <w:rFonts w:hint="eastAsia"/>
                <w:color w:val="auto"/>
                <w:highlight w:val="none"/>
                <w:lang w:val="en-US" w:eastAsia="zh-CN"/>
              </w:rPr>
              <w:t>5</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6" w:type="pct"/>
            <w:vMerge w:val="continue"/>
            <w:shd w:val="clear" w:color="auto" w:fill="auto"/>
            <w:vAlign w:val="center"/>
          </w:tcPr>
          <w:p>
            <w:pPr>
              <w:pStyle w:val="19"/>
              <w:snapToGrid w:val="0"/>
              <w:rPr>
                <w:color w:val="auto"/>
                <w:highlight w:val="none"/>
              </w:rPr>
            </w:pPr>
          </w:p>
        </w:tc>
        <w:tc>
          <w:tcPr>
            <w:tcW w:w="1443" w:type="pct"/>
            <w:shd w:val="clear" w:color="auto" w:fill="auto"/>
            <w:vAlign w:val="center"/>
          </w:tcPr>
          <w:p>
            <w:pPr>
              <w:pStyle w:val="19"/>
              <w:snapToGrid w:val="0"/>
              <w:rPr>
                <w:color w:val="auto"/>
                <w:highlight w:val="none"/>
              </w:rPr>
            </w:pPr>
            <w:r>
              <w:rPr>
                <w:color w:val="auto"/>
                <w:highlight w:val="none"/>
              </w:rPr>
              <w:t>多年平均雷暴日数(d)</w:t>
            </w:r>
          </w:p>
        </w:tc>
        <w:tc>
          <w:tcPr>
            <w:tcW w:w="887" w:type="pct"/>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rPr>
              <w:t>2</w:t>
            </w:r>
            <w:r>
              <w:rPr>
                <w:rFonts w:hint="eastAsia"/>
                <w:color w:val="auto"/>
                <w:highlight w:val="none"/>
                <w:lang w:val="en-US" w:eastAsia="zh-CN"/>
              </w:rPr>
              <w:t>6.75</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6" w:type="pct"/>
            <w:vMerge w:val="continue"/>
            <w:shd w:val="clear" w:color="auto" w:fill="auto"/>
            <w:vAlign w:val="center"/>
          </w:tcPr>
          <w:p>
            <w:pPr>
              <w:pStyle w:val="19"/>
              <w:snapToGrid w:val="0"/>
              <w:rPr>
                <w:color w:val="auto"/>
                <w:highlight w:val="none"/>
              </w:rPr>
            </w:pPr>
          </w:p>
        </w:tc>
        <w:tc>
          <w:tcPr>
            <w:tcW w:w="1443" w:type="pct"/>
            <w:shd w:val="clear" w:color="auto" w:fill="auto"/>
            <w:vAlign w:val="center"/>
          </w:tcPr>
          <w:p>
            <w:pPr>
              <w:pStyle w:val="19"/>
              <w:snapToGrid w:val="0"/>
              <w:rPr>
                <w:color w:val="auto"/>
                <w:highlight w:val="none"/>
              </w:rPr>
            </w:pPr>
            <w:r>
              <w:rPr>
                <w:color w:val="auto"/>
                <w:highlight w:val="none"/>
              </w:rPr>
              <w:t>多年平均冰雹日数(d)</w:t>
            </w:r>
          </w:p>
        </w:tc>
        <w:tc>
          <w:tcPr>
            <w:tcW w:w="887"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0.</w:t>
            </w:r>
            <w:r>
              <w:rPr>
                <w:rFonts w:hint="eastAsia"/>
                <w:color w:val="auto"/>
                <w:highlight w:val="none"/>
                <w:lang w:val="en-US" w:eastAsia="zh-CN"/>
              </w:rPr>
              <w:t>10</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6" w:type="pct"/>
            <w:vMerge w:val="continue"/>
            <w:shd w:val="clear" w:color="auto" w:fill="auto"/>
            <w:vAlign w:val="center"/>
          </w:tcPr>
          <w:p>
            <w:pPr>
              <w:pStyle w:val="19"/>
              <w:snapToGrid w:val="0"/>
              <w:rPr>
                <w:color w:val="auto"/>
                <w:highlight w:val="none"/>
              </w:rPr>
            </w:pPr>
          </w:p>
        </w:tc>
        <w:tc>
          <w:tcPr>
            <w:tcW w:w="1443" w:type="pct"/>
            <w:shd w:val="clear" w:color="auto" w:fill="auto"/>
            <w:vAlign w:val="center"/>
          </w:tcPr>
          <w:p>
            <w:pPr>
              <w:pStyle w:val="19"/>
              <w:snapToGrid w:val="0"/>
              <w:rPr>
                <w:color w:val="auto"/>
                <w:highlight w:val="none"/>
              </w:rPr>
            </w:pPr>
            <w:r>
              <w:rPr>
                <w:color w:val="auto"/>
                <w:highlight w:val="none"/>
              </w:rPr>
              <w:t>多年平均大风日数(d)</w:t>
            </w:r>
          </w:p>
        </w:tc>
        <w:tc>
          <w:tcPr>
            <w:tcW w:w="887" w:type="pct"/>
            <w:shd w:val="clear" w:color="auto" w:fill="auto"/>
            <w:vAlign w:val="center"/>
          </w:tcPr>
          <w:p>
            <w:pPr>
              <w:pStyle w:val="19"/>
              <w:snapToGrid w:val="0"/>
              <w:rPr>
                <w:color w:val="auto"/>
                <w:highlight w:val="none"/>
              </w:rPr>
            </w:pPr>
            <w:r>
              <w:rPr>
                <w:rFonts w:hint="eastAsia"/>
                <w:color w:val="auto"/>
                <w:highlight w:val="none"/>
              </w:rPr>
              <w:t>1.95</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color w:val="auto"/>
                <w:highlight w:val="none"/>
              </w:rPr>
              <w:t>多年实测极大风速(m/s)</w:t>
            </w:r>
          </w:p>
        </w:tc>
        <w:tc>
          <w:tcPr>
            <w:tcW w:w="887" w:type="pct"/>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lang w:val="en-US" w:eastAsia="zh-CN"/>
              </w:rPr>
              <w:t>19.74</w:t>
            </w:r>
          </w:p>
        </w:tc>
        <w:tc>
          <w:tcPr>
            <w:tcW w:w="1128"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20</w:t>
            </w:r>
            <w:r>
              <w:rPr>
                <w:rFonts w:hint="eastAsia"/>
                <w:color w:val="auto"/>
                <w:highlight w:val="none"/>
                <w:lang w:val="en-US" w:eastAsia="zh-CN"/>
              </w:rPr>
              <w:t>02</w:t>
            </w:r>
            <w:r>
              <w:rPr>
                <w:color w:val="auto"/>
                <w:highlight w:val="none"/>
              </w:rPr>
              <w:t>/</w:t>
            </w:r>
            <w:r>
              <w:rPr>
                <w:rFonts w:hint="eastAsia"/>
                <w:color w:val="auto"/>
                <w:highlight w:val="none"/>
                <w:lang w:val="en-US" w:eastAsia="zh-CN"/>
              </w:rPr>
              <w:t>05</w:t>
            </w:r>
            <w:r>
              <w:rPr>
                <w:color w:val="auto"/>
                <w:highlight w:val="none"/>
              </w:rPr>
              <w:t>/</w:t>
            </w:r>
            <w:r>
              <w:rPr>
                <w:rFonts w:hint="eastAsia"/>
                <w:color w:val="auto"/>
                <w:highlight w:val="none"/>
                <w:lang w:val="en-US" w:eastAsia="zh-CN"/>
              </w:rPr>
              <w:t>27</w:t>
            </w:r>
          </w:p>
        </w:tc>
        <w:tc>
          <w:tcPr>
            <w:tcW w:w="886" w:type="pct"/>
            <w:shd w:val="clear" w:color="auto" w:fill="auto"/>
            <w:vAlign w:val="center"/>
          </w:tcPr>
          <w:p>
            <w:pPr>
              <w:pStyle w:val="19"/>
              <w:snapToGrid w:val="0"/>
              <w:rPr>
                <w:color w:val="auto"/>
                <w:highlight w:val="none"/>
              </w:rPr>
            </w:pPr>
            <w:r>
              <w:rPr>
                <w:rFonts w:hint="eastAsia"/>
                <w:color w:val="auto"/>
                <w:highlight w:val="none"/>
                <w:lang w:val="en-US" w:eastAsia="zh-CN"/>
              </w:rPr>
              <w:t>31.3</w:t>
            </w:r>
            <w:r>
              <w:rPr>
                <w:color w:val="auto"/>
                <w:highlight w:val="none"/>
              </w:rPr>
              <w:t xml:space="preserve"> NNE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color w:val="auto"/>
                <w:highlight w:val="none"/>
              </w:rPr>
              <w:t>多年平均风速(m/s)</w:t>
            </w:r>
          </w:p>
        </w:tc>
        <w:tc>
          <w:tcPr>
            <w:tcW w:w="887"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2.</w:t>
            </w:r>
            <w:r>
              <w:rPr>
                <w:rFonts w:hint="eastAsia"/>
                <w:color w:val="auto"/>
                <w:highlight w:val="none"/>
                <w:lang w:val="en-US" w:eastAsia="zh-CN"/>
              </w:rPr>
              <w:t>42</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99" w:type="pct"/>
            <w:gridSpan w:val="2"/>
            <w:shd w:val="clear" w:color="auto" w:fill="auto"/>
            <w:vAlign w:val="center"/>
          </w:tcPr>
          <w:p>
            <w:pPr>
              <w:pStyle w:val="19"/>
              <w:snapToGrid w:val="0"/>
              <w:rPr>
                <w:color w:val="auto"/>
                <w:highlight w:val="none"/>
              </w:rPr>
            </w:pPr>
            <w:r>
              <w:rPr>
                <w:color w:val="auto"/>
                <w:highlight w:val="none"/>
              </w:rPr>
              <w:t>多年主导风向、风向频率(%)</w:t>
            </w:r>
          </w:p>
        </w:tc>
        <w:tc>
          <w:tcPr>
            <w:tcW w:w="887" w:type="pct"/>
            <w:shd w:val="clear" w:color="auto" w:fill="auto"/>
            <w:vAlign w:val="center"/>
          </w:tcPr>
          <w:p>
            <w:pPr>
              <w:pStyle w:val="19"/>
              <w:snapToGrid w:val="0"/>
              <w:rPr>
                <w:rFonts w:hint="default" w:eastAsia="宋体"/>
                <w:color w:val="auto"/>
                <w:highlight w:val="none"/>
                <w:lang w:val="en-US" w:eastAsia="zh-CN"/>
              </w:rPr>
            </w:pPr>
            <w:r>
              <w:rPr>
                <w:color w:val="auto"/>
                <w:highlight w:val="none"/>
              </w:rPr>
              <w:t>E</w:t>
            </w:r>
            <w:r>
              <w:rPr>
                <w:rFonts w:hint="eastAsia"/>
                <w:color w:val="auto"/>
                <w:highlight w:val="none"/>
                <w:lang w:val="en-US" w:eastAsia="zh-CN"/>
              </w:rPr>
              <w:t>NE</w:t>
            </w:r>
            <w:r>
              <w:rPr>
                <w:color w:val="auto"/>
                <w:highlight w:val="none"/>
              </w:rPr>
              <w:t xml:space="preserve"> </w:t>
            </w:r>
            <w:r>
              <w:rPr>
                <w:rFonts w:hint="eastAsia"/>
                <w:color w:val="auto"/>
                <w:highlight w:val="none"/>
                <w:lang w:val="en-US" w:eastAsia="zh-CN"/>
              </w:rPr>
              <w:t>35</w:t>
            </w:r>
            <w:r>
              <w:rPr>
                <w:rFonts w:hint="eastAsia"/>
                <w:color w:val="auto"/>
                <w:highlight w:val="none"/>
              </w:rPr>
              <w:t>.</w:t>
            </w:r>
            <w:r>
              <w:rPr>
                <w:rFonts w:hint="eastAsia"/>
                <w:color w:val="auto"/>
                <w:highlight w:val="none"/>
                <w:lang w:val="en-US" w:eastAsia="zh-CN"/>
              </w:rPr>
              <w:t>53</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9" w:type="pct"/>
            <w:gridSpan w:val="2"/>
            <w:shd w:val="clear" w:color="auto" w:fill="auto"/>
            <w:vAlign w:val="center"/>
          </w:tcPr>
          <w:p>
            <w:pPr>
              <w:pStyle w:val="19"/>
              <w:snapToGrid w:val="0"/>
              <w:rPr>
                <w:color w:val="auto"/>
                <w:highlight w:val="none"/>
              </w:rPr>
            </w:pPr>
            <w:r>
              <w:rPr>
                <w:color w:val="auto"/>
                <w:highlight w:val="none"/>
              </w:rPr>
              <w:t>多年静风频率(风速&lt;=0.2m/s)(%)</w:t>
            </w:r>
          </w:p>
        </w:tc>
        <w:tc>
          <w:tcPr>
            <w:tcW w:w="887" w:type="pct"/>
            <w:shd w:val="clear" w:color="auto" w:fill="auto"/>
            <w:vAlign w:val="center"/>
          </w:tcPr>
          <w:p>
            <w:pPr>
              <w:pStyle w:val="19"/>
              <w:snapToGrid w:val="0"/>
              <w:rPr>
                <w:rFonts w:hint="default" w:eastAsia="宋体"/>
                <w:color w:val="auto"/>
                <w:highlight w:val="none"/>
                <w:lang w:val="en-US" w:eastAsia="zh-CN"/>
              </w:rPr>
            </w:pPr>
            <w:r>
              <w:rPr>
                <w:rFonts w:hint="eastAsia"/>
                <w:color w:val="auto"/>
                <w:highlight w:val="none"/>
                <w:lang w:val="en-US" w:eastAsia="zh-CN"/>
              </w:rPr>
              <w:t>2.95</w:t>
            </w:r>
          </w:p>
        </w:tc>
        <w:tc>
          <w:tcPr>
            <w:tcW w:w="1128" w:type="pct"/>
            <w:shd w:val="clear" w:color="auto" w:fill="auto"/>
            <w:vAlign w:val="center"/>
          </w:tcPr>
          <w:p>
            <w:pPr>
              <w:pStyle w:val="19"/>
              <w:snapToGrid w:val="0"/>
              <w:rPr>
                <w:color w:val="auto"/>
                <w:highlight w:val="none"/>
              </w:rPr>
            </w:pPr>
          </w:p>
        </w:tc>
        <w:tc>
          <w:tcPr>
            <w:tcW w:w="886" w:type="pct"/>
            <w:shd w:val="clear" w:color="auto" w:fill="auto"/>
            <w:vAlign w:val="center"/>
          </w:tcPr>
          <w:p>
            <w:pPr>
              <w:pStyle w:val="19"/>
              <w:snapToGrid w:val="0"/>
              <w:rPr>
                <w:color w:val="auto"/>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shd w:val="clear" w:color="auto" w:fill="auto"/>
            <w:vAlign w:val="center"/>
          </w:tcPr>
          <w:p>
            <w:pPr>
              <w:pStyle w:val="19"/>
              <w:snapToGrid w:val="0"/>
              <w:rPr>
                <w:color w:val="auto"/>
                <w:highlight w:val="none"/>
              </w:rPr>
            </w:pPr>
            <w:r>
              <w:rPr>
                <w:rFonts w:hint="eastAsia"/>
                <w:color w:val="auto"/>
                <w:highlight w:val="none"/>
              </w:rPr>
              <w:t>注：</w:t>
            </w:r>
            <w:r>
              <w:rPr>
                <w:color w:val="auto"/>
                <w:highlight w:val="none"/>
              </w:rPr>
              <w:t>*统计值代表均值</w:t>
            </w:r>
            <w:r>
              <w:rPr>
                <w:rFonts w:hint="eastAsia"/>
                <w:color w:val="auto"/>
                <w:highlight w:val="none"/>
              </w:rPr>
              <w:t>；</w:t>
            </w:r>
            <w:r>
              <w:rPr>
                <w:color w:val="auto"/>
                <w:highlight w:val="none"/>
              </w:rPr>
              <w:t>**极值代表极端值</w:t>
            </w:r>
            <w:r>
              <w:rPr>
                <w:rFonts w:hint="eastAsia"/>
                <w:color w:val="auto"/>
                <w:highlight w:val="none"/>
              </w:rPr>
              <w:t>。</w:t>
            </w:r>
          </w:p>
        </w:tc>
      </w:tr>
    </w:tbl>
    <w:p>
      <w:pPr>
        <w:pStyle w:val="19"/>
        <w:bidi w:val="0"/>
        <w:rPr>
          <w:rFonts w:hint="default"/>
          <w:lang w:val="en-US" w:eastAsia="zh-CN"/>
        </w:rPr>
      </w:pPr>
    </w:p>
    <w:p>
      <w:pPr>
        <w:pStyle w:val="29"/>
        <w:rPr>
          <w:rFonts w:hint="eastAsia" w:ascii="Times New Roman" w:hAnsi="Times New Roman" w:eastAsia="宋体" w:cs="Times New Roman"/>
          <w:lang w:val="en-US" w:eastAsia="zh-CN"/>
        </w:rPr>
      </w:pPr>
      <w:r>
        <w:rPr>
          <w:rFonts w:hint="eastAsia" w:cs="Times New Roman"/>
          <w:lang w:val="en-US" w:eastAsia="zh-CN"/>
        </w:rPr>
        <w:t>4.2</w:t>
      </w:r>
      <w:r>
        <w:rPr>
          <w:rFonts w:hint="eastAsia" w:ascii="Times New Roman" w:hAnsi="Times New Roman" w:eastAsia="宋体" w:cs="Times New Roman"/>
          <w:lang w:val="en-US" w:eastAsia="zh-CN"/>
        </w:rPr>
        <w:t xml:space="preserve"> </w:t>
      </w:r>
      <w:r>
        <w:rPr>
          <w:rFonts w:hint="eastAsia" w:cs="Times New Roman"/>
          <w:lang w:val="en-US" w:eastAsia="zh-CN"/>
        </w:rPr>
        <w:t>预测</w:t>
      </w:r>
      <w:r>
        <w:rPr>
          <w:rFonts w:hint="eastAsia" w:ascii="Times New Roman" w:hAnsi="Times New Roman" w:eastAsia="宋体" w:cs="Times New Roman"/>
          <w:lang w:val="en-US" w:eastAsia="zh-CN"/>
        </w:rPr>
        <w:t>内容</w:t>
      </w:r>
    </w:p>
    <w:p>
      <w:pPr>
        <w:widowControl/>
        <w:spacing w:line="480" w:lineRule="exact"/>
        <w:rPr>
          <w:rFonts w:hint="eastAsia"/>
          <w:color w:val="auto"/>
          <w:highlight w:val="none"/>
          <w:lang w:val="en-US" w:eastAsia="zh-CN"/>
        </w:rPr>
      </w:pPr>
      <w:r>
        <w:rPr>
          <w:rFonts w:hint="eastAsia"/>
          <w:color w:val="auto"/>
          <w:highlight w:val="none"/>
        </w:rPr>
        <w:t>项目</w:t>
      </w:r>
      <w:r>
        <w:rPr>
          <w:rFonts w:hint="eastAsia"/>
          <w:color w:val="auto"/>
          <w:highlight w:val="none"/>
          <w:lang w:val="en-US" w:eastAsia="zh-CN"/>
        </w:rPr>
        <w:t>大气环境</w:t>
      </w:r>
      <w:r>
        <w:rPr>
          <w:rFonts w:hint="eastAsia"/>
          <w:color w:val="auto"/>
          <w:highlight w:val="none"/>
        </w:rPr>
        <w:t>评价等级为</w:t>
      </w:r>
      <w:r>
        <w:rPr>
          <w:rFonts w:hint="eastAsia"/>
          <w:color w:val="auto"/>
          <w:highlight w:val="none"/>
          <w:lang w:val="en-US" w:eastAsia="zh-CN"/>
        </w:rPr>
        <w:t>二</w:t>
      </w:r>
      <w:r>
        <w:rPr>
          <w:rFonts w:hint="eastAsia"/>
          <w:color w:val="auto"/>
          <w:highlight w:val="none"/>
        </w:rPr>
        <w:t>级</w:t>
      </w:r>
      <w:r>
        <w:rPr>
          <w:rFonts w:hint="eastAsia"/>
          <w:color w:val="auto"/>
          <w:highlight w:val="none"/>
          <w:lang w:eastAsia="zh-CN"/>
        </w:rPr>
        <w:t>，</w:t>
      </w:r>
      <w:r>
        <w:rPr>
          <w:rFonts w:hint="eastAsia"/>
          <w:color w:val="auto"/>
          <w:highlight w:val="none"/>
          <w:lang w:val="en-US" w:eastAsia="zh-CN"/>
        </w:rPr>
        <w:t>根据</w:t>
      </w:r>
      <w:r>
        <w:rPr>
          <w:color w:val="auto"/>
          <w:highlight w:val="none"/>
          <w:lang w:val="zh-CN"/>
        </w:rPr>
        <w:t>《大气环境影响评价技术导则</w:t>
      </w:r>
      <w:r>
        <w:rPr>
          <w:rFonts w:hint="eastAsia"/>
          <w:color w:val="auto"/>
          <w:highlight w:val="none"/>
          <w:lang w:val="zh-CN"/>
        </w:rPr>
        <w:t xml:space="preserve"> </w:t>
      </w:r>
      <w:r>
        <w:rPr>
          <w:color w:val="auto"/>
          <w:highlight w:val="none"/>
          <w:lang w:val="zh-CN"/>
        </w:rPr>
        <w:t>大气环境》(HJ 2.2-2018)</w:t>
      </w:r>
      <w:r>
        <w:rPr>
          <w:rFonts w:hint="eastAsia"/>
          <w:color w:val="auto"/>
          <w:highlight w:val="none"/>
          <w:lang w:val="zh-CN"/>
        </w:rPr>
        <w:t>，</w:t>
      </w:r>
      <w:r>
        <w:rPr>
          <w:rFonts w:hint="eastAsia"/>
          <w:color w:val="auto"/>
          <w:highlight w:val="none"/>
          <w:lang w:val="en-US" w:eastAsia="zh-CN"/>
        </w:rPr>
        <w:t>不需要进一步开展大气环境影响预测与评价，只对污染物排放量进行核算。</w:t>
      </w:r>
    </w:p>
    <w:p>
      <w:pPr>
        <w:pStyle w:val="29"/>
        <w:rPr>
          <w:rFonts w:hint="default" w:ascii="Times New Roman" w:hAnsi="Times New Roman" w:eastAsia="宋体" w:cs="Times New Roman"/>
          <w:color w:val="auto"/>
          <w:lang w:val="en-US" w:eastAsia="zh-CN"/>
        </w:rPr>
      </w:pPr>
      <w:r>
        <w:rPr>
          <w:rFonts w:hint="eastAsia" w:cs="Times New Roman"/>
          <w:color w:val="auto"/>
          <w:lang w:val="en-US" w:eastAsia="zh-CN"/>
        </w:rPr>
        <w:t>4.3</w:t>
      </w:r>
      <w:r>
        <w:rPr>
          <w:rFonts w:hint="eastAsia" w:ascii="Times New Roman" w:hAnsi="Times New Roman" w:eastAsia="宋体" w:cs="Times New Roman"/>
          <w:color w:val="auto"/>
          <w:lang w:val="en-US" w:eastAsia="zh-CN"/>
        </w:rPr>
        <w:t xml:space="preserve"> 预测结果</w:t>
      </w:r>
    </w:p>
    <w:p>
      <w:pPr>
        <w:bidi w:val="0"/>
        <w:rPr>
          <w:rFonts w:hint="default" w:eastAsia="宋体"/>
          <w:color w:val="auto"/>
          <w:lang w:val="en-US" w:eastAsia="zh-CN"/>
        </w:rPr>
      </w:pPr>
      <w:r>
        <w:rPr>
          <w:rFonts w:hint="eastAsia"/>
          <w:color w:val="auto"/>
          <w:highlight w:val="none"/>
        </w:rPr>
        <w:t>采用</w:t>
      </w:r>
      <w:r>
        <w:rPr>
          <w:rFonts w:hint="eastAsia"/>
          <w:color w:val="auto"/>
          <w:highlight w:val="none"/>
          <w:lang w:val="en-US" w:eastAsia="zh-CN"/>
        </w:rPr>
        <w:t>导则</w:t>
      </w:r>
      <w:r>
        <w:rPr>
          <w:rFonts w:hint="eastAsia"/>
          <w:color w:val="auto"/>
          <w:highlight w:val="none"/>
        </w:rPr>
        <w:t>推荐的估算模型AERSCREEN分别计算各污染源的最大环境影响，</w:t>
      </w:r>
      <w:r>
        <w:rPr>
          <w:rFonts w:hint="eastAsia"/>
          <w:color w:val="auto"/>
          <w:highlight w:val="none"/>
          <w:lang w:val="en-US" w:eastAsia="zh-CN"/>
        </w:rPr>
        <w:t>汇总于表4.3-1。由表可知，各污染源排放污染物最大落地浓度占标率均较小，对周边环境空气质量影响可接受。</w:t>
      </w:r>
    </w:p>
    <w:p>
      <w:pPr>
        <w:spacing w:before="120" w:line="240" w:lineRule="auto"/>
        <w:ind w:firstLine="0" w:firstLineChars="0"/>
        <w:jc w:val="center"/>
        <w:rPr>
          <w:rFonts w:cstheme="minorBidi"/>
          <w:b/>
          <w:color w:val="auto"/>
          <w:sz w:val="21"/>
          <w:szCs w:val="52"/>
          <w:highlight w:val="none"/>
        </w:rPr>
      </w:pPr>
      <w:r>
        <w:rPr>
          <w:rFonts w:hint="eastAsia" w:cstheme="minorBidi"/>
          <w:b/>
          <w:color w:val="auto"/>
          <w:sz w:val="21"/>
          <w:szCs w:val="52"/>
          <w:highlight w:val="none"/>
        </w:rPr>
        <w:t>表</w:t>
      </w:r>
      <w:r>
        <w:rPr>
          <w:rFonts w:hint="eastAsia" w:cstheme="minorBidi"/>
          <w:b/>
          <w:color w:val="auto"/>
          <w:sz w:val="21"/>
          <w:szCs w:val="52"/>
          <w:highlight w:val="none"/>
          <w:lang w:val="en-US" w:eastAsia="zh-CN"/>
        </w:rPr>
        <w:t>4.3-1</w:t>
      </w:r>
      <w:r>
        <w:rPr>
          <w:rFonts w:hint="eastAsia" w:cstheme="minorBidi"/>
          <w:b/>
          <w:color w:val="auto"/>
          <w:sz w:val="21"/>
          <w:szCs w:val="52"/>
          <w:highlight w:val="none"/>
        </w:rPr>
        <w:t xml:space="preserve">  污染源估算模型计算结果表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8"/>
        <w:gridCol w:w="1580"/>
        <w:gridCol w:w="2320"/>
        <w:gridCol w:w="2271"/>
        <w:gridCol w:w="14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71"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ascii="Times New Roman" w:hAnsi="Times New Roman" w:eastAsia="宋体"/>
                <w:b/>
                <w:bCs/>
                <w:color w:val="auto"/>
                <w:kern w:val="0"/>
                <w:sz w:val="21"/>
                <w:szCs w:val="21"/>
                <w:highlight w:val="none"/>
              </w:rPr>
              <w:t>污染源</w:t>
            </w:r>
          </w:p>
        </w:tc>
        <w:tc>
          <w:tcPr>
            <w:tcW w:w="851"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ascii="Times New Roman" w:hAnsi="Times New Roman" w:eastAsia="宋体"/>
                <w:b/>
                <w:bCs/>
                <w:color w:val="auto"/>
                <w:kern w:val="0"/>
                <w:sz w:val="21"/>
                <w:szCs w:val="21"/>
                <w:highlight w:val="none"/>
              </w:rPr>
              <w:t>污染因子</w:t>
            </w:r>
          </w:p>
        </w:tc>
        <w:tc>
          <w:tcPr>
            <w:tcW w:w="1249"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hint="eastAsia" w:ascii="Times New Roman" w:hAnsi="Times New Roman" w:eastAsia="宋体"/>
                <w:b/>
                <w:bCs/>
                <w:i/>
                <w:iCs/>
                <w:color w:val="auto"/>
                <w:kern w:val="0"/>
                <w:sz w:val="21"/>
                <w:szCs w:val="21"/>
                <w:highlight w:val="none"/>
              </w:rPr>
              <w:t>C</w:t>
            </w:r>
            <w:r>
              <w:rPr>
                <w:rFonts w:hint="eastAsia" w:ascii="Times New Roman" w:hAnsi="Times New Roman" w:eastAsia="宋体"/>
                <w:b/>
                <w:bCs/>
                <w:i/>
                <w:iCs/>
                <w:color w:val="auto"/>
                <w:kern w:val="0"/>
                <w:sz w:val="21"/>
                <w:szCs w:val="21"/>
                <w:highlight w:val="none"/>
                <w:vertAlign w:val="subscript"/>
              </w:rPr>
              <w:t>i</w:t>
            </w:r>
            <w:r>
              <w:rPr>
                <w:rFonts w:ascii="Times New Roman" w:hAnsi="Times New Roman" w:eastAsia="宋体"/>
                <w:b/>
                <w:bCs/>
                <w:color w:val="auto"/>
                <w:kern w:val="0"/>
                <w:sz w:val="21"/>
                <w:szCs w:val="21"/>
                <w:highlight w:val="none"/>
              </w:rPr>
              <w:t>(μg/m</w:t>
            </w:r>
            <w:r>
              <w:rPr>
                <w:rFonts w:ascii="Times New Roman" w:hAnsi="Times New Roman" w:eastAsia="宋体"/>
                <w:b/>
                <w:bCs/>
                <w:color w:val="auto"/>
                <w:kern w:val="0"/>
                <w:sz w:val="21"/>
                <w:szCs w:val="21"/>
                <w:highlight w:val="none"/>
                <w:vertAlign w:val="superscript"/>
              </w:rPr>
              <w:t>3</w:t>
            </w:r>
            <w:r>
              <w:rPr>
                <w:rFonts w:ascii="Times New Roman" w:hAnsi="Times New Roman" w:eastAsia="宋体"/>
                <w:b/>
                <w:bCs/>
                <w:color w:val="auto"/>
                <w:kern w:val="0"/>
                <w:sz w:val="21"/>
                <w:szCs w:val="21"/>
                <w:highlight w:val="none"/>
              </w:rPr>
              <w:t>)</w:t>
            </w:r>
          </w:p>
        </w:tc>
        <w:tc>
          <w:tcPr>
            <w:tcW w:w="1223"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hint="eastAsia" w:ascii="Times New Roman" w:hAnsi="Times New Roman" w:eastAsia="宋体"/>
                <w:b/>
                <w:bCs/>
                <w:i/>
                <w:iCs/>
                <w:color w:val="auto"/>
                <w:kern w:val="0"/>
                <w:sz w:val="21"/>
                <w:szCs w:val="21"/>
                <w:highlight w:val="none"/>
              </w:rPr>
              <w:t>C</w:t>
            </w:r>
            <w:r>
              <w:rPr>
                <w:rFonts w:hint="eastAsia" w:ascii="Times New Roman" w:hAnsi="Times New Roman" w:eastAsia="宋体"/>
                <w:b/>
                <w:bCs/>
                <w:i/>
                <w:iCs/>
                <w:color w:val="auto"/>
                <w:kern w:val="0"/>
                <w:sz w:val="21"/>
                <w:szCs w:val="21"/>
                <w:highlight w:val="none"/>
                <w:vertAlign w:val="subscript"/>
              </w:rPr>
              <w:t>0i</w:t>
            </w:r>
            <w:r>
              <w:rPr>
                <w:rFonts w:ascii="Times New Roman" w:hAnsi="Times New Roman" w:eastAsia="宋体"/>
                <w:b/>
                <w:bCs/>
                <w:color w:val="auto"/>
                <w:kern w:val="0"/>
                <w:sz w:val="21"/>
                <w:szCs w:val="21"/>
                <w:highlight w:val="none"/>
              </w:rPr>
              <w:t>(μg/m</w:t>
            </w:r>
            <w:r>
              <w:rPr>
                <w:rFonts w:ascii="Times New Roman" w:hAnsi="Times New Roman" w:eastAsia="宋体"/>
                <w:b/>
                <w:bCs/>
                <w:color w:val="auto"/>
                <w:kern w:val="0"/>
                <w:sz w:val="21"/>
                <w:szCs w:val="21"/>
                <w:highlight w:val="none"/>
                <w:vertAlign w:val="superscript"/>
              </w:rPr>
              <w:t>3</w:t>
            </w:r>
            <w:r>
              <w:rPr>
                <w:rFonts w:ascii="Times New Roman" w:hAnsi="Times New Roman" w:eastAsia="宋体"/>
                <w:b/>
                <w:bCs/>
                <w:color w:val="auto"/>
                <w:kern w:val="0"/>
                <w:sz w:val="21"/>
                <w:szCs w:val="21"/>
                <w:highlight w:val="none"/>
              </w:rPr>
              <w:t>)</w:t>
            </w:r>
          </w:p>
        </w:tc>
        <w:tc>
          <w:tcPr>
            <w:tcW w:w="803" w:type="pct"/>
            <w:tcBorders>
              <w:insideH w:val="single" w:sz="6" w:space="0"/>
              <w:tl2br w:val="nil"/>
              <w:tr2bl w:val="nil"/>
            </w:tcBorders>
            <w:shd w:val="clear" w:color="auto" w:fill="auto"/>
            <w:vAlign w:val="center"/>
          </w:tcPr>
          <w:p>
            <w:pPr>
              <w:snapToGrid w:val="0"/>
              <w:spacing w:line="360" w:lineRule="exact"/>
              <w:ind w:firstLine="0" w:firstLineChars="0"/>
              <w:jc w:val="left"/>
              <w:rPr>
                <w:rFonts w:ascii="Times New Roman" w:hAnsi="Times New Roman" w:eastAsia="宋体"/>
                <w:b w:val="0"/>
                <w:bCs/>
                <w:color w:val="auto"/>
                <w:kern w:val="0"/>
                <w:sz w:val="21"/>
                <w:szCs w:val="21"/>
                <w:highlight w:val="none"/>
              </w:rPr>
            </w:pPr>
            <w:r>
              <w:rPr>
                <w:rFonts w:hint="eastAsia" w:ascii="Times New Roman" w:hAnsi="Times New Roman" w:eastAsia="宋体"/>
                <w:b/>
                <w:bCs/>
                <w:i/>
                <w:iCs/>
                <w:color w:val="auto"/>
                <w:kern w:val="0"/>
                <w:sz w:val="21"/>
                <w:szCs w:val="21"/>
                <w:highlight w:val="none"/>
              </w:rPr>
              <w:t>P</w:t>
            </w:r>
            <w:r>
              <w:rPr>
                <w:rFonts w:hint="eastAsia" w:ascii="Times New Roman" w:hAnsi="Times New Roman" w:eastAsia="宋体"/>
                <w:b/>
                <w:bCs/>
                <w:i/>
                <w:iCs/>
                <w:color w:val="auto"/>
                <w:kern w:val="0"/>
                <w:sz w:val="21"/>
                <w:szCs w:val="21"/>
                <w:highlight w:val="none"/>
                <w:vertAlign w:val="subscript"/>
              </w:rPr>
              <w:t>max</w:t>
            </w:r>
            <w:r>
              <w:rPr>
                <w:rFonts w:ascii="Times New Roman" w:hAnsi="Times New Roman" w:eastAsia="宋体"/>
                <w:b/>
                <w:bCs/>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pct"/>
            <w:vMerge w:val="restart"/>
            <w:shd w:val="clear" w:color="auto" w:fill="auto"/>
            <w:vAlign w:val="center"/>
          </w:tcPr>
          <w:p>
            <w:pPr>
              <w:snapToGrid w:val="0"/>
              <w:spacing w:line="360" w:lineRule="exact"/>
              <w:ind w:firstLine="0" w:firstLineChars="0"/>
              <w:jc w:val="left"/>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DA001</w:t>
            </w:r>
          </w:p>
        </w:tc>
        <w:tc>
          <w:tcPr>
            <w:tcW w:w="851" w:type="pct"/>
            <w:shd w:val="clear" w:color="auto" w:fill="auto"/>
            <w:vAlign w:val="center"/>
          </w:tcPr>
          <w:p>
            <w:pPr>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PM</w:t>
            </w:r>
            <w:r>
              <w:rPr>
                <w:color w:val="auto"/>
                <w:kern w:val="0"/>
                <w:sz w:val="21"/>
                <w:szCs w:val="21"/>
                <w:highlight w:val="none"/>
                <w:vertAlign w:val="subscript"/>
              </w:rPr>
              <w:t>10</w:t>
            </w:r>
          </w:p>
        </w:tc>
        <w:tc>
          <w:tcPr>
            <w:tcW w:w="1249"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16.22</w:t>
            </w:r>
          </w:p>
        </w:tc>
        <w:tc>
          <w:tcPr>
            <w:tcW w:w="12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450</w:t>
            </w:r>
          </w:p>
        </w:tc>
        <w:tc>
          <w:tcPr>
            <w:tcW w:w="80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851" w:type="pct"/>
            <w:shd w:val="clear" w:color="auto" w:fill="auto"/>
            <w:vAlign w:val="center"/>
          </w:tcPr>
          <w:p>
            <w:pPr>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PM</w:t>
            </w:r>
            <w:r>
              <w:rPr>
                <w:color w:val="auto"/>
                <w:kern w:val="0"/>
                <w:sz w:val="21"/>
                <w:szCs w:val="21"/>
                <w:highlight w:val="none"/>
                <w:vertAlign w:val="subscript"/>
              </w:rPr>
              <w:t>2.5</w:t>
            </w:r>
          </w:p>
        </w:tc>
        <w:tc>
          <w:tcPr>
            <w:tcW w:w="1249"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8.11</w:t>
            </w:r>
          </w:p>
        </w:tc>
        <w:tc>
          <w:tcPr>
            <w:tcW w:w="12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225</w:t>
            </w:r>
          </w:p>
        </w:tc>
        <w:tc>
          <w:tcPr>
            <w:tcW w:w="80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851" w:type="pct"/>
            <w:shd w:val="clear" w:color="auto" w:fill="auto"/>
            <w:vAlign w:val="center"/>
          </w:tcPr>
          <w:p>
            <w:pPr>
              <w:snapToGrid w:val="0"/>
              <w:spacing w:line="360" w:lineRule="exact"/>
              <w:ind w:firstLine="0" w:firstLineChars="0"/>
              <w:jc w:val="left"/>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氟化物</w:t>
            </w:r>
          </w:p>
        </w:tc>
        <w:tc>
          <w:tcPr>
            <w:tcW w:w="1249"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0.18</w:t>
            </w:r>
          </w:p>
        </w:tc>
        <w:tc>
          <w:tcPr>
            <w:tcW w:w="122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80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pct"/>
            <w:vMerge w:val="continue"/>
            <w:shd w:val="clear" w:color="auto" w:fill="auto"/>
            <w:vAlign w:val="center"/>
          </w:tcPr>
          <w:p>
            <w:pPr>
              <w:snapToGrid w:val="0"/>
              <w:spacing w:line="360" w:lineRule="exact"/>
              <w:ind w:firstLine="0" w:firstLineChars="0"/>
              <w:jc w:val="left"/>
              <w:rPr>
                <w:color w:val="auto"/>
                <w:kern w:val="0"/>
                <w:sz w:val="21"/>
                <w:szCs w:val="21"/>
                <w:highlight w:val="none"/>
              </w:rPr>
            </w:pPr>
          </w:p>
        </w:tc>
        <w:tc>
          <w:tcPr>
            <w:tcW w:w="851" w:type="pct"/>
            <w:shd w:val="clear" w:color="auto" w:fill="auto"/>
            <w:vAlign w:val="center"/>
          </w:tcPr>
          <w:p>
            <w:pPr>
              <w:snapToGrid w:val="0"/>
              <w:spacing w:line="360" w:lineRule="exact"/>
              <w:ind w:firstLine="0" w:firstLineChars="0"/>
              <w:jc w:val="left"/>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二噁英</w:t>
            </w:r>
          </w:p>
        </w:tc>
        <w:tc>
          <w:tcPr>
            <w:tcW w:w="1249"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0.00</w:t>
            </w:r>
            <w:r>
              <w:rPr>
                <w:rFonts w:hint="eastAsia" w:ascii="Times New Roman" w:hAnsi="Times New Roman" w:cs="Times New Roman"/>
                <w:sz w:val="21"/>
                <w:szCs w:val="21"/>
                <w:lang w:val="en-US" w:eastAsia="zh-CN"/>
              </w:rPr>
              <w:t>p</w:t>
            </w:r>
            <w:r>
              <w:rPr>
                <w:rFonts w:hint="eastAsia" w:ascii="Times New Roman" w:hAnsi="Times New Roman" w:cs="Times New Roman"/>
                <w:sz w:val="21"/>
                <w:szCs w:val="21"/>
              </w:rPr>
              <w:t>g</w:t>
            </w:r>
            <w:r>
              <w:rPr>
                <w:rFonts w:hint="eastAsia" w:cs="Times New Roman"/>
                <w:sz w:val="21"/>
                <w:szCs w:val="21"/>
                <w:lang w:val="en-US" w:eastAsia="zh-CN"/>
              </w:rPr>
              <w:t xml:space="preserve"> </w:t>
            </w:r>
            <w:r>
              <w:rPr>
                <w:rFonts w:hint="eastAsia" w:ascii="Times New Roman" w:hAnsi="Times New Roman" w:cs="Times New Roman"/>
                <w:sz w:val="21"/>
                <w:szCs w:val="21"/>
              </w:rPr>
              <w:t>TEQ/m</w:t>
            </w:r>
            <w:r>
              <w:rPr>
                <w:rFonts w:hint="eastAsia" w:ascii="Times New Roman" w:hAnsi="Times New Roman" w:cs="Times New Roman"/>
                <w:sz w:val="21"/>
                <w:szCs w:val="21"/>
                <w:vertAlign w:val="superscript"/>
              </w:rPr>
              <w:t>3</w:t>
            </w:r>
          </w:p>
        </w:tc>
        <w:tc>
          <w:tcPr>
            <w:tcW w:w="12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sz w:val="21"/>
                <w:szCs w:val="21"/>
                <w:lang w:val="en-US" w:eastAsia="zh-CN"/>
              </w:rPr>
              <w:t>3.6 p</w:t>
            </w:r>
            <w:r>
              <w:rPr>
                <w:rFonts w:hint="eastAsia" w:ascii="Times New Roman" w:hAnsi="Times New Roman" w:cs="Times New Roman"/>
                <w:sz w:val="21"/>
                <w:szCs w:val="21"/>
              </w:rPr>
              <w:t>g</w:t>
            </w:r>
            <w:r>
              <w:rPr>
                <w:rFonts w:hint="eastAsia" w:cs="Times New Roman"/>
                <w:sz w:val="21"/>
                <w:szCs w:val="21"/>
                <w:lang w:val="en-US" w:eastAsia="zh-CN"/>
              </w:rPr>
              <w:t xml:space="preserve"> </w:t>
            </w:r>
            <w:r>
              <w:rPr>
                <w:rFonts w:hint="eastAsia" w:ascii="Times New Roman" w:hAnsi="Times New Roman" w:cs="Times New Roman"/>
                <w:sz w:val="21"/>
                <w:szCs w:val="21"/>
              </w:rPr>
              <w:t>TEQ/m</w:t>
            </w:r>
            <w:r>
              <w:rPr>
                <w:rFonts w:hint="eastAsia" w:ascii="Times New Roman" w:hAnsi="Times New Roman" w:cs="Times New Roman"/>
                <w:sz w:val="21"/>
                <w:szCs w:val="21"/>
                <w:vertAlign w:val="superscript"/>
              </w:rPr>
              <w:t>3</w:t>
            </w:r>
          </w:p>
        </w:tc>
        <w:tc>
          <w:tcPr>
            <w:tcW w:w="80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71" w:type="pct"/>
            <w:vMerge w:val="restart"/>
            <w:shd w:val="clear" w:color="auto" w:fill="auto"/>
            <w:vAlign w:val="center"/>
          </w:tcPr>
          <w:p>
            <w:pPr>
              <w:snapToGrid w:val="0"/>
              <w:spacing w:line="360" w:lineRule="exact"/>
              <w:ind w:firstLine="0" w:firstLineChars="0"/>
              <w:jc w:val="left"/>
              <w:rPr>
                <w:rFonts w:hint="eastAsia" w:eastAsia="宋体"/>
                <w:color w:val="auto"/>
                <w:sz w:val="21"/>
                <w:szCs w:val="21"/>
                <w:highlight w:val="none"/>
                <w:lang w:val="en-US" w:eastAsia="zh-CN"/>
              </w:rPr>
            </w:pPr>
            <w:r>
              <w:rPr>
                <w:rFonts w:hint="eastAsia"/>
                <w:color w:val="auto"/>
                <w:sz w:val="21"/>
                <w:szCs w:val="21"/>
                <w:highlight w:val="none"/>
                <w:lang w:val="en-US" w:eastAsia="zh-CN"/>
              </w:rPr>
              <w:t>DA002</w:t>
            </w:r>
          </w:p>
        </w:tc>
        <w:tc>
          <w:tcPr>
            <w:tcW w:w="851" w:type="pct"/>
            <w:shd w:val="clear" w:color="auto" w:fill="auto"/>
            <w:vAlign w:val="center"/>
          </w:tcPr>
          <w:p>
            <w:pPr>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SO</w:t>
            </w:r>
            <w:r>
              <w:rPr>
                <w:rFonts w:hint="eastAsia"/>
                <w:color w:val="auto"/>
                <w:kern w:val="0"/>
                <w:sz w:val="21"/>
                <w:szCs w:val="21"/>
                <w:highlight w:val="none"/>
                <w:vertAlign w:val="subscript"/>
              </w:rPr>
              <w:t>2</w:t>
            </w:r>
          </w:p>
        </w:tc>
        <w:tc>
          <w:tcPr>
            <w:tcW w:w="1249"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3.95</w:t>
            </w:r>
          </w:p>
        </w:tc>
        <w:tc>
          <w:tcPr>
            <w:tcW w:w="12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500</w:t>
            </w:r>
          </w:p>
        </w:tc>
        <w:tc>
          <w:tcPr>
            <w:tcW w:w="80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71" w:type="pct"/>
            <w:vMerge w:val="continue"/>
            <w:shd w:val="clear" w:color="auto" w:fill="auto"/>
            <w:vAlign w:val="center"/>
          </w:tcPr>
          <w:p>
            <w:pPr>
              <w:snapToGrid w:val="0"/>
              <w:spacing w:line="360" w:lineRule="exact"/>
              <w:ind w:firstLine="0" w:firstLineChars="0"/>
              <w:jc w:val="left"/>
              <w:rPr>
                <w:rFonts w:hint="eastAsia"/>
                <w:color w:val="auto"/>
                <w:sz w:val="21"/>
                <w:szCs w:val="21"/>
                <w:highlight w:val="none"/>
              </w:rPr>
            </w:pPr>
          </w:p>
        </w:tc>
        <w:tc>
          <w:tcPr>
            <w:tcW w:w="851" w:type="pct"/>
            <w:shd w:val="clear" w:color="auto" w:fill="auto"/>
            <w:vAlign w:val="center"/>
          </w:tcPr>
          <w:p>
            <w:pPr>
              <w:snapToGrid w:val="0"/>
              <w:spacing w:line="360" w:lineRule="exact"/>
              <w:ind w:firstLine="0" w:firstLineChars="0"/>
              <w:jc w:val="left"/>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NO</w:t>
            </w:r>
            <w:r>
              <w:rPr>
                <w:rFonts w:hint="eastAsia"/>
                <w:color w:val="auto"/>
                <w:kern w:val="0"/>
                <w:sz w:val="21"/>
                <w:szCs w:val="21"/>
                <w:highlight w:val="none"/>
                <w:vertAlign w:val="subscript"/>
              </w:rPr>
              <w:t>2</w:t>
            </w:r>
          </w:p>
        </w:tc>
        <w:tc>
          <w:tcPr>
            <w:tcW w:w="1249"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9.16</w:t>
            </w:r>
          </w:p>
        </w:tc>
        <w:tc>
          <w:tcPr>
            <w:tcW w:w="12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200</w:t>
            </w:r>
          </w:p>
        </w:tc>
        <w:tc>
          <w:tcPr>
            <w:tcW w:w="80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eastAsia="宋体" w:cs="Times New Roman"/>
                <w:color w:val="auto"/>
                <w:kern w:val="0"/>
                <w:sz w:val="21"/>
                <w:szCs w:val="21"/>
                <w:highlight w:val="none"/>
                <w:lang w:val="en-US" w:eastAsia="zh-CN" w:bidi="ar-SA"/>
              </w:rPr>
              <w:t>4.58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871" w:type="pct"/>
            <w:vMerge w:val="continue"/>
            <w:shd w:val="clear" w:color="auto" w:fill="auto"/>
            <w:vAlign w:val="center"/>
          </w:tcPr>
          <w:p>
            <w:pPr>
              <w:snapToGrid w:val="0"/>
              <w:spacing w:line="360" w:lineRule="exact"/>
              <w:ind w:firstLine="0" w:firstLineChars="0"/>
              <w:jc w:val="left"/>
              <w:rPr>
                <w:rFonts w:hint="eastAsia"/>
                <w:color w:val="auto"/>
                <w:sz w:val="21"/>
                <w:szCs w:val="21"/>
                <w:highlight w:val="none"/>
              </w:rPr>
            </w:pPr>
          </w:p>
        </w:tc>
        <w:tc>
          <w:tcPr>
            <w:tcW w:w="851" w:type="pct"/>
            <w:shd w:val="clear" w:color="auto" w:fill="auto"/>
            <w:vAlign w:val="center"/>
          </w:tcPr>
          <w:p>
            <w:pPr>
              <w:snapToGrid w:val="0"/>
              <w:spacing w:line="360" w:lineRule="exact"/>
              <w:ind w:firstLine="0" w:firstLineChars="0"/>
              <w:jc w:val="left"/>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PM</w:t>
            </w:r>
            <w:r>
              <w:rPr>
                <w:color w:val="auto"/>
                <w:kern w:val="0"/>
                <w:sz w:val="21"/>
                <w:szCs w:val="21"/>
                <w:highlight w:val="none"/>
                <w:vertAlign w:val="subscript"/>
              </w:rPr>
              <w:t>10</w:t>
            </w:r>
          </w:p>
        </w:tc>
        <w:tc>
          <w:tcPr>
            <w:tcW w:w="1249"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5.57</w:t>
            </w:r>
          </w:p>
        </w:tc>
        <w:tc>
          <w:tcPr>
            <w:tcW w:w="1223" w:type="pct"/>
            <w:shd w:val="clear" w:color="auto" w:fill="auto"/>
            <w:vAlign w:val="center"/>
          </w:tcPr>
          <w:p>
            <w:pPr>
              <w:pStyle w:val="19"/>
              <w:snapToGrid w:val="0"/>
              <w:ind w:firstLine="0" w:firstLineChars="0"/>
              <w:rPr>
                <w:rFonts w:ascii="Times New Roman" w:hAnsi="Times New Roman" w:eastAsia="宋体" w:cs="Times New Roman"/>
                <w:color w:val="auto"/>
                <w:kern w:val="0"/>
                <w:sz w:val="21"/>
                <w:szCs w:val="21"/>
                <w:highlight w:val="none"/>
                <w:lang w:val="en-US" w:eastAsia="zh-CN" w:bidi="ar-SA"/>
              </w:rPr>
            </w:pPr>
            <w:r>
              <w:rPr>
                <w:color w:val="auto"/>
                <w:sz w:val="21"/>
                <w:szCs w:val="21"/>
                <w:highlight w:val="none"/>
              </w:rPr>
              <w:t>450</w:t>
            </w:r>
          </w:p>
        </w:tc>
        <w:tc>
          <w:tcPr>
            <w:tcW w:w="803" w:type="pct"/>
            <w:shd w:val="clear" w:color="auto" w:fill="auto"/>
            <w:vAlign w:val="center"/>
          </w:tcPr>
          <w:p>
            <w:pPr>
              <w:pStyle w:val="19"/>
              <w:snapToGrid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871" w:type="pct"/>
            <w:vMerge w:val="continue"/>
            <w:shd w:val="clear" w:color="auto" w:fill="auto"/>
            <w:vAlign w:val="center"/>
          </w:tcPr>
          <w:p>
            <w:pPr>
              <w:snapToGrid w:val="0"/>
              <w:spacing w:line="360" w:lineRule="exact"/>
              <w:ind w:firstLine="0" w:firstLineChars="0"/>
              <w:jc w:val="left"/>
              <w:rPr>
                <w:color w:val="auto"/>
                <w:sz w:val="21"/>
                <w:szCs w:val="21"/>
                <w:highlight w:val="none"/>
              </w:rPr>
            </w:pPr>
          </w:p>
        </w:tc>
        <w:tc>
          <w:tcPr>
            <w:tcW w:w="851" w:type="pct"/>
            <w:shd w:val="clear" w:color="auto" w:fill="auto"/>
            <w:vAlign w:val="center"/>
          </w:tcPr>
          <w:p>
            <w:pPr>
              <w:snapToGrid w:val="0"/>
              <w:spacing w:line="360" w:lineRule="exact"/>
              <w:ind w:firstLine="0" w:firstLineChars="0"/>
              <w:jc w:val="left"/>
              <w:rPr>
                <w:color w:val="auto"/>
                <w:kern w:val="0"/>
                <w:sz w:val="21"/>
                <w:szCs w:val="21"/>
                <w:highlight w:val="none"/>
              </w:rPr>
            </w:pPr>
            <w:r>
              <w:rPr>
                <w:rFonts w:hint="eastAsia"/>
                <w:color w:val="auto"/>
                <w:kern w:val="0"/>
                <w:sz w:val="21"/>
                <w:szCs w:val="21"/>
                <w:highlight w:val="none"/>
              </w:rPr>
              <w:t>PM</w:t>
            </w:r>
            <w:r>
              <w:rPr>
                <w:color w:val="auto"/>
                <w:kern w:val="0"/>
                <w:sz w:val="21"/>
                <w:szCs w:val="21"/>
                <w:highlight w:val="none"/>
                <w:vertAlign w:val="subscript"/>
              </w:rPr>
              <w:t>2.5</w:t>
            </w:r>
          </w:p>
        </w:tc>
        <w:tc>
          <w:tcPr>
            <w:tcW w:w="1249"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2.78</w:t>
            </w:r>
          </w:p>
        </w:tc>
        <w:tc>
          <w:tcPr>
            <w:tcW w:w="1223" w:type="pct"/>
            <w:shd w:val="clear" w:color="auto" w:fill="auto"/>
            <w:vAlign w:val="center"/>
          </w:tcPr>
          <w:p>
            <w:pPr>
              <w:pStyle w:val="19"/>
              <w:snapToGrid w:val="0"/>
              <w:rPr>
                <w:color w:val="auto"/>
                <w:sz w:val="21"/>
                <w:szCs w:val="21"/>
                <w:highlight w:val="none"/>
              </w:rPr>
            </w:pPr>
            <w:r>
              <w:rPr>
                <w:color w:val="auto"/>
                <w:sz w:val="21"/>
                <w:szCs w:val="21"/>
                <w:highlight w:val="none"/>
              </w:rPr>
              <w:t>225</w:t>
            </w:r>
          </w:p>
        </w:tc>
        <w:tc>
          <w:tcPr>
            <w:tcW w:w="803"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871" w:type="pct"/>
            <w:shd w:val="clear" w:color="auto" w:fill="auto"/>
            <w:vAlign w:val="center"/>
          </w:tcPr>
          <w:p>
            <w:pPr>
              <w:snapToGrid w:val="0"/>
              <w:spacing w:line="360" w:lineRule="exact"/>
              <w:ind w:firstLine="0" w:firstLineChars="0"/>
              <w:jc w:val="left"/>
              <w:rPr>
                <w:rFonts w:hint="default" w:eastAsia="宋体"/>
                <w:color w:val="auto"/>
                <w:sz w:val="21"/>
                <w:szCs w:val="21"/>
                <w:highlight w:val="none"/>
                <w:lang w:val="en-US" w:eastAsia="zh-CN"/>
              </w:rPr>
            </w:pPr>
            <w:r>
              <w:rPr>
                <w:rFonts w:hint="eastAsia"/>
                <w:color w:val="auto"/>
                <w:sz w:val="21"/>
                <w:szCs w:val="21"/>
                <w:highlight w:val="none"/>
                <w:lang w:val="en-US" w:eastAsia="zh-CN"/>
              </w:rPr>
              <w:t>生产车间</w:t>
            </w:r>
          </w:p>
        </w:tc>
        <w:tc>
          <w:tcPr>
            <w:tcW w:w="851" w:type="pct"/>
            <w:shd w:val="clear" w:color="auto" w:fill="auto"/>
            <w:vAlign w:val="center"/>
          </w:tcPr>
          <w:p>
            <w:pPr>
              <w:snapToGrid w:val="0"/>
              <w:spacing w:line="360" w:lineRule="exact"/>
              <w:ind w:firstLine="0" w:firstLineChars="0"/>
              <w:jc w:val="left"/>
              <w:rPr>
                <w:rFonts w:hint="eastAsia" w:eastAsia="宋体"/>
                <w:color w:val="auto"/>
                <w:kern w:val="0"/>
                <w:sz w:val="21"/>
                <w:szCs w:val="21"/>
                <w:highlight w:val="none"/>
                <w:lang w:eastAsia="zh-CN"/>
              </w:rPr>
            </w:pPr>
            <w:r>
              <w:rPr>
                <w:rFonts w:hint="eastAsia"/>
                <w:color w:val="auto"/>
                <w:kern w:val="0"/>
                <w:sz w:val="21"/>
                <w:szCs w:val="21"/>
                <w:highlight w:val="none"/>
                <w:lang w:val="en-US" w:eastAsia="zh-CN"/>
              </w:rPr>
              <w:t>TSP</w:t>
            </w:r>
          </w:p>
        </w:tc>
        <w:tc>
          <w:tcPr>
            <w:tcW w:w="1249"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63.64</w:t>
            </w:r>
          </w:p>
        </w:tc>
        <w:tc>
          <w:tcPr>
            <w:tcW w:w="1223"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900</w:t>
            </w:r>
          </w:p>
        </w:tc>
        <w:tc>
          <w:tcPr>
            <w:tcW w:w="803"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5000" w:type="pct"/>
            <w:gridSpan w:val="5"/>
            <w:shd w:val="clear" w:color="auto" w:fill="auto"/>
            <w:vAlign w:val="center"/>
          </w:tcPr>
          <w:p>
            <w:pPr>
              <w:pStyle w:val="19"/>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注：TSP、PM</w:t>
            </w:r>
            <w:r>
              <w:rPr>
                <w:rFonts w:hint="eastAsia"/>
                <w:color w:val="auto"/>
                <w:sz w:val="21"/>
                <w:szCs w:val="21"/>
                <w:highlight w:val="none"/>
                <w:vertAlign w:val="subscript"/>
                <w:lang w:val="en-US" w:eastAsia="zh-CN"/>
              </w:rPr>
              <w:t>10</w:t>
            </w:r>
            <w:r>
              <w:rPr>
                <w:rFonts w:hint="eastAsia"/>
                <w:color w:val="auto"/>
                <w:sz w:val="21"/>
                <w:szCs w:val="21"/>
                <w:highlight w:val="none"/>
                <w:lang w:val="en-US" w:eastAsia="zh-CN"/>
              </w:rPr>
              <w:t>、PM</w:t>
            </w:r>
            <w:r>
              <w:rPr>
                <w:rFonts w:hint="eastAsia"/>
                <w:color w:val="auto"/>
                <w:sz w:val="21"/>
                <w:szCs w:val="21"/>
                <w:highlight w:val="none"/>
                <w:vertAlign w:val="subscript"/>
                <w:lang w:val="en-US" w:eastAsia="zh-CN"/>
              </w:rPr>
              <w:t>2.5</w:t>
            </w:r>
            <w:r>
              <w:rPr>
                <w:rFonts w:hint="eastAsia"/>
                <w:color w:val="auto"/>
                <w:sz w:val="21"/>
                <w:szCs w:val="21"/>
                <w:highlight w:val="none"/>
                <w:lang w:val="en-US" w:eastAsia="zh-CN"/>
              </w:rPr>
              <w:t>取日均浓度的3倍；二噁英取年均浓度的6倍；</w:t>
            </w:r>
            <w:r>
              <w:rPr>
                <w:rFonts w:hint="eastAsia"/>
                <w:color w:val="auto"/>
                <w:sz w:val="21"/>
                <w:szCs w:val="21"/>
                <w:highlight w:val="none"/>
              </w:rPr>
              <w:t>除尘后</w:t>
            </w:r>
            <w:r>
              <w:rPr>
                <w:rFonts w:hint="eastAsia"/>
                <w:color w:val="auto"/>
                <w:sz w:val="21"/>
                <w:szCs w:val="21"/>
                <w:highlight w:val="none"/>
                <w:lang w:val="en-US" w:eastAsia="zh-CN"/>
              </w:rPr>
              <w:t>颗粒物</w:t>
            </w:r>
            <w:r>
              <w:rPr>
                <w:color w:val="auto"/>
                <w:sz w:val="21"/>
                <w:szCs w:val="21"/>
                <w:highlight w:val="none"/>
              </w:rPr>
              <w:t>以PM</w:t>
            </w:r>
            <w:r>
              <w:rPr>
                <w:color w:val="auto"/>
                <w:sz w:val="21"/>
                <w:szCs w:val="21"/>
                <w:highlight w:val="none"/>
                <w:vertAlign w:val="subscript"/>
              </w:rPr>
              <w:t>10</w:t>
            </w:r>
            <w:r>
              <w:rPr>
                <w:color w:val="auto"/>
                <w:sz w:val="21"/>
                <w:szCs w:val="21"/>
                <w:highlight w:val="none"/>
              </w:rPr>
              <w:t>计</w:t>
            </w:r>
            <w:r>
              <w:rPr>
                <w:rFonts w:hint="eastAsia"/>
                <w:color w:val="auto"/>
                <w:sz w:val="21"/>
                <w:szCs w:val="21"/>
                <w:highlight w:val="none"/>
                <w:lang w:eastAsia="zh-CN"/>
              </w:rPr>
              <w:t>，</w:t>
            </w:r>
            <w:r>
              <w:rPr>
                <w:color w:val="auto"/>
                <w:sz w:val="21"/>
                <w:szCs w:val="21"/>
                <w:highlight w:val="none"/>
              </w:rPr>
              <w:t>PM</w:t>
            </w:r>
            <w:r>
              <w:rPr>
                <w:color w:val="auto"/>
                <w:sz w:val="21"/>
                <w:szCs w:val="21"/>
                <w:highlight w:val="none"/>
                <w:vertAlign w:val="subscript"/>
              </w:rPr>
              <w:t>2.5</w:t>
            </w:r>
            <w:r>
              <w:rPr>
                <w:color w:val="auto"/>
                <w:sz w:val="21"/>
                <w:szCs w:val="21"/>
                <w:highlight w:val="none"/>
              </w:rPr>
              <w:t>/PM</w:t>
            </w:r>
            <w:r>
              <w:rPr>
                <w:color w:val="auto"/>
                <w:sz w:val="21"/>
                <w:szCs w:val="21"/>
                <w:highlight w:val="none"/>
                <w:vertAlign w:val="subscript"/>
              </w:rPr>
              <w:t>10</w:t>
            </w:r>
            <w:r>
              <w:rPr>
                <w:color w:val="auto"/>
                <w:sz w:val="21"/>
                <w:szCs w:val="21"/>
                <w:highlight w:val="none"/>
              </w:rPr>
              <w:t>按0.5计</w:t>
            </w:r>
            <w:r>
              <w:rPr>
                <w:rFonts w:hint="eastAsia"/>
                <w:color w:val="auto"/>
                <w:sz w:val="21"/>
                <w:szCs w:val="21"/>
                <w:highlight w:val="none"/>
                <w:lang w:eastAsia="zh-CN"/>
              </w:rPr>
              <w:t>。</w:t>
            </w:r>
          </w:p>
        </w:tc>
      </w:tr>
    </w:tbl>
    <w:p>
      <w:pPr>
        <w:pStyle w:val="29"/>
        <w:rPr>
          <w:rFonts w:hint="default" w:ascii="Times New Roman" w:hAnsi="Times New Roman" w:eastAsia="宋体" w:cs="Times New Roman"/>
          <w:lang w:val="en-US" w:eastAsia="zh-CN"/>
        </w:rPr>
      </w:pPr>
      <w:r>
        <w:rPr>
          <w:rFonts w:hint="eastAsia" w:cs="Times New Roman"/>
          <w:lang w:val="en-US" w:eastAsia="zh-CN"/>
        </w:rPr>
        <w:t>4.4</w:t>
      </w:r>
      <w:r>
        <w:rPr>
          <w:rFonts w:hint="eastAsia" w:ascii="Times New Roman" w:hAnsi="Times New Roman" w:eastAsia="宋体" w:cs="Times New Roman"/>
          <w:lang w:val="en-US" w:eastAsia="zh-CN"/>
        </w:rPr>
        <w:t xml:space="preserve"> </w:t>
      </w:r>
      <w:r>
        <w:rPr>
          <w:rFonts w:hint="eastAsia" w:cs="Times New Roman"/>
          <w:lang w:val="en-US" w:eastAsia="zh-CN"/>
        </w:rPr>
        <w:t>污染物排放量核算</w:t>
      </w:r>
    </w:p>
    <w:p>
      <w:pPr>
        <w:rPr>
          <w:rFonts w:hint="default" w:eastAsia="宋体"/>
          <w:b/>
          <w:bCs/>
          <w:lang w:val="en-US" w:eastAsia="zh-CN"/>
        </w:rPr>
      </w:pPr>
      <w:r>
        <w:rPr>
          <w:rFonts w:hint="eastAsia"/>
          <w:b/>
          <w:bCs/>
          <w:lang w:eastAsia="zh-CN"/>
        </w:rPr>
        <w:t>(</w:t>
      </w:r>
      <w:r>
        <w:rPr>
          <w:rFonts w:hint="eastAsia"/>
          <w:b/>
          <w:bCs/>
          <w:lang w:val="en-US" w:eastAsia="zh-CN"/>
        </w:rPr>
        <w:t>1</w:t>
      </w:r>
      <w:r>
        <w:rPr>
          <w:rFonts w:hint="eastAsia"/>
          <w:b/>
          <w:bCs/>
          <w:lang w:eastAsia="zh-CN"/>
        </w:rPr>
        <w:t>)</w:t>
      </w:r>
      <w:r>
        <w:rPr>
          <w:rFonts w:hint="eastAsia"/>
          <w:b/>
          <w:bCs/>
          <w:lang w:val="en-US" w:eastAsia="zh-CN"/>
        </w:rPr>
        <w:t xml:space="preserve"> 有组织排放量核算</w:t>
      </w:r>
    </w:p>
    <w:p>
      <w:pPr>
        <w:rPr>
          <w:color w:val="auto"/>
          <w:highlight w:val="none"/>
        </w:rPr>
      </w:pPr>
      <w:r>
        <w:rPr>
          <w:rFonts w:hint="eastAsia"/>
          <w:color w:val="auto"/>
          <w:highlight w:val="none"/>
        </w:rPr>
        <w:t>项目废气污染物有组织排放量核算结果见表</w:t>
      </w:r>
      <w:r>
        <w:rPr>
          <w:rFonts w:hint="eastAsia"/>
          <w:color w:val="auto"/>
          <w:highlight w:val="none"/>
          <w:lang w:val="en-US" w:eastAsia="zh-CN"/>
        </w:rPr>
        <w:t>4.4-1</w:t>
      </w:r>
      <w:r>
        <w:rPr>
          <w:rFonts w:hint="eastAsia"/>
          <w:color w:val="auto"/>
          <w:highlight w:val="none"/>
        </w:rPr>
        <w:t>。</w:t>
      </w:r>
    </w:p>
    <w:p>
      <w:pPr>
        <w:pStyle w:val="21"/>
        <w:rPr>
          <w:color w:val="auto"/>
          <w:highlight w:val="none"/>
          <w:lang w:val="zh-CN"/>
        </w:rPr>
      </w:pPr>
      <w:r>
        <w:rPr>
          <w:color w:val="auto"/>
          <w:highlight w:val="none"/>
          <w:lang w:val="zh-CN"/>
        </w:rPr>
        <w:t>表</w:t>
      </w:r>
      <w:r>
        <w:rPr>
          <w:rFonts w:hint="eastAsia"/>
          <w:color w:val="auto"/>
          <w:highlight w:val="none"/>
          <w:lang w:val="en-US" w:eastAsia="zh-CN"/>
        </w:rPr>
        <w:t xml:space="preserve">4.4-1 </w:t>
      </w:r>
      <w:r>
        <w:rPr>
          <w:color w:val="auto"/>
          <w:highlight w:val="none"/>
          <w:lang w:val="zh-CN"/>
        </w:rPr>
        <w:t xml:space="preserve"> 项目</w:t>
      </w:r>
      <w:r>
        <w:rPr>
          <w:rFonts w:hint="eastAsia"/>
          <w:color w:val="auto"/>
          <w:highlight w:val="none"/>
          <w:lang w:val="zh-CN"/>
        </w:rPr>
        <w:t>废</w:t>
      </w:r>
      <w:r>
        <w:rPr>
          <w:color w:val="auto"/>
          <w:highlight w:val="none"/>
          <w:lang w:val="zh-CN"/>
        </w:rPr>
        <w:t>气污染物有组织排放量核算表</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2049"/>
        <w:gridCol w:w="1283"/>
        <w:gridCol w:w="2679"/>
        <w:gridCol w:w="22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46" w:type="pct"/>
            <w:tcBorders>
              <w:insideH w:val="single" w:sz="6" w:space="0"/>
              <w:tl2br w:val="nil"/>
              <w:tr2bl w:val="nil"/>
            </w:tcBorders>
            <w:shd w:val="clear" w:color="auto" w:fill="auto"/>
            <w:vAlign w:val="center"/>
          </w:tcPr>
          <w:p>
            <w:pPr>
              <w:pStyle w:val="19"/>
              <w:snapToGrid w:val="0"/>
              <w:ind w:firstLine="0" w:firstLineChars="0"/>
              <w:rPr>
                <w:rFonts w:ascii="Times New Roman" w:hAnsi="Times New Roman" w:eastAsia="宋体"/>
                <w:b/>
                <w:bCs/>
                <w:color w:val="auto"/>
                <w:sz w:val="21"/>
                <w:szCs w:val="21"/>
                <w:highlight w:val="none"/>
              </w:rPr>
            </w:pPr>
            <w:r>
              <w:rPr>
                <w:rFonts w:ascii="Times New Roman" w:hAnsi="Times New Roman" w:eastAsia="宋体"/>
                <w:b/>
                <w:bCs/>
                <w:color w:val="auto"/>
                <w:sz w:val="21"/>
                <w:szCs w:val="21"/>
                <w:highlight w:val="none"/>
              </w:rPr>
              <w:t>序号</w:t>
            </w:r>
          </w:p>
        </w:tc>
        <w:tc>
          <w:tcPr>
            <w:tcW w:w="1104" w:type="pct"/>
            <w:tcBorders>
              <w:insideH w:val="single" w:sz="6" w:space="0"/>
              <w:tl2br w:val="nil"/>
              <w:tr2bl w:val="nil"/>
            </w:tcBorders>
            <w:shd w:val="clear" w:color="auto" w:fill="auto"/>
            <w:vAlign w:val="center"/>
          </w:tcPr>
          <w:p>
            <w:pPr>
              <w:pStyle w:val="19"/>
              <w:snapToGrid w:val="0"/>
              <w:ind w:firstLine="0" w:firstLineChars="0"/>
              <w:rPr>
                <w:rFonts w:ascii="Times New Roman" w:hAnsi="Times New Roman" w:eastAsia="宋体"/>
                <w:b/>
                <w:bCs/>
                <w:color w:val="auto"/>
                <w:sz w:val="21"/>
                <w:szCs w:val="21"/>
                <w:highlight w:val="none"/>
              </w:rPr>
            </w:pPr>
            <w:r>
              <w:rPr>
                <w:rFonts w:ascii="Times New Roman" w:hAnsi="Times New Roman" w:eastAsia="宋体"/>
                <w:b/>
                <w:bCs/>
                <w:color w:val="auto"/>
                <w:sz w:val="21"/>
                <w:szCs w:val="21"/>
                <w:highlight w:val="none"/>
              </w:rPr>
              <w:t>排放口编号</w:t>
            </w:r>
          </w:p>
        </w:tc>
        <w:tc>
          <w:tcPr>
            <w:tcW w:w="691" w:type="pct"/>
            <w:tcBorders>
              <w:insideH w:val="single" w:sz="6" w:space="0"/>
              <w:tl2br w:val="nil"/>
              <w:tr2bl w:val="nil"/>
            </w:tcBorders>
            <w:shd w:val="clear" w:color="auto" w:fill="auto"/>
            <w:vAlign w:val="center"/>
          </w:tcPr>
          <w:p>
            <w:pPr>
              <w:pStyle w:val="19"/>
              <w:snapToGrid w:val="0"/>
              <w:ind w:firstLine="0" w:firstLineChars="0"/>
              <w:rPr>
                <w:rFonts w:ascii="Times New Roman" w:hAnsi="Times New Roman" w:eastAsia="宋体"/>
                <w:b/>
                <w:bCs/>
                <w:color w:val="auto"/>
                <w:sz w:val="21"/>
                <w:szCs w:val="21"/>
                <w:highlight w:val="none"/>
              </w:rPr>
            </w:pPr>
            <w:r>
              <w:rPr>
                <w:rFonts w:ascii="Times New Roman" w:hAnsi="Times New Roman" w:eastAsia="宋体"/>
                <w:b/>
                <w:bCs/>
                <w:color w:val="auto"/>
                <w:sz w:val="21"/>
                <w:szCs w:val="21"/>
                <w:highlight w:val="none"/>
              </w:rPr>
              <w:t>污染物</w:t>
            </w:r>
          </w:p>
        </w:tc>
        <w:tc>
          <w:tcPr>
            <w:tcW w:w="1442" w:type="pct"/>
            <w:tcBorders>
              <w:insideH w:val="single" w:sz="6" w:space="0"/>
              <w:tl2br w:val="nil"/>
              <w:tr2bl w:val="nil"/>
            </w:tcBorders>
            <w:shd w:val="clear" w:color="auto" w:fill="auto"/>
            <w:vAlign w:val="center"/>
          </w:tcPr>
          <w:p>
            <w:pPr>
              <w:pStyle w:val="19"/>
              <w:snapToGrid w:val="0"/>
              <w:ind w:firstLine="0" w:firstLineChars="0"/>
              <w:rPr>
                <w:rFonts w:ascii="Times New Roman" w:hAnsi="Times New Roman" w:eastAsia="宋体" w:cs="Times New Roman"/>
                <w:b/>
                <w:bCs/>
                <w:color w:val="auto"/>
                <w:kern w:val="0"/>
                <w:sz w:val="21"/>
                <w:szCs w:val="21"/>
                <w:highlight w:val="none"/>
                <w:lang w:val="en-US" w:eastAsia="zh-CN" w:bidi="ar-SA"/>
              </w:rPr>
            </w:pPr>
            <w:r>
              <w:rPr>
                <w:rFonts w:ascii="Times New Roman" w:hAnsi="Times New Roman" w:eastAsia="宋体"/>
                <w:b/>
                <w:bCs/>
                <w:color w:val="auto"/>
                <w:sz w:val="21"/>
                <w:szCs w:val="21"/>
                <w:highlight w:val="none"/>
              </w:rPr>
              <w:t>核算排放浓度(mg/m</w:t>
            </w:r>
            <w:r>
              <w:rPr>
                <w:rFonts w:ascii="Times New Roman" w:hAnsi="Times New Roman" w:eastAsia="宋体"/>
                <w:b/>
                <w:bCs/>
                <w:color w:val="auto"/>
                <w:sz w:val="21"/>
                <w:szCs w:val="21"/>
                <w:highlight w:val="none"/>
                <w:vertAlign w:val="superscript"/>
              </w:rPr>
              <w:t>3</w:t>
            </w:r>
            <w:r>
              <w:rPr>
                <w:rFonts w:ascii="Times New Roman" w:hAnsi="Times New Roman" w:eastAsia="宋体"/>
                <w:b/>
                <w:bCs/>
                <w:color w:val="auto"/>
                <w:sz w:val="21"/>
                <w:szCs w:val="21"/>
                <w:highlight w:val="none"/>
              </w:rPr>
              <w:t>)</w:t>
            </w:r>
          </w:p>
        </w:tc>
        <w:tc>
          <w:tcPr>
            <w:tcW w:w="1215" w:type="pct"/>
            <w:tcBorders>
              <w:insideH w:val="single" w:sz="6" w:space="0"/>
              <w:tl2br w:val="nil"/>
              <w:tr2bl w:val="nil"/>
            </w:tcBorders>
            <w:shd w:val="clear" w:color="auto" w:fill="auto"/>
            <w:vAlign w:val="center"/>
          </w:tcPr>
          <w:p>
            <w:pPr>
              <w:pStyle w:val="19"/>
              <w:snapToGrid w:val="0"/>
              <w:ind w:firstLine="0" w:firstLineChars="0"/>
              <w:rPr>
                <w:rFonts w:ascii="Times New Roman" w:hAnsi="Times New Roman" w:eastAsia="宋体" w:cs="Times New Roman"/>
                <w:b/>
                <w:bCs/>
                <w:color w:val="auto"/>
                <w:kern w:val="0"/>
                <w:sz w:val="21"/>
                <w:szCs w:val="21"/>
                <w:highlight w:val="none"/>
                <w:lang w:val="en-US" w:eastAsia="zh-CN" w:bidi="ar-SA"/>
              </w:rPr>
            </w:pPr>
            <w:r>
              <w:rPr>
                <w:rFonts w:ascii="Times New Roman" w:hAnsi="Times New Roman" w:eastAsia="宋体"/>
                <w:b/>
                <w:bCs/>
                <w:color w:val="auto"/>
                <w:sz w:val="21"/>
                <w:szCs w:val="21"/>
                <w:highlight w:val="none"/>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shd w:val="clear" w:color="auto" w:fill="auto"/>
            <w:vAlign w:val="center"/>
          </w:tcPr>
          <w:p>
            <w:pPr>
              <w:pStyle w:val="19"/>
              <w:snapToGrid w:val="0"/>
              <w:rPr>
                <w:color w:val="auto"/>
                <w:sz w:val="21"/>
                <w:szCs w:val="21"/>
                <w:highlight w:val="none"/>
              </w:rPr>
            </w:pPr>
            <w:r>
              <w:rPr>
                <w:rFonts w:hint="eastAsia"/>
                <w:color w:val="auto"/>
                <w:sz w:val="21"/>
                <w:szCs w:val="21"/>
                <w:highlight w:val="none"/>
                <w:lang w:val="en-US" w:eastAsia="zh-CN"/>
              </w:rPr>
              <w:t>一般</w:t>
            </w:r>
            <w:r>
              <w:rPr>
                <w:color w:val="auto"/>
                <w:sz w:val="21"/>
                <w:szCs w:val="21"/>
                <w:highlight w:val="none"/>
              </w:rPr>
              <w:t>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Merge w:val="restar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DA001</w:t>
            </w:r>
          </w:p>
        </w:tc>
        <w:tc>
          <w:tcPr>
            <w:tcW w:w="1104" w:type="pct"/>
            <w:vMerge w:val="restar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冶炼废气排气筒</w:t>
            </w:r>
          </w:p>
        </w:tc>
        <w:tc>
          <w:tcPr>
            <w:tcW w:w="691"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颗粒物</w:t>
            </w:r>
          </w:p>
        </w:tc>
        <w:tc>
          <w:tcPr>
            <w:tcW w:w="1442" w:type="pct"/>
            <w:shd w:val="clear" w:color="auto" w:fill="auto"/>
            <w:vAlign w:val="center"/>
          </w:tcPr>
          <w:p>
            <w:pPr>
              <w:pStyle w:val="19"/>
              <w:bidi w:val="0"/>
              <w:snapToGrid w:val="0"/>
              <w:ind w:firstLine="0" w:firstLineChars="0"/>
              <w:rPr>
                <w:rFonts w:hint="default" w:eastAsia="宋体"/>
                <w:color w:val="auto"/>
                <w:sz w:val="21"/>
                <w:szCs w:val="21"/>
                <w:highlight w:val="none"/>
                <w:lang w:val="en-US" w:eastAsia="zh-CN"/>
              </w:rPr>
            </w:pPr>
            <w:r>
              <w:rPr>
                <w:rFonts w:hint="eastAsia"/>
                <w:color w:val="auto"/>
                <w:sz w:val="21"/>
                <w:szCs w:val="21"/>
                <w:highlight w:val="none"/>
                <w:lang w:val="en-US" w:eastAsia="zh-CN"/>
              </w:rPr>
              <w:t>5.93</w:t>
            </w:r>
          </w:p>
        </w:tc>
        <w:tc>
          <w:tcPr>
            <w:tcW w:w="1215" w:type="pct"/>
            <w:shd w:val="clear" w:color="auto" w:fill="auto"/>
            <w:vAlign w:val="center"/>
          </w:tcPr>
          <w:p>
            <w:pPr>
              <w:pStyle w:val="19"/>
              <w:bidi w:val="0"/>
              <w:snapToGrid w:val="0"/>
              <w:ind w:firstLine="0" w:firstLineChars="0"/>
              <w:rPr>
                <w:rFonts w:hint="default" w:eastAsia="宋体"/>
                <w:color w:val="auto"/>
                <w:sz w:val="21"/>
                <w:szCs w:val="21"/>
                <w:highlight w:val="none"/>
                <w:lang w:val="en-US" w:eastAsia="zh-CN"/>
              </w:rPr>
            </w:pPr>
            <w:r>
              <w:rPr>
                <w:rFonts w:hint="eastAsia"/>
                <w:color w:val="auto"/>
                <w:sz w:val="21"/>
                <w:szCs w:val="21"/>
                <w:highlight w:val="none"/>
                <w:lang w:val="en-US" w:eastAsia="zh-CN"/>
              </w:rPr>
              <w:t>8.01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Merge w:val="continue"/>
            <w:shd w:val="clear" w:color="auto" w:fill="auto"/>
            <w:vAlign w:val="center"/>
          </w:tcPr>
          <w:p>
            <w:pPr>
              <w:pStyle w:val="19"/>
              <w:snapToGrid w:val="0"/>
              <w:rPr>
                <w:color w:val="auto"/>
                <w:sz w:val="21"/>
                <w:szCs w:val="21"/>
                <w:highlight w:val="none"/>
              </w:rPr>
            </w:pPr>
          </w:p>
        </w:tc>
        <w:tc>
          <w:tcPr>
            <w:tcW w:w="1104" w:type="pct"/>
            <w:vMerge w:val="continue"/>
            <w:shd w:val="clear" w:color="auto" w:fill="auto"/>
            <w:vAlign w:val="center"/>
          </w:tcPr>
          <w:p>
            <w:pPr>
              <w:pStyle w:val="19"/>
              <w:snapToGrid w:val="0"/>
              <w:rPr>
                <w:color w:val="auto"/>
                <w:sz w:val="21"/>
                <w:szCs w:val="21"/>
                <w:highlight w:val="none"/>
              </w:rPr>
            </w:pPr>
          </w:p>
        </w:tc>
        <w:tc>
          <w:tcPr>
            <w:tcW w:w="691"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氟化物</w:t>
            </w:r>
          </w:p>
        </w:tc>
        <w:tc>
          <w:tcPr>
            <w:tcW w:w="1442" w:type="pct"/>
            <w:shd w:val="clear" w:color="auto" w:fill="auto"/>
            <w:vAlign w:val="center"/>
          </w:tcPr>
          <w:p>
            <w:pPr>
              <w:pStyle w:val="19"/>
              <w:bidi w:val="0"/>
              <w:snapToGrid w:val="0"/>
              <w:ind w:firstLine="0" w:firstLineChars="0"/>
              <w:rPr>
                <w:rFonts w:hint="default" w:eastAsia="宋体"/>
                <w:color w:val="auto"/>
                <w:sz w:val="21"/>
                <w:szCs w:val="21"/>
                <w:highlight w:val="none"/>
                <w:lang w:val="en-US" w:eastAsia="zh-CN"/>
              </w:rPr>
            </w:pPr>
            <w:r>
              <w:rPr>
                <w:rFonts w:hint="eastAsia"/>
                <w:color w:val="auto"/>
                <w:sz w:val="21"/>
                <w:szCs w:val="21"/>
                <w:highlight w:val="none"/>
                <w:lang w:val="en-US" w:eastAsia="zh-CN"/>
              </w:rPr>
              <w:t>0.06</w:t>
            </w:r>
          </w:p>
        </w:tc>
        <w:tc>
          <w:tcPr>
            <w:tcW w:w="1215" w:type="pct"/>
            <w:shd w:val="clear" w:color="auto" w:fill="auto"/>
            <w:vAlign w:val="center"/>
          </w:tcPr>
          <w:p>
            <w:pPr>
              <w:pStyle w:val="19"/>
              <w:bidi w:val="0"/>
              <w:snapToGrid w:val="0"/>
              <w:ind w:firstLine="0" w:firstLineChars="0"/>
              <w:rPr>
                <w:rFonts w:hint="default" w:eastAsia="宋体"/>
                <w:color w:val="auto"/>
                <w:sz w:val="21"/>
                <w:szCs w:val="21"/>
                <w:highlight w:val="none"/>
                <w:lang w:val="en-US" w:eastAsia="zh-CN"/>
              </w:rPr>
            </w:pPr>
            <w:r>
              <w:rPr>
                <w:rFonts w:hint="eastAsia"/>
                <w:color w:val="auto"/>
                <w:sz w:val="21"/>
                <w:szCs w:val="21"/>
                <w:highlight w:val="none"/>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Merge w:val="continue"/>
            <w:shd w:val="clear" w:color="auto" w:fill="auto"/>
            <w:vAlign w:val="center"/>
          </w:tcPr>
          <w:p>
            <w:pPr>
              <w:pStyle w:val="19"/>
              <w:snapToGrid w:val="0"/>
              <w:rPr>
                <w:color w:val="auto"/>
                <w:sz w:val="21"/>
                <w:szCs w:val="21"/>
                <w:highlight w:val="none"/>
              </w:rPr>
            </w:pPr>
          </w:p>
        </w:tc>
        <w:tc>
          <w:tcPr>
            <w:tcW w:w="1104" w:type="pct"/>
            <w:vMerge w:val="continue"/>
            <w:shd w:val="clear" w:color="auto" w:fill="auto"/>
            <w:vAlign w:val="center"/>
          </w:tcPr>
          <w:p>
            <w:pPr>
              <w:pStyle w:val="19"/>
              <w:snapToGrid w:val="0"/>
              <w:rPr>
                <w:color w:val="auto"/>
                <w:sz w:val="21"/>
                <w:szCs w:val="21"/>
                <w:highlight w:val="none"/>
              </w:rPr>
            </w:pPr>
          </w:p>
        </w:tc>
        <w:tc>
          <w:tcPr>
            <w:tcW w:w="691" w:type="pct"/>
            <w:shd w:val="clear" w:color="auto" w:fill="auto"/>
            <w:vAlign w:val="center"/>
          </w:tcPr>
          <w:p>
            <w:pPr>
              <w:pStyle w:val="19"/>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二噁英</w:t>
            </w:r>
          </w:p>
        </w:tc>
        <w:tc>
          <w:tcPr>
            <w:tcW w:w="1442" w:type="pct"/>
            <w:shd w:val="clear" w:color="auto" w:fill="auto"/>
            <w:vAlign w:val="center"/>
          </w:tcPr>
          <w:p>
            <w:pPr>
              <w:pStyle w:val="19"/>
              <w:bidi w:val="0"/>
              <w:snapToGrid w:val="0"/>
              <w:ind w:firstLine="0" w:firstLineChars="0"/>
              <w:rPr>
                <w:rFonts w:hint="default" w:eastAsia="宋体"/>
                <w:color w:val="auto"/>
                <w:sz w:val="21"/>
                <w:szCs w:val="21"/>
                <w:highlight w:val="none"/>
                <w:lang w:val="en-US" w:eastAsia="zh-CN"/>
              </w:rPr>
            </w:pPr>
            <w:r>
              <w:rPr>
                <w:rFonts w:hint="eastAsia"/>
                <w:color w:val="auto"/>
                <w:sz w:val="21"/>
                <w:szCs w:val="21"/>
                <w:highlight w:val="none"/>
                <w:lang w:val="en-US" w:eastAsia="zh-CN"/>
              </w:rPr>
              <w:t>0.02</w:t>
            </w:r>
            <w:r>
              <w:rPr>
                <w:rFonts w:hint="eastAsia" w:ascii="Times New Roman" w:hAnsi="Times New Roman" w:cs="Times New Roman"/>
                <w:sz w:val="21"/>
                <w:szCs w:val="21"/>
              </w:rPr>
              <w:t>ng</w:t>
            </w:r>
            <w:r>
              <w:rPr>
                <w:rFonts w:hint="eastAsia" w:cs="Times New Roman"/>
                <w:sz w:val="21"/>
                <w:szCs w:val="21"/>
                <w:lang w:val="en-US" w:eastAsia="zh-CN"/>
              </w:rPr>
              <w:t xml:space="preserve"> </w:t>
            </w:r>
            <w:r>
              <w:rPr>
                <w:rFonts w:hint="eastAsia" w:ascii="Times New Roman" w:hAnsi="Times New Roman" w:cs="Times New Roman"/>
                <w:sz w:val="21"/>
                <w:szCs w:val="21"/>
              </w:rPr>
              <w:t>TEQ/m</w:t>
            </w:r>
            <w:r>
              <w:rPr>
                <w:rFonts w:hint="eastAsia" w:ascii="Times New Roman" w:hAnsi="Times New Roman" w:cs="Times New Roman"/>
                <w:sz w:val="21"/>
                <w:szCs w:val="21"/>
                <w:vertAlign w:val="superscript"/>
              </w:rPr>
              <w:t>3</w:t>
            </w:r>
          </w:p>
        </w:tc>
        <w:tc>
          <w:tcPr>
            <w:tcW w:w="1215" w:type="pct"/>
            <w:shd w:val="clear" w:color="auto" w:fill="auto"/>
            <w:vAlign w:val="center"/>
          </w:tcPr>
          <w:p>
            <w:pPr>
              <w:pStyle w:val="19"/>
              <w:bidi w:val="0"/>
              <w:snapToGrid w:val="0"/>
              <w:ind w:firstLine="0" w:firstLineChars="0"/>
              <w:rPr>
                <w:color w:val="auto"/>
                <w:sz w:val="21"/>
                <w:szCs w:val="21"/>
                <w:highlight w:val="none"/>
              </w:rPr>
            </w:pPr>
            <w:r>
              <w:rPr>
                <w:rFonts w:hint="eastAsia"/>
                <w:color w:val="auto"/>
                <w:sz w:val="21"/>
                <w:szCs w:val="21"/>
                <w:highlight w:val="none"/>
                <w:lang w:val="en-US" w:eastAsia="zh-CN"/>
              </w:rPr>
              <w:t>2.20</w:t>
            </w:r>
            <w:r>
              <w:rPr>
                <w:rFonts w:hint="eastAsia"/>
                <w:color w:val="auto"/>
                <w:sz w:val="21"/>
                <w:szCs w:val="21"/>
                <w:highlight w:val="none"/>
              </w:rPr>
              <w:t>×10</w:t>
            </w:r>
            <w:r>
              <w:rPr>
                <w:rFonts w:hint="eastAsia"/>
                <w:color w:val="auto"/>
                <w:sz w:val="21"/>
                <w:szCs w:val="21"/>
                <w:highlight w:val="none"/>
                <w:vertAlign w:val="superscript"/>
              </w:rPr>
              <w:t>-8</w:t>
            </w:r>
            <w:r>
              <w:rPr>
                <w:rFonts w:hint="eastAsia"/>
                <w:color w:val="auto"/>
                <w:sz w:val="21"/>
                <w:szCs w:val="21"/>
                <w:highlight w:val="none"/>
              </w:rPr>
              <w:t>t TEQ/a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Merge w:val="restar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DA002</w:t>
            </w:r>
          </w:p>
        </w:tc>
        <w:tc>
          <w:tcPr>
            <w:tcW w:w="1104" w:type="pct"/>
            <w:vMerge w:val="restar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加热炉排气筒</w:t>
            </w:r>
          </w:p>
        </w:tc>
        <w:tc>
          <w:tcPr>
            <w:tcW w:w="691" w:type="pct"/>
            <w:shd w:val="clear" w:color="auto" w:fill="auto"/>
            <w:vAlign w:val="center"/>
          </w:tcPr>
          <w:p>
            <w:pPr>
              <w:pStyle w:val="19"/>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颗粒物</w:t>
            </w:r>
          </w:p>
        </w:tc>
        <w:tc>
          <w:tcPr>
            <w:tcW w:w="1442" w:type="pct"/>
            <w:shd w:val="clear" w:color="auto" w:fill="auto"/>
            <w:vAlign w:val="center"/>
          </w:tcPr>
          <w:p>
            <w:pPr>
              <w:pStyle w:val="19"/>
              <w:bidi w:val="0"/>
              <w:snapToGrid w:val="0"/>
              <w:rPr>
                <w:rFonts w:hint="default"/>
                <w:sz w:val="21"/>
                <w:szCs w:val="21"/>
                <w:lang w:val="en-US" w:eastAsia="zh-CN"/>
              </w:rPr>
            </w:pPr>
            <w:r>
              <w:rPr>
                <w:rFonts w:hint="eastAsia"/>
                <w:sz w:val="21"/>
                <w:szCs w:val="21"/>
                <w:lang w:val="en-US" w:eastAsia="zh-CN"/>
              </w:rPr>
              <w:t xml:space="preserve">21.11 </w:t>
            </w:r>
          </w:p>
        </w:tc>
        <w:tc>
          <w:tcPr>
            <w:tcW w:w="1215" w:type="pct"/>
            <w:shd w:val="clear" w:color="auto" w:fill="auto"/>
            <w:vAlign w:val="center"/>
          </w:tcPr>
          <w:p>
            <w:pPr>
              <w:pStyle w:val="19"/>
              <w:bidi w:val="0"/>
              <w:snapToGrid w:val="0"/>
              <w:rPr>
                <w:rFonts w:hint="default"/>
                <w:sz w:val="21"/>
                <w:szCs w:val="21"/>
                <w:lang w:val="en-US" w:eastAsia="zh-CN"/>
              </w:rPr>
            </w:pPr>
            <w:r>
              <w:rPr>
                <w:rFonts w:hint="eastAsia"/>
                <w:sz w:val="21"/>
                <w:szCs w:val="21"/>
                <w:lang w:val="en-US" w:eastAsia="zh-CN"/>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Merge w:val="continue"/>
            <w:shd w:val="clear" w:color="auto" w:fill="auto"/>
            <w:vAlign w:val="center"/>
          </w:tcPr>
          <w:p>
            <w:pPr>
              <w:pStyle w:val="19"/>
              <w:snapToGrid w:val="0"/>
              <w:rPr>
                <w:color w:val="auto"/>
                <w:sz w:val="21"/>
                <w:szCs w:val="21"/>
                <w:highlight w:val="none"/>
              </w:rPr>
            </w:pPr>
          </w:p>
        </w:tc>
        <w:tc>
          <w:tcPr>
            <w:tcW w:w="1104" w:type="pct"/>
            <w:vMerge w:val="continue"/>
            <w:shd w:val="clear" w:color="auto" w:fill="auto"/>
            <w:vAlign w:val="center"/>
          </w:tcPr>
          <w:p>
            <w:pPr>
              <w:pStyle w:val="19"/>
              <w:snapToGrid w:val="0"/>
              <w:rPr>
                <w:color w:val="auto"/>
                <w:sz w:val="21"/>
                <w:szCs w:val="21"/>
                <w:highlight w:val="none"/>
              </w:rPr>
            </w:pPr>
          </w:p>
        </w:tc>
        <w:tc>
          <w:tcPr>
            <w:tcW w:w="691" w:type="pct"/>
            <w:shd w:val="clear" w:color="auto" w:fill="auto"/>
            <w:vAlign w:val="center"/>
          </w:tcPr>
          <w:p>
            <w:pPr>
              <w:pStyle w:val="19"/>
              <w:snapToGrid w:val="0"/>
              <w:rPr>
                <w:rFonts w:hint="default" w:eastAsia="宋体"/>
                <w:color w:val="auto"/>
                <w:sz w:val="21"/>
                <w:szCs w:val="21"/>
                <w:highlight w:val="none"/>
                <w:lang w:val="en-US" w:eastAsia="zh-CN"/>
              </w:rPr>
            </w:pPr>
            <w:r>
              <w:rPr>
                <w:rFonts w:hint="eastAsia"/>
                <w:color w:val="auto"/>
                <w:sz w:val="21"/>
                <w:szCs w:val="21"/>
                <w:highlight w:val="none"/>
                <w:lang w:val="en-US" w:eastAsia="zh-CN"/>
              </w:rPr>
              <w:t>二氧化硫</w:t>
            </w:r>
          </w:p>
        </w:tc>
        <w:tc>
          <w:tcPr>
            <w:tcW w:w="1442" w:type="pct"/>
            <w:shd w:val="clear" w:color="auto" w:fill="auto"/>
            <w:vAlign w:val="center"/>
          </w:tcPr>
          <w:p>
            <w:pPr>
              <w:pStyle w:val="19"/>
              <w:bidi w:val="0"/>
              <w:snapToGrid w:val="0"/>
              <w:rPr>
                <w:rFonts w:hint="default"/>
                <w:sz w:val="21"/>
                <w:szCs w:val="21"/>
                <w:lang w:val="en-US" w:eastAsia="zh-CN"/>
              </w:rPr>
            </w:pPr>
            <w:r>
              <w:rPr>
                <w:rFonts w:hint="eastAsia"/>
                <w:sz w:val="21"/>
                <w:szCs w:val="21"/>
                <w:lang w:val="en-US" w:eastAsia="zh-CN"/>
              </w:rPr>
              <w:t xml:space="preserve">14.98 </w:t>
            </w:r>
          </w:p>
        </w:tc>
        <w:tc>
          <w:tcPr>
            <w:tcW w:w="1215" w:type="pct"/>
            <w:shd w:val="clear" w:color="auto" w:fill="auto"/>
            <w:vAlign w:val="center"/>
          </w:tcPr>
          <w:p>
            <w:pPr>
              <w:pStyle w:val="19"/>
              <w:bidi w:val="0"/>
              <w:snapToGrid w:val="0"/>
              <w:rPr>
                <w:rFonts w:hint="default"/>
                <w:sz w:val="21"/>
                <w:szCs w:val="21"/>
                <w:lang w:val="en-US" w:eastAsia="zh-CN"/>
              </w:rPr>
            </w:pPr>
            <w:r>
              <w:rPr>
                <w:rFonts w:hint="eastAsia"/>
                <w:sz w:val="21"/>
                <w:szCs w:val="21"/>
                <w:lang w:val="en-US" w:eastAsia="zh-CN"/>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6" w:type="pct"/>
            <w:vMerge w:val="continue"/>
            <w:shd w:val="clear" w:color="auto" w:fill="auto"/>
            <w:vAlign w:val="center"/>
          </w:tcPr>
          <w:p>
            <w:pPr>
              <w:pStyle w:val="19"/>
              <w:snapToGrid w:val="0"/>
              <w:rPr>
                <w:color w:val="auto"/>
                <w:sz w:val="21"/>
                <w:szCs w:val="21"/>
                <w:highlight w:val="none"/>
              </w:rPr>
            </w:pPr>
          </w:p>
        </w:tc>
        <w:tc>
          <w:tcPr>
            <w:tcW w:w="1104" w:type="pct"/>
            <w:vMerge w:val="continue"/>
            <w:shd w:val="clear" w:color="auto" w:fill="auto"/>
            <w:vAlign w:val="center"/>
          </w:tcPr>
          <w:p>
            <w:pPr>
              <w:pStyle w:val="19"/>
              <w:snapToGrid w:val="0"/>
              <w:rPr>
                <w:color w:val="auto"/>
                <w:sz w:val="21"/>
                <w:szCs w:val="21"/>
                <w:highlight w:val="none"/>
              </w:rPr>
            </w:pPr>
          </w:p>
        </w:tc>
        <w:tc>
          <w:tcPr>
            <w:tcW w:w="691" w:type="pct"/>
            <w:shd w:val="clear" w:color="auto" w:fill="auto"/>
            <w:vAlign w:val="center"/>
          </w:tcPr>
          <w:p>
            <w:pPr>
              <w:pStyle w:val="19"/>
              <w:snapToGrid w:val="0"/>
              <w:rPr>
                <w:rFonts w:hint="eastAsia" w:eastAsia="宋体"/>
                <w:color w:val="auto"/>
                <w:sz w:val="21"/>
                <w:szCs w:val="21"/>
                <w:highlight w:val="none"/>
                <w:lang w:val="en-US" w:eastAsia="zh-CN"/>
              </w:rPr>
            </w:pPr>
            <w:r>
              <w:rPr>
                <w:rFonts w:hint="eastAsia"/>
                <w:color w:val="auto"/>
                <w:sz w:val="21"/>
                <w:szCs w:val="21"/>
                <w:highlight w:val="none"/>
                <w:lang w:val="en-US" w:eastAsia="zh-CN"/>
              </w:rPr>
              <w:t>氮氧化物</w:t>
            </w:r>
          </w:p>
        </w:tc>
        <w:tc>
          <w:tcPr>
            <w:tcW w:w="1442" w:type="pct"/>
            <w:shd w:val="clear" w:color="auto" w:fill="auto"/>
            <w:vAlign w:val="center"/>
          </w:tcPr>
          <w:p>
            <w:pPr>
              <w:pStyle w:val="19"/>
              <w:bidi w:val="0"/>
              <w:snapToGrid w:val="0"/>
              <w:rPr>
                <w:rFonts w:hint="default"/>
                <w:sz w:val="21"/>
                <w:szCs w:val="21"/>
                <w:lang w:val="en-US" w:eastAsia="zh-CN"/>
              </w:rPr>
            </w:pPr>
            <w:r>
              <w:rPr>
                <w:rFonts w:hint="eastAsia"/>
                <w:sz w:val="21"/>
                <w:szCs w:val="21"/>
                <w:lang w:val="en-US" w:eastAsia="zh-CN"/>
              </w:rPr>
              <w:t xml:space="preserve">34.38 </w:t>
            </w:r>
          </w:p>
        </w:tc>
        <w:tc>
          <w:tcPr>
            <w:tcW w:w="1215" w:type="pct"/>
            <w:shd w:val="clear" w:color="auto" w:fill="auto"/>
            <w:vAlign w:val="center"/>
          </w:tcPr>
          <w:p>
            <w:pPr>
              <w:pStyle w:val="19"/>
              <w:bidi w:val="0"/>
              <w:snapToGrid w:val="0"/>
              <w:rPr>
                <w:rFonts w:hint="default"/>
                <w:sz w:val="21"/>
                <w:szCs w:val="21"/>
                <w:lang w:val="en-US" w:eastAsia="zh-CN"/>
              </w:rPr>
            </w:pPr>
            <w:r>
              <w:rPr>
                <w:rFonts w:hint="eastAsia"/>
                <w:sz w:val="21"/>
                <w:szCs w:val="21"/>
                <w:lang w:val="en-US" w:eastAsia="zh-CN"/>
              </w:rPr>
              <w:t xml:space="preserve">0.51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restart"/>
            <w:shd w:val="clear" w:color="auto" w:fill="auto"/>
            <w:vAlign w:val="center"/>
          </w:tcPr>
          <w:p>
            <w:pPr>
              <w:pStyle w:val="19"/>
              <w:snapToGrid w:val="0"/>
              <w:rPr>
                <w:color w:val="auto"/>
                <w:sz w:val="21"/>
                <w:szCs w:val="21"/>
                <w:highlight w:val="none"/>
              </w:rPr>
            </w:pPr>
            <w:r>
              <w:rPr>
                <w:rFonts w:hint="eastAsia"/>
                <w:color w:val="auto"/>
                <w:sz w:val="21"/>
                <w:szCs w:val="21"/>
                <w:highlight w:val="none"/>
                <w:lang w:val="en-US" w:eastAsia="zh-CN"/>
              </w:rPr>
              <w:t>一般</w:t>
            </w:r>
            <w:r>
              <w:rPr>
                <w:color w:val="auto"/>
                <w:sz w:val="21"/>
                <w:szCs w:val="21"/>
                <w:highlight w:val="none"/>
              </w:rPr>
              <w:t>排放口合计</w:t>
            </w:r>
          </w:p>
        </w:tc>
        <w:tc>
          <w:tcPr>
            <w:tcW w:w="2134" w:type="pct"/>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颗粒物</w:t>
            </w:r>
          </w:p>
        </w:tc>
        <w:tc>
          <w:tcPr>
            <w:tcW w:w="1215" w:type="pct"/>
            <w:shd w:val="clear" w:color="auto" w:fill="auto"/>
            <w:vAlign w:val="center"/>
          </w:tcPr>
          <w:p>
            <w:pPr>
              <w:pStyle w:val="19"/>
              <w:snapToGrid w:val="0"/>
              <w:ind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continue"/>
            <w:shd w:val="clear" w:color="auto" w:fill="auto"/>
            <w:vAlign w:val="center"/>
          </w:tcPr>
          <w:p>
            <w:pPr>
              <w:pStyle w:val="19"/>
              <w:snapToGrid w:val="0"/>
              <w:rPr>
                <w:color w:val="auto"/>
                <w:sz w:val="21"/>
                <w:szCs w:val="21"/>
                <w:highlight w:val="none"/>
              </w:rPr>
            </w:pPr>
          </w:p>
        </w:tc>
        <w:tc>
          <w:tcPr>
            <w:tcW w:w="2134" w:type="pct"/>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二氧化硫</w:t>
            </w:r>
          </w:p>
        </w:tc>
        <w:tc>
          <w:tcPr>
            <w:tcW w:w="2257" w:type="dxa"/>
            <w:shd w:val="clear" w:color="auto" w:fill="auto"/>
            <w:vAlign w:val="center"/>
          </w:tcPr>
          <w:p>
            <w:pPr>
              <w:pStyle w:val="19"/>
              <w:bidi w:val="0"/>
              <w:snapToGrid w:val="0"/>
              <w:ind w:firstLine="0" w:firstLineChars="0"/>
              <w:rPr>
                <w:rFonts w:hint="eastAsia"/>
                <w:color w:val="auto"/>
                <w:sz w:val="21"/>
                <w:szCs w:val="21"/>
                <w:highlight w:val="none"/>
                <w:lang w:val="en-US" w:eastAsia="zh-CN"/>
              </w:rPr>
            </w:pPr>
            <w:r>
              <w:rPr>
                <w:rFonts w:hint="eastAsia"/>
                <w:sz w:val="21"/>
                <w:szCs w:val="21"/>
                <w:lang w:val="en-US" w:eastAsia="zh-CN"/>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continue"/>
            <w:shd w:val="clear" w:color="auto" w:fill="auto"/>
            <w:vAlign w:val="center"/>
          </w:tcPr>
          <w:p>
            <w:pPr>
              <w:pStyle w:val="19"/>
              <w:snapToGrid w:val="0"/>
              <w:rPr>
                <w:color w:val="auto"/>
                <w:sz w:val="21"/>
                <w:szCs w:val="21"/>
                <w:highlight w:val="none"/>
              </w:rPr>
            </w:pPr>
          </w:p>
        </w:tc>
        <w:tc>
          <w:tcPr>
            <w:tcW w:w="2134" w:type="pct"/>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氮氧化物</w:t>
            </w:r>
          </w:p>
        </w:tc>
        <w:tc>
          <w:tcPr>
            <w:tcW w:w="2257" w:type="dxa"/>
            <w:shd w:val="clear" w:color="auto" w:fill="auto"/>
            <w:vAlign w:val="center"/>
          </w:tcPr>
          <w:p>
            <w:pPr>
              <w:pStyle w:val="19"/>
              <w:bidi w:val="0"/>
              <w:snapToGrid w:val="0"/>
              <w:ind w:firstLine="0" w:firstLineChars="0"/>
              <w:rPr>
                <w:rFonts w:hint="eastAsia"/>
                <w:color w:val="auto"/>
                <w:sz w:val="21"/>
                <w:szCs w:val="21"/>
                <w:highlight w:val="none"/>
                <w:lang w:val="en-US" w:eastAsia="zh-CN"/>
              </w:rPr>
            </w:pPr>
            <w:r>
              <w:rPr>
                <w:rFonts w:hint="eastAsia"/>
                <w:sz w:val="21"/>
                <w:szCs w:val="21"/>
                <w:lang w:val="en-US" w:eastAsia="zh-CN"/>
              </w:rPr>
              <w:t xml:space="preserve">0.51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continue"/>
            <w:shd w:val="clear" w:color="auto" w:fill="auto"/>
            <w:vAlign w:val="center"/>
          </w:tcPr>
          <w:p>
            <w:pPr>
              <w:pStyle w:val="19"/>
              <w:snapToGrid w:val="0"/>
              <w:rPr>
                <w:color w:val="auto"/>
                <w:sz w:val="21"/>
                <w:szCs w:val="21"/>
                <w:highlight w:val="none"/>
              </w:rPr>
            </w:pPr>
          </w:p>
        </w:tc>
        <w:tc>
          <w:tcPr>
            <w:tcW w:w="2134" w:type="pct"/>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氟化物</w:t>
            </w:r>
          </w:p>
        </w:tc>
        <w:tc>
          <w:tcPr>
            <w:tcW w:w="2257" w:type="dxa"/>
            <w:shd w:val="clear" w:color="auto" w:fill="auto"/>
            <w:vAlign w:val="center"/>
          </w:tcPr>
          <w:p>
            <w:pPr>
              <w:pStyle w:val="19"/>
              <w:bidi w:val="0"/>
              <w:snapToGrid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continue"/>
            <w:shd w:val="clear" w:color="auto" w:fill="auto"/>
            <w:vAlign w:val="center"/>
          </w:tcPr>
          <w:p>
            <w:pPr>
              <w:pStyle w:val="19"/>
              <w:snapToGrid w:val="0"/>
              <w:rPr>
                <w:color w:val="auto"/>
                <w:sz w:val="21"/>
                <w:szCs w:val="21"/>
                <w:highlight w:val="none"/>
              </w:rPr>
            </w:pPr>
          </w:p>
        </w:tc>
        <w:tc>
          <w:tcPr>
            <w:tcW w:w="2134" w:type="pct"/>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二噁英</w:t>
            </w:r>
          </w:p>
        </w:tc>
        <w:tc>
          <w:tcPr>
            <w:tcW w:w="2257" w:type="dxa"/>
            <w:shd w:val="clear" w:color="auto" w:fill="auto"/>
            <w:vAlign w:val="center"/>
          </w:tcPr>
          <w:p>
            <w:pPr>
              <w:pStyle w:val="19"/>
              <w:bidi w:val="0"/>
              <w:snapToGrid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2.20</w:t>
            </w:r>
            <w:r>
              <w:rPr>
                <w:rFonts w:hint="eastAsia"/>
                <w:color w:val="auto"/>
                <w:sz w:val="21"/>
                <w:szCs w:val="21"/>
                <w:highlight w:val="none"/>
              </w:rPr>
              <w:t>×10</w:t>
            </w:r>
            <w:r>
              <w:rPr>
                <w:rFonts w:hint="eastAsia"/>
                <w:color w:val="auto"/>
                <w:sz w:val="21"/>
                <w:szCs w:val="21"/>
                <w:highlight w:val="none"/>
                <w:vertAlign w:val="superscript"/>
              </w:rPr>
              <w:t>-8</w:t>
            </w:r>
            <w:r>
              <w:rPr>
                <w:rFonts w:hint="eastAsia"/>
                <w:color w:val="auto"/>
                <w:sz w:val="21"/>
                <w:szCs w:val="21"/>
                <w:highlight w:val="none"/>
              </w:rPr>
              <w:t>t TEQ/a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5"/>
            <w:shd w:val="clear" w:color="auto" w:fill="auto"/>
            <w:vAlign w:val="center"/>
          </w:tcPr>
          <w:p>
            <w:pPr>
              <w:pStyle w:val="19"/>
              <w:snapToGrid w:val="0"/>
              <w:rPr>
                <w:color w:val="auto"/>
                <w:sz w:val="21"/>
                <w:szCs w:val="21"/>
                <w:highlight w:val="none"/>
              </w:rPr>
            </w:pPr>
            <w:r>
              <w:rPr>
                <w:b/>
                <w:bCs/>
                <w:color w:val="auto"/>
                <w:sz w:val="21"/>
                <w:szCs w:val="21"/>
                <w:highlight w:val="none"/>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restart"/>
            <w:shd w:val="clear" w:color="auto" w:fill="auto"/>
            <w:vAlign w:val="center"/>
          </w:tcPr>
          <w:p>
            <w:pPr>
              <w:pStyle w:val="19"/>
              <w:snapToGrid w:val="0"/>
              <w:rPr>
                <w:color w:val="auto"/>
                <w:sz w:val="21"/>
                <w:szCs w:val="21"/>
                <w:highlight w:val="none"/>
              </w:rPr>
            </w:pPr>
            <w:r>
              <w:rPr>
                <w:color w:val="auto"/>
                <w:sz w:val="21"/>
                <w:szCs w:val="21"/>
                <w:highlight w:val="none"/>
              </w:rPr>
              <w:t>有组织排放总计</w:t>
            </w:r>
          </w:p>
        </w:tc>
        <w:tc>
          <w:tcPr>
            <w:tcW w:w="3962" w:type="dxa"/>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颗粒物</w:t>
            </w:r>
          </w:p>
        </w:tc>
        <w:tc>
          <w:tcPr>
            <w:tcW w:w="2257" w:type="dxa"/>
            <w:shd w:val="clear" w:color="auto" w:fill="auto"/>
            <w:vAlign w:val="center"/>
          </w:tcPr>
          <w:p>
            <w:pPr>
              <w:pStyle w:val="19"/>
              <w:snapToGrid w:val="0"/>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continue"/>
            <w:shd w:val="clear" w:color="auto" w:fill="auto"/>
            <w:vAlign w:val="center"/>
          </w:tcPr>
          <w:p>
            <w:pPr>
              <w:pStyle w:val="19"/>
              <w:snapToGrid w:val="0"/>
              <w:rPr>
                <w:color w:val="auto"/>
                <w:sz w:val="21"/>
                <w:szCs w:val="21"/>
                <w:highlight w:val="none"/>
              </w:rPr>
            </w:pPr>
          </w:p>
        </w:tc>
        <w:tc>
          <w:tcPr>
            <w:tcW w:w="3962" w:type="dxa"/>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二氧化硫</w:t>
            </w:r>
          </w:p>
        </w:tc>
        <w:tc>
          <w:tcPr>
            <w:tcW w:w="2257" w:type="dxa"/>
            <w:shd w:val="clear" w:color="auto" w:fill="auto"/>
            <w:vAlign w:val="center"/>
          </w:tcPr>
          <w:p>
            <w:pPr>
              <w:pStyle w:val="19"/>
              <w:bidi w:val="0"/>
              <w:snapToGrid w:val="0"/>
              <w:ind w:firstLine="0" w:firstLineChars="0"/>
              <w:rPr>
                <w:color w:val="auto"/>
                <w:sz w:val="21"/>
                <w:szCs w:val="21"/>
                <w:highlight w:val="none"/>
              </w:rPr>
            </w:pPr>
            <w:r>
              <w:rPr>
                <w:rFonts w:hint="eastAsia"/>
                <w:sz w:val="21"/>
                <w:szCs w:val="21"/>
                <w:lang w:val="en-US" w:eastAsia="zh-CN"/>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continue"/>
            <w:shd w:val="clear" w:color="auto" w:fill="auto"/>
            <w:vAlign w:val="center"/>
          </w:tcPr>
          <w:p>
            <w:pPr>
              <w:pStyle w:val="19"/>
              <w:snapToGrid w:val="0"/>
              <w:rPr>
                <w:color w:val="auto"/>
                <w:sz w:val="21"/>
                <w:szCs w:val="21"/>
                <w:highlight w:val="none"/>
              </w:rPr>
            </w:pPr>
          </w:p>
        </w:tc>
        <w:tc>
          <w:tcPr>
            <w:tcW w:w="3962" w:type="dxa"/>
            <w:gridSpan w:val="2"/>
            <w:shd w:val="clear" w:color="auto" w:fill="auto"/>
            <w:vAlign w:val="center"/>
          </w:tcPr>
          <w:p>
            <w:pPr>
              <w:pStyle w:val="19"/>
              <w:snapToGrid w:val="0"/>
              <w:ind w:firstLine="0" w:firstLineChars="0"/>
              <w:rPr>
                <w:color w:val="auto"/>
                <w:sz w:val="21"/>
                <w:szCs w:val="21"/>
                <w:highlight w:val="none"/>
              </w:rPr>
            </w:pPr>
            <w:r>
              <w:rPr>
                <w:rFonts w:hint="eastAsia"/>
                <w:color w:val="auto"/>
                <w:sz w:val="21"/>
                <w:szCs w:val="21"/>
                <w:highlight w:val="none"/>
                <w:lang w:val="en-US" w:eastAsia="zh-CN"/>
              </w:rPr>
              <w:t>氮氧化物</w:t>
            </w:r>
          </w:p>
        </w:tc>
        <w:tc>
          <w:tcPr>
            <w:tcW w:w="2257" w:type="dxa"/>
            <w:shd w:val="clear" w:color="auto" w:fill="auto"/>
            <w:vAlign w:val="center"/>
          </w:tcPr>
          <w:p>
            <w:pPr>
              <w:pStyle w:val="19"/>
              <w:bidi w:val="0"/>
              <w:snapToGrid w:val="0"/>
              <w:ind w:firstLine="0" w:firstLineChars="0"/>
              <w:rPr>
                <w:color w:val="auto"/>
                <w:sz w:val="21"/>
                <w:szCs w:val="21"/>
                <w:highlight w:val="none"/>
              </w:rPr>
            </w:pPr>
            <w:r>
              <w:rPr>
                <w:rFonts w:hint="eastAsia"/>
                <w:sz w:val="21"/>
                <w:szCs w:val="21"/>
                <w:lang w:val="en-US" w:eastAsia="zh-CN"/>
              </w:rPr>
              <w:t xml:space="preserve">0.51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continue"/>
            <w:shd w:val="clear" w:color="auto" w:fill="auto"/>
            <w:vAlign w:val="center"/>
          </w:tcPr>
          <w:p>
            <w:pPr>
              <w:pStyle w:val="19"/>
              <w:snapToGrid w:val="0"/>
              <w:rPr>
                <w:color w:val="auto"/>
                <w:sz w:val="21"/>
                <w:szCs w:val="21"/>
                <w:highlight w:val="none"/>
              </w:rPr>
            </w:pPr>
          </w:p>
        </w:tc>
        <w:tc>
          <w:tcPr>
            <w:tcW w:w="3962" w:type="dxa"/>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氟化物</w:t>
            </w:r>
          </w:p>
        </w:tc>
        <w:tc>
          <w:tcPr>
            <w:tcW w:w="2257" w:type="dxa"/>
            <w:shd w:val="clear" w:color="auto" w:fill="auto"/>
            <w:vAlign w:val="center"/>
          </w:tcPr>
          <w:p>
            <w:pPr>
              <w:pStyle w:val="19"/>
              <w:bidi w:val="0"/>
              <w:snapToGrid w:val="0"/>
              <w:ind w:firstLine="0" w:firstLineChars="0"/>
              <w:rPr>
                <w:color w:val="auto"/>
                <w:sz w:val="21"/>
                <w:szCs w:val="21"/>
                <w:highlight w:val="none"/>
              </w:rPr>
            </w:pPr>
            <w:r>
              <w:rPr>
                <w:rFonts w:hint="eastAsia"/>
                <w:color w:val="auto"/>
                <w:sz w:val="21"/>
                <w:szCs w:val="21"/>
                <w:highlight w:val="none"/>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0" w:type="pct"/>
            <w:gridSpan w:val="2"/>
            <w:vMerge w:val="continue"/>
            <w:shd w:val="clear" w:color="auto" w:fill="auto"/>
            <w:vAlign w:val="center"/>
          </w:tcPr>
          <w:p>
            <w:pPr>
              <w:pStyle w:val="19"/>
              <w:snapToGrid w:val="0"/>
              <w:rPr>
                <w:color w:val="auto"/>
                <w:sz w:val="21"/>
                <w:szCs w:val="21"/>
                <w:highlight w:val="none"/>
              </w:rPr>
            </w:pPr>
          </w:p>
        </w:tc>
        <w:tc>
          <w:tcPr>
            <w:tcW w:w="3962" w:type="dxa"/>
            <w:gridSpan w:val="2"/>
            <w:shd w:val="clear" w:color="auto" w:fill="auto"/>
            <w:vAlign w:val="center"/>
          </w:tcPr>
          <w:p>
            <w:pPr>
              <w:pStyle w:val="19"/>
              <w:snapToGrid w:val="0"/>
              <w:ind w:firstLine="0" w:firstLineChars="0"/>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二噁英</w:t>
            </w:r>
          </w:p>
        </w:tc>
        <w:tc>
          <w:tcPr>
            <w:tcW w:w="2257" w:type="dxa"/>
            <w:shd w:val="clear" w:color="auto" w:fill="auto"/>
            <w:vAlign w:val="center"/>
          </w:tcPr>
          <w:p>
            <w:pPr>
              <w:pStyle w:val="19"/>
              <w:bidi w:val="0"/>
              <w:snapToGrid w:val="0"/>
              <w:ind w:firstLine="0" w:firstLineChars="0"/>
              <w:rPr>
                <w:color w:val="auto"/>
                <w:sz w:val="21"/>
                <w:szCs w:val="21"/>
                <w:highlight w:val="none"/>
              </w:rPr>
            </w:pPr>
            <w:r>
              <w:rPr>
                <w:rFonts w:hint="eastAsia"/>
                <w:color w:val="auto"/>
                <w:sz w:val="21"/>
                <w:szCs w:val="21"/>
                <w:highlight w:val="none"/>
                <w:lang w:val="en-US" w:eastAsia="zh-CN"/>
              </w:rPr>
              <w:t>2.20</w:t>
            </w:r>
            <w:r>
              <w:rPr>
                <w:rFonts w:hint="eastAsia"/>
                <w:color w:val="auto"/>
                <w:sz w:val="21"/>
                <w:szCs w:val="21"/>
                <w:highlight w:val="none"/>
              </w:rPr>
              <w:t>×10</w:t>
            </w:r>
            <w:r>
              <w:rPr>
                <w:rFonts w:hint="eastAsia"/>
                <w:color w:val="auto"/>
                <w:sz w:val="21"/>
                <w:szCs w:val="21"/>
                <w:highlight w:val="none"/>
                <w:vertAlign w:val="superscript"/>
              </w:rPr>
              <w:t>-8</w:t>
            </w:r>
            <w:r>
              <w:rPr>
                <w:rFonts w:hint="eastAsia"/>
                <w:color w:val="auto"/>
                <w:sz w:val="21"/>
                <w:szCs w:val="21"/>
                <w:highlight w:val="none"/>
              </w:rPr>
              <w:t>t TEQ/a</w:t>
            </w:r>
          </w:p>
        </w:tc>
      </w:tr>
    </w:tbl>
    <w:p>
      <w:pPr>
        <w:rPr>
          <w:rFonts w:hint="default" w:eastAsia="宋体"/>
          <w:b/>
          <w:bCs/>
          <w:lang w:val="en-US" w:eastAsia="zh-CN"/>
        </w:rPr>
      </w:pPr>
      <w:r>
        <w:rPr>
          <w:rFonts w:hint="eastAsia"/>
          <w:b/>
          <w:bCs/>
          <w:lang w:eastAsia="zh-CN"/>
        </w:rPr>
        <w:t>(</w:t>
      </w:r>
      <w:r>
        <w:rPr>
          <w:rFonts w:hint="eastAsia"/>
          <w:b/>
          <w:bCs/>
          <w:lang w:val="en-US" w:eastAsia="zh-CN"/>
        </w:rPr>
        <w:t>2</w:t>
      </w:r>
      <w:r>
        <w:rPr>
          <w:rFonts w:hint="eastAsia"/>
          <w:b/>
          <w:bCs/>
          <w:lang w:eastAsia="zh-CN"/>
        </w:rPr>
        <w:t>)</w:t>
      </w:r>
      <w:r>
        <w:rPr>
          <w:rFonts w:hint="eastAsia"/>
          <w:b/>
          <w:bCs/>
          <w:lang w:val="en-US" w:eastAsia="zh-CN"/>
        </w:rPr>
        <w:t xml:space="preserve"> 无组织排放量核算</w:t>
      </w:r>
    </w:p>
    <w:p>
      <w:r>
        <w:rPr>
          <w:rFonts w:hint="eastAsia"/>
          <w:color w:val="auto"/>
          <w:highlight w:val="none"/>
        </w:rPr>
        <w:t>项目废气污染物无组织排放量核算结果见表</w:t>
      </w:r>
      <w:r>
        <w:rPr>
          <w:rFonts w:hint="eastAsia"/>
          <w:color w:val="auto"/>
          <w:highlight w:val="none"/>
          <w:lang w:val="en-US" w:eastAsia="zh-CN"/>
        </w:rPr>
        <w:t>4.4-2</w:t>
      </w:r>
      <w:r>
        <w:rPr>
          <w:rFonts w:hint="eastAsia"/>
          <w:color w:val="auto"/>
          <w:highlight w:val="none"/>
        </w:rPr>
        <w:t>。</w:t>
      </w:r>
    </w:p>
    <w:p>
      <w:pPr>
        <w:pStyle w:val="21"/>
        <w:rPr>
          <w:color w:val="auto"/>
          <w:highlight w:val="none"/>
        </w:rPr>
      </w:pPr>
      <w:r>
        <w:rPr>
          <w:color w:val="auto"/>
          <w:highlight w:val="none"/>
        </w:rPr>
        <w:t>表</w:t>
      </w:r>
      <w:r>
        <w:rPr>
          <w:rFonts w:hint="eastAsia"/>
          <w:color w:val="auto"/>
          <w:highlight w:val="none"/>
          <w:lang w:val="en-US" w:eastAsia="zh-CN"/>
        </w:rPr>
        <w:t>4.4-2</w:t>
      </w:r>
      <w:r>
        <w:rPr>
          <w:color w:val="auto"/>
          <w:highlight w:val="none"/>
        </w:rPr>
        <w:t xml:space="preserve"> 大气污染物无组织排放量核算</w:t>
      </w:r>
    </w:p>
    <w:tbl>
      <w:tblPr>
        <w:tblStyle w:val="3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1039"/>
        <w:gridCol w:w="512"/>
        <w:gridCol w:w="618"/>
        <w:gridCol w:w="896"/>
        <w:gridCol w:w="1694"/>
        <w:gridCol w:w="2325"/>
        <w:gridCol w:w="1023"/>
        <w:gridCol w:w="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296" w:type="pct"/>
            <w:vMerge w:val="restart"/>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sz w:val="18"/>
                <w:szCs w:val="18"/>
                <w:highlight w:val="none"/>
              </w:rPr>
            </w:pPr>
            <w:r>
              <w:rPr>
                <w:rFonts w:ascii="Times New Roman" w:hAnsi="Times New Roman" w:eastAsia="宋体"/>
                <w:b/>
                <w:color w:val="auto"/>
                <w:sz w:val="18"/>
                <w:szCs w:val="18"/>
                <w:highlight w:val="none"/>
              </w:rPr>
              <w:t>序号</w:t>
            </w:r>
          </w:p>
        </w:tc>
        <w:tc>
          <w:tcPr>
            <w:tcW w:w="560" w:type="pct"/>
            <w:vMerge w:val="restart"/>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sz w:val="18"/>
                <w:szCs w:val="18"/>
                <w:highlight w:val="none"/>
              </w:rPr>
            </w:pPr>
            <w:r>
              <w:rPr>
                <w:rFonts w:hint="eastAsia" w:ascii="Times New Roman" w:hAnsi="Times New Roman" w:eastAsia="宋体"/>
                <w:b/>
                <w:color w:val="auto"/>
                <w:sz w:val="18"/>
                <w:szCs w:val="18"/>
                <w:highlight w:val="none"/>
              </w:rPr>
              <w:t>污染源</w:t>
            </w:r>
          </w:p>
        </w:tc>
        <w:tc>
          <w:tcPr>
            <w:tcW w:w="609" w:type="pct"/>
            <w:gridSpan w:val="2"/>
            <w:vMerge w:val="restart"/>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sz w:val="18"/>
                <w:szCs w:val="18"/>
                <w:highlight w:val="none"/>
              </w:rPr>
            </w:pPr>
            <w:r>
              <w:rPr>
                <w:rFonts w:ascii="Times New Roman" w:hAnsi="Times New Roman" w:eastAsia="宋体"/>
                <w:b/>
                <w:color w:val="auto"/>
                <w:sz w:val="18"/>
                <w:szCs w:val="18"/>
                <w:highlight w:val="none"/>
              </w:rPr>
              <w:t>产污环节</w:t>
            </w:r>
          </w:p>
        </w:tc>
        <w:tc>
          <w:tcPr>
            <w:tcW w:w="483" w:type="pct"/>
            <w:vMerge w:val="restart"/>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sz w:val="18"/>
                <w:szCs w:val="18"/>
                <w:highlight w:val="none"/>
              </w:rPr>
            </w:pPr>
            <w:r>
              <w:rPr>
                <w:rFonts w:ascii="Times New Roman" w:hAnsi="Times New Roman" w:eastAsia="宋体"/>
                <w:b/>
                <w:color w:val="auto"/>
                <w:sz w:val="18"/>
                <w:szCs w:val="18"/>
                <w:highlight w:val="none"/>
              </w:rPr>
              <w:t>污染物</w:t>
            </w:r>
          </w:p>
        </w:tc>
        <w:tc>
          <w:tcPr>
            <w:tcW w:w="913" w:type="pct"/>
            <w:vMerge w:val="restart"/>
            <w:tcBorders>
              <w:insideH w:val="single" w:sz="6" w:space="0"/>
              <w:tl2br w:val="nil"/>
              <w:tr2bl w:val="nil"/>
            </w:tcBorders>
            <w:shd w:val="clear" w:color="auto" w:fill="auto"/>
            <w:vAlign w:val="center"/>
          </w:tcPr>
          <w:p>
            <w:pPr>
              <w:pStyle w:val="19"/>
              <w:snapToGrid w:val="0"/>
              <w:rPr>
                <w:rFonts w:ascii="Times New Roman" w:hAnsi="Times New Roman" w:eastAsia="宋体"/>
                <w:b w:val="0"/>
                <w:color w:val="auto"/>
                <w:sz w:val="18"/>
                <w:szCs w:val="18"/>
                <w:highlight w:val="none"/>
              </w:rPr>
            </w:pPr>
            <w:r>
              <w:rPr>
                <w:rFonts w:ascii="Times New Roman" w:hAnsi="Times New Roman" w:eastAsia="宋体"/>
                <w:b/>
                <w:color w:val="auto"/>
                <w:sz w:val="18"/>
                <w:szCs w:val="18"/>
                <w:highlight w:val="none"/>
              </w:rPr>
              <w:t>主要污染防治措施</w:t>
            </w:r>
          </w:p>
        </w:tc>
        <w:tc>
          <w:tcPr>
            <w:tcW w:w="1801" w:type="pct"/>
            <w:gridSpan w:val="2"/>
            <w:tcBorders>
              <w:insideH w:val="single" w:sz="6" w:space="0"/>
              <w:tl2br w:val="nil"/>
              <w:tr2bl w:val="nil"/>
            </w:tcBorders>
            <w:shd w:val="clear" w:color="auto" w:fill="auto"/>
            <w:vAlign w:val="center"/>
          </w:tcPr>
          <w:p>
            <w:pPr>
              <w:pStyle w:val="19"/>
              <w:snapToGrid w:val="0"/>
              <w:rPr>
                <w:rFonts w:ascii="Times New Roman" w:hAnsi="Times New Roman" w:eastAsia="宋体"/>
                <w:b/>
                <w:bCs/>
                <w:color w:val="auto"/>
                <w:sz w:val="18"/>
                <w:szCs w:val="18"/>
                <w:highlight w:val="none"/>
              </w:rPr>
            </w:pPr>
            <w:r>
              <w:rPr>
                <w:rFonts w:ascii="Times New Roman" w:hAnsi="Times New Roman" w:eastAsia="宋体"/>
                <w:b/>
                <w:bCs/>
                <w:color w:val="auto"/>
                <w:sz w:val="18"/>
                <w:szCs w:val="18"/>
                <w:highlight w:val="none"/>
              </w:rPr>
              <w:t>国家或地方污染物排放标准</w:t>
            </w:r>
          </w:p>
        </w:tc>
        <w:tc>
          <w:tcPr>
            <w:tcW w:w="334" w:type="pct"/>
            <w:vMerge w:val="restart"/>
            <w:tcBorders>
              <w:insideH w:val="single" w:sz="6" w:space="0"/>
              <w:tl2br w:val="nil"/>
              <w:tr2bl w:val="nil"/>
            </w:tcBorders>
            <w:shd w:val="clear" w:color="auto" w:fill="auto"/>
            <w:vAlign w:val="center"/>
          </w:tcPr>
          <w:p>
            <w:pPr>
              <w:pStyle w:val="19"/>
              <w:snapToGrid w:val="0"/>
              <w:rPr>
                <w:rFonts w:hint="default" w:eastAsia="宋体"/>
                <w:b/>
                <w:bCs/>
                <w:color w:val="auto"/>
                <w:sz w:val="18"/>
                <w:szCs w:val="18"/>
                <w:highlight w:val="none"/>
                <w:lang w:val="en-US" w:eastAsia="zh-CN"/>
              </w:rPr>
            </w:pPr>
            <w:r>
              <w:rPr>
                <w:rFonts w:ascii="Times New Roman" w:hAnsi="Times New Roman" w:eastAsia="宋体"/>
                <w:b/>
                <w:bCs/>
                <w:color w:val="auto"/>
                <w:sz w:val="18"/>
                <w:szCs w:val="18"/>
                <w:highlight w:val="none"/>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296" w:type="pct"/>
            <w:vMerge w:val="continue"/>
            <w:shd w:val="clear" w:color="auto" w:fill="auto"/>
            <w:vAlign w:val="center"/>
          </w:tcPr>
          <w:p>
            <w:pPr>
              <w:pStyle w:val="19"/>
              <w:snapToGrid w:val="0"/>
              <w:rPr>
                <w:color w:val="auto"/>
                <w:sz w:val="18"/>
                <w:szCs w:val="18"/>
                <w:highlight w:val="none"/>
              </w:rPr>
            </w:pPr>
          </w:p>
        </w:tc>
        <w:tc>
          <w:tcPr>
            <w:tcW w:w="560" w:type="pct"/>
            <w:vMerge w:val="continue"/>
            <w:shd w:val="clear" w:color="auto" w:fill="auto"/>
            <w:vAlign w:val="center"/>
          </w:tcPr>
          <w:p>
            <w:pPr>
              <w:pStyle w:val="19"/>
              <w:snapToGrid w:val="0"/>
              <w:rPr>
                <w:color w:val="auto"/>
                <w:sz w:val="18"/>
                <w:szCs w:val="18"/>
                <w:highlight w:val="none"/>
              </w:rPr>
            </w:pPr>
          </w:p>
        </w:tc>
        <w:tc>
          <w:tcPr>
            <w:tcW w:w="609" w:type="pct"/>
            <w:gridSpan w:val="2"/>
            <w:vMerge w:val="continue"/>
            <w:shd w:val="clear" w:color="auto" w:fill="auto"/>
            <w:vAlign w:val="center"/>
          </w:tcPr>
          <w:p>
            <w:pPr>
              <w:pStyle w:val="19"/>
              <w:snapToGrid w:val="0"/>
              <w:rPr>
                <w:color w:val="auto"/>
                <w:sz w:val="18"/>
                <w:szCs w:val="18"/>
                <w:highlight w:val="none"/>
              </w:rPr>
            </w:pPr>
          </w:p>
        </w:tc>
        <w:tc>
          <w:tcPr>
            <w:tcW w:w="483" w:type="pct"/>
            <w:vMerge w:val="continue"/>
            <w:shd w:val="clear" w:color="auto" w:fill="auto"/>
            <w:vAlign w:val="center"/>
          </w:tcPr>
          <w:p>
            <w:pPr>
              <w:pStyle w:val="19"/>
              <w:snapToGrid w:val="0"/>
              <w:rPr>
                <w:color w:val="auto"/>
                <w:sz w:val="18"/>
                <w:szCs w:val="18"/>
                <w:highlight w:val="none"/>
              </w:rPr>
            </w:pPr>
          </w:p>
        </w:tc>
        <w:tc>
          <w:tcPr>
            <w:tcW w:w="913" w:type="pct"/>
            <w:vMerge w:val="continue"/>
            <w:shd w:val="clear" w:color="auto" w:fill="auto"/>
            <w:vAlign w:val="center"/>
          </w:tcPr>
          <w:p>
            <w:pPr>
              <w:pStyle w:val="19"/>
              <w:snapToGrid w:val="0"/>
              <w:rPr>
                <w:color w:val="auto"/>
                <w:sz w:val="18"/>
                <w:szCs w:val="18"/>
                <w:highlight w:val="none"/>
              </w:rPr>
            </w:pPr>
          </w:p>
        </w:tc>
        <w:tc>
          <w:tcPr>
            <w:tcW w:w="1250" w:type="pct"/>
            <w:shd w:val="clear" w:color="auto" w:fill="auto"/>
            <w:vAlign w:val="center"/>
          </w:tcPr>
          <w:p>
            <w:pPr>
              <w:pStyle w:val="19"/>
              <w:snapToGrid w:val="0"/>
              <w:rPr>
                <w:b/>
                <w:bCs/>
                <w:color w:val="auto"/>
                <w:sz w:val="18"/>
                <w:szCs w:val="18"/>
                <w:highlight w:val="none"/>
              </w:rPr>
            </w:pPr>
            <w:r>
              <w:rPr>
                <w:b/>
                <w:bCs/>
                <w:color w:val="auto"/>
                <w:sz w:val="18"/>
                <w:szCs w:val="18"/>
                <w:highlight w:val="none"/>
              </w:rPr>
              <w:t>标准名称</w:t>
            </w:r>
          </w:p>
        </w:tc>
        <w:tc>
          <w:tcPr>
            <w:tcW w:w="551" w:type="pct"/>
            <w:shd w:val="clear" w:color="auto" w:fill="auto"/>
            <w:vAlign w:val="center"/>
          </w:tcPr>
          <w:p>
            <w:pPr>
              <w:pStyle w:val="19"/>
              <w:snapToGrid w:val="0"/>
              <w:rPr>
                <w:b/>
                <w:bCs/>
                <w:color w:val="auto"/>
                <w:sz w:val="18"/>
                <w:szCs w:val="18"/>
                <w:highlight w:val="none"/>
              </w:rPr>
            </w:pPr>
            <w:r>
              <w:rPr>
                <w:b/>
                <w:bCs/>
                <w:color w:val="auto"/>
                <w:sz w:val="18"/>
                <w:szCs w:val="18"/>
                <w:highlight w:val="none"/>
              </w:rPr>
              <w:t>浓度限值(mg/m</w:t>
            </w:r>
            <w:r>
              <w:rPr>
                <w:b/>
                <w:bCs/>
                <w:color w:val="auto"/>
                <w:sz w:val="18"/>
                <w:szCs w:val="18"/>
                <w:highlight w:val="none"/>
                <w:vertAlign w:val="superscript"/>
              </w:rPr>
              <w:t>3</w:t>
            </w:r>
            <w:r>
              <w:rPr>
                <w:b/>
                <w:bCs/>
                <w:color w:val="auto"/>
                <w:sz w:val="18"/>
                <w:szCs w:val="18"/>
                <w:highlight w:val="none"/>
              </w:rPr>
              <w:t>)</w:t>
            </w:r>
          </w:p>
        </w:tc>
        <w:tc>
          <w:tcPr>
            <w:tcW w:w="334" w:type="pct"/>
            <w:vMerge w:val="continue"/>
            <w:shd w:val="clear" w:color="auto" w:fill="auto"/>
            <w:vAlign w:val="center"/>
          </w:tcPr>
          <w:p>
            <w:pPr>
              <w:pStyle w:val="19"/>
              <w:snapToGrid w:val="0"/>
              <w:rPr>
                <w:rFonts w:hint="default" w:eastAsia="宋体"/>
                <w:b/>
                <w:bCs/>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296" w:type="pct"/>
            <w:shd w:val="clear" w:color="auto" w:fill="auto"/>
            <w:vAlign w:val="center"/>
          </w:tcPr>
          <w:p>
            <w:pPr>
              <w:pStyle w:val="19"/>
              <w:snapToGrid w:val="0"/>
              <w:rPr>
                <w:color w:val="auto"/>
                <w:sz w:val="18"/>
                <w:szCs w:val="18"/>
                <w:highlight w:val="none"/>
              </w:rPr>
            </w:pPr>
            <w:r>
              <w:rPr>
                <w:color w:val="auto"/>
                <w:sz w:val="18"/>
                <w:szCs w:val="18"/>
                <w:highlight w:val="none"/>
              </w:rPr>
              <w:t>1</w:t>
            </w:r>
          </w:p>
        </w:tc>
        <w:tc>
          <w:tcPr>
            <w:tcW w:w="560" w:type="pct"/>
            <w:shd w:val="clear" w:color="auto" w:fill="auto"/>
            <w:vAlign w:val="center"/>
          </w:tcPr>
          <w:p>
            <w:pPr>
              <w:pStyle w:val="19"/>
              <w:snapToGrid w:val="0"/>
              <w:rPr>
                <w:rFonts w:hint="default" w:eastAsia="宋体"/>
                <w:color w:val="auto"/>
                <w:sz w:val="18"/>
                <w:szCs w:val="18"/>
                <w:highlight w:val="none"/>
                <w:lang w:val="en-US" w:eastAsia="zh-CN"/>
              </w:rPr>
            </w:pPr>
            <w:r>
              <w:rPr>
                <w:rFonts w:hint="eastAsia"/>
                <w:color w:val="auto"/>
                <w:sz w:val="18"/>
                <w:szCs w:val="18"/>
                <w:highlight w:val="none"/>
                <w:lang w:val="en-US" w:eastAsia="zh-CN"/>
              </w:rPr>
              <w:t>生产车间</w:t>
            </w:r>
          </w:p>
        </w:tc>
        <w:tc>
          <w:tcPr>
            <w:tcW w:w="609" w:type="pct"/>
            <w:gridSpan w:val="2"/>
            <w:shd w:val="clear" w:color="auto" w:fill="auto"/>
            <w:vAlign w:val="center"/>
          </w:tcPr>
          <w:p>
            <w:pPr>
              <w:pStyle w:val="19"/>
              <w:snapToGrid w:val="0"/>
              <w:rPr>
                <w:rFonts w:hint="default" w:eastAsia="宋体"/>
                <w:color w:val="auto"/>
                <w:sz w:val="18"/>
                <w:szCs w:val="18"/>
                <w:highlight w:val="none"/>
                <w:lang w:val="en-US" w:eastAsia="zh-CN"/>
              </w:rPr>
            </w:pPr>
            <w:r>
              <w:rPr>
                <w:rFonts w:hint="eastAsia"/>
                <w:color w:val="auto"/>
                <w:sz w:val="18"/>
                <w:szCs w:val="18"/>
                <w:highlight w:val="none"/>
                <w:lang w:val="en-US" w:eastAsia="zh-CN"/>
              </w:rPr>
              <w:t>冶炼、浇铸等</w:t>
            </w:r>
          </w:p>
        </w:tc>
        <w:tc>
          <w:tcPr>
            <w:tcW w:w="483" w:type="pct"/>
            <w:shd w:val="clear" w:color="auto" w:fill="auto"/>
            <w:vAlign w:val="center"/>
          </w:tcPr>
          <w:p>
            <w:pPr>
              <w:pStyle w:val="19"/>
              <w:snapToGrid w:val="0"/>
              <w:rPr>
                <w:color w:val="auto"/>
                <w:sz w:val="18"/>
                <w:szCs w:val="18"/>
                <w:highlight w:val="none"/>
              </w:rPr>
            </w:pPr>
            <w:r>
              <w:rPr>
                <w:rFonts w:hint="eastAsia"/>
                <w:color w:val="auto"/>
                <w:sz w:val="18"/>
                <w:szCs w:val="18"/>
                <w:highlight w:val="none"/>
              </w:rPr>
              <w:t>颗粒物</w:t>
            </w:r>
          </w:p>
        </w:tc>
        <w:tc>
          <w:tcPr>
            <w:tcW w:w="913" w:type="pct"/>
            <w:shd w:val="clear" w:color="auto" w:fill="auto"/>
            <w:vAlign w:val="center"/>
          </w:tcPr>
          <w:p>
            <w:pPr>
              <w:pStyle w:val="19"/>
              <w:snapToGrid w:val="0"/>
              <w:rPr>
                <w:color w:val="auto"/>
                <w:sz w:val="18"/>
                <w:szCs w:val="18"/>
                <w:highlight w:val="none"/>
              </w:rPr>
            </w:pPr>
            <w:r>
              <w:rPr>
                <w:rFonts w:hint="eastAsia"/>
                <w:color w:val="auto"/>
                <w:sz w:val="18"/>
                <w:szCs w:val="18"/>
                <w:highlight w:val="none"/>
                <w:lang w:val="en-US" w:eastAsia="zh-CN"/>
              </w:rPr>
              <w:t>物料棚内分区对堆存；车间封闭，保证集气效率</w:t>
            </w:r>
          </w:p>
        </w:tc>
        <w:tc>
          <w:tcPr>
            <w:tcW w:w="1250" w:type="pct"/>
            <w:shd w:val="clear" w:color="auto" w:fill="auto"/>
            <w:vAlign w:val="center"/>
          </w:tcPr>
          <w:p>
            <w:pPr>
              <w:pStyle w:val="19"/>
              <w:snapToGrid w:val="0"/>
              <w:rPr>
                <w:color w:val="auto"/>
                <w:sz w:val="18"/>
                <w:szCs w:val="18"/>
                <w:highlight w:val="none"/>
              </w:rPr>
            </w:pPr>
            <w:r>
              <w:rPr>
                <w:rFonts w:hint="eastAsia"/>
                <w:color w:val="auto"/>
                <w:sz w:val="18"/>
                <w:szCs w:val="18"/>
                <w:highlight w:val="none"/>
              </w:rPr>
              <w:t>《铸造工业大气污染物排放标准》(GB 39726-2020)</w:t>
            </w:r>
          </w:p>
        </w:tc>
        <w:tc>
          <w:tcPr>
            <w:tcW w:w="551" w:type="pct"/>
            <w:shd w:val="clear" w:color="auto" w:fill="auto"/>
            <w:vAlign w:val="center"/>
          </w:tcPr>
          <w:p>
            <w:pPr>
              <w:pStyle w:val="19"/>
              <w:snapToGrid w:val="0"/>
              <w:rPr>
                <w:rFonts w:eastAsia="Calibri"/>
                <w:color w:val="auto"/>
                <w:sz w:val="18"/>
                <w:szCs w:val="18"/>
                <w:highlight w:val="none"/>
              </w:rPr>
            </w:pPr>
            <w:r>
              <w:rPr>
                <w:color w:val="auto"/>
                <w:sz w:val="18"/>
                <w:szCs w:val="18"/>
                <w:highlight w:val="none"/>
              </w:rPr>
              <w:t>1.0</w:t>
            </w:r>
          </w:p>
        </w:tc>
        <w:tc>
          <w:tcPr>
            <w:tcW w:w="334" w:type="pct"/>
            <w:shd w:val="clear" w:color="auto" w:fill="auto"/>
            <w:vAlign w:val="center"/>
          </w:tcPr>
          <w:p>
            <w:pPr>
              <w:pStyle w:val="19"/>
              <w:snapToGrid w:val="0"/>
              <w:rPr>
                <w:rFonts w:hint="default" w:eastAsiaTheme="minorEastAsia"/>
                <w:color w:val="auto"/>
                <w:sz w:val="18"/>
                <w:szCs w:val="18"/>
                <w:highlight w:val="none"/>
                <w:lang w:val="en-US" w:eastAsia="zh-CN"/>
              </w:rPr>
            </w:pPr>
            <w:r>
              <w:rPr>
                <w:rFonts w:hint="eastAsia" w:eastAsiaTheme="minorEastAsia"/>
                <w:color w:val="auto"/>
                <w:sz w:val="18"/>
                <w:szCs w:val="18"/>
                <w:highlight w:val="none"/>
                <w:lang w:val="en-US" w:eastAsia="zh-CN"/>
              </w:rPr>
              <w:t>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000" w:type="pct"/>
            <w:gridSpan w:val="9"/>
            <w:shd w:val="clear" w:color="auto" w:fill="auto"/>
            <w:vAlign w:val="center"/>
          </w:tcPr>
          <w:p>
            <w:pPr>
              <w:pStyle w:val="19"/>
              <w:snapToGrid w:val="0"/>
              <w:rPr>
                <w:color w:val="auto"/>
                <w:sz w:val="18"/>
                <w:szCs w:val="18"/>
                <w:highlight w:val="none"/>
              </w:rPr>
            </w:pPr>
            <w:r>
              <w:rPr>
                <w:color w:val="auto"/>
                <w:sz w:val="18"/>
                <w:szCs w:val="18"/>
                <w:highlight w:val="none"/>
              </w:rPr>
              <w:t>全厂无组织排放总计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1132" w:type="pct"/>
            <w:gridSpan w:val="3"/>
            <w:shd w:val="clear" w:color="auto" w:fill="auto"/>
            <w:vAlign w:val="center"/>
          </w:tcPr>
          <w:p>
            <w:pPr>
              <w:pStyle w:val="19"/>
              <w:snapToGrid w:val="0"/>
              <w:rPr>
                <w:color w:val="auto"/>
                <w:sz w:val="18"/>
                <w:szCs w:val="18"/>
                <w:highlight w:val="none"/>
              </w:rPr>
            </w:pPr>
            <w:r>
              <w:rPr>
                <w:color w:val="auto"/>
                <w:sz w:val="18"/>
                <w:szCs w:val="18"/>
                <w:highlight w:val="none"/>
              </w:rPr>
              <w:t>无组织排放总计(t/a)</w:t>
            </w:r>
          </w:p>
        </w:tc>
        <w:tc>
          <w:tcPr>
            <w:tcW w:w="2982" w:type="pct"/>
            <w:gridSpan w:val="4"/>
            <w:shd w:val="clear" w:color="auto" w:fill="auto"/>
            <w:vAlign w:val="center"/>
          </w:tcPr>
          <w:p>
            <w:pPr>
              <w:pStyle w:val="19"/>
              <w:snapToGrid w:val="0"/>
              <w:rPr>
                <w:color w:val="auto"/>
                <w:sz w:val="18"/>
                <w:szCs w:val="18"/>
                <w:highlight w:val="none"/>
              </w:rPr>
            </w:pPr>
            <w:r>
              <w:rPr>
                <w:rFonts w:hint="eastAsia"/>
                <w:color w:val="auto"/>
                <w:sz w:val="18"/>
                <w:szCs w:val="18"/>
                <w:highlight w:val="none"/>
              </w:rPr>
              <w:t>颗粒物</w:t>
            </w:r>
          </w:p>
        </w:tc>
        <w:tc>
          <w:tcPr>
            <w:tcW w:w="885" w:type="pct"/>
            <w:gridSpan w:val="2"/>
            <w:shd w:val="clear" w:color="auto" w:fill="auto"/>
            <w:vAlign w:val="center"/>
          </w:tcPr>
          <w:p>
            <w:pPr>
              <w:pStyle w:val="19"/>
              <w:snapToGrid w:val="0"/>
              <w:rPr>
                <w:rFonts w:hint="default" w:eastAsiaTheme="minorEastAsia"/>
                <w:color w:val="auto"/>
                <w:sz w:val="18"/>
                <w:szCs w:val="18"/>
                <w:highlight w:val="none"/>
                <w:lang w:val="en-US" w:eastAsia="zh-CN"/>
              </w:rPr>
            </w:pPr>
            <w:r>
              <w:rPr>
                <w:rFonts w:hint="eastAsia" w:eastAsiaTheme="minorEastAsia"/>
                <w:color w:val="auto"/>
                <w:sz w:val="18"/>
                <w:szCs w:val="18"/>
                <w:highlight w:val="none"/>
                <w:lang w:val="en-US" w:eastAsia="zh-CN"/>
              </w:rPr>
              <w:t>3.05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5000" w:type="pct"/>
            <w:gridSpan w:val="9"/>
            <w:shd w:val="clear" w:color="auto" w:fill="auto"/>
            <w:vAlign w:val="center"/>
          </w:tcPr>
          <w:p>
            <w:pPr>
              <w:pStyle w:val="19"/>
              <w:snapToGrid w:val="0"/>
              <w:rPr>
                <w:rFonts w:hint="eastAsia"/>
                <w:color w:val="auto"/>
                <w:sz w:val="18"/>
                <w:szCs w:val="18"/>
                <w:highlight w:val="none"/>
              </w:rPr>
            </w:pPr>
          </w:p>
        </w:tc>
      </w:tr>
    </w:tbl>
    <w:p>
      <w:pPr>
        <w:adjustRightInd w:val="0"/>
        <w:ind w:firstLine="482"/>
        <w:rPr>
          <w:b/>
          <w:bCs/>
          <w:color w:val="auto"/>
          <w:highlight w:val="none"/>
        </w:rPr>
      </w:pPr>
      <w:r>
        <w:rPr>
          <w:b/>
          <w:bCs/>
          <w:color w:val="auto"/>
          <w:highlight w:val="none"/>
        </w:rPr>
        <w:t xml:space="preserve">(3) </w:t>
      </w:r>
      <w:r>
        <w:rPr>
          <w:rFonts w:hint="eastAsia"/>
          <w:b/>
          <w:bCs/>
          <w:color w:val="auto"/>
          <w:highlight w:val="none"/>
        </w:rPr>
        <w:t>废气</w:t>
      </w:r>
      <w:r>
        <w:rPr>
          <w:b/>
          <w:bCs/>
          <w:color w:val="auto"/>
          <w:highlight w:val="none"/>
        </w:rPr>
        <w:t>污染物年排放量核算表</w:t>
      </w:r>
    </w:p>
    <w:p>
      <w:pPr>
        <w:rPr>
          <w:color w:val="auto"/>
          <w:highlight w:val="none"/>
        </w:rPr>
      </w:pPr>
      <w:r>
        <w:rPr>
          <w:rFonts w:hint="eastAsia"/>
          <w:color w:val="auto"/>
          <w:highlight w:val="none"/>
        </w:rPr>
        <w:t>项目废气污染物排放量核算结果见表</w:t>
      </w:r>
      <w:r>
        <w:rPr>
          <w:rFonts w:hint="eastAsia"/>
          <w:color w:val="auto"/>
          <w:highlight w:val="none"/>
          <w:lang w:val="en-US" w:eastAsia="zh-CN"/>
        </w:rPr>
        <w:t>4.4-3</w:t>
      </w:r>
      <w:r>
        <w:rPr>
          <w:rFonts w:hint="eastAsia"/>
          <w:color w:val="auto"/>
          <w:highlight w:val="none"/>
        </w:rPr>
        <w:t>。</w:t>
      </w:r>
    </w:p>
    <w:p>
      <w:pPr>
        <w:pStyle w:val="21"/>
        <w:rPr>
          <w:color w:val="auto"/>
          <w:highlight w:val="none"/>
        </w:rPr>
      </w:pPr>
      <w:r>
        <w:rPr>
          <w:color w:val="auto"/>
          <w:highlight w:val="none"/>
          <w:lang w:val="zh-CN"/>
        </w:rPr>
        <w:t>表</w:t>
      </w:r>
      <w:r>
        <w:rPr>
          <w:rFonts w:hint="eastAsia"/>
          <w:color w:val="auto"/>
          <w:highlight w:val="none"/>
          <w:lang w:val="en-US" w:eastAsia="zh-CN"/>
        </w:rPr>
        <w:t>4.4-3</w:t>
      </w:r>
      <w:r>
        <w:rPr>
          <w:color w:val="auto"/>
          <w:highlight w:val="none"/>
        </w:rPr>
        <w:t xml:space="preserve"> </w:t>
      </w:r>
      <w:r>
        <w:rPr>
          <w:color w:val="auto"/>
          <w:highlight w:val="none"/>
          <w:lang w:val="zh-CN"/>
        </w:rPr>
        <w:t>大气污染物年排放量核算表</w:t>
      </w:r>
    </w:p>
    <w:tbl>
      <w:tblPr>
        <w:tblStyle w:val="37"/>
        <w:tblW w:w="9072" w:type="dxa"/>
        <w:tblInd w:w="0" w:type="dxa"/>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997"/>
        <w:gridCol w:w="4051"/>
        <w:gridCol w:w="3024"/>
      </w:tblGrid>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997" w:type="dxa"/>
            <w:tcBorders>
              <w:left w:val="single" w:color="auto" w:sz="4" w:space="0"/>
              <w:bottom w:val="single" w:color="auto" w:sz="4" w:space="0"/>
              <w:right w:val="single" w:color="auto" w:sz="4" w:space="0"/>
              <w:insideH w:val="single" w:sz="6" w:space="0"/>
              <w:tl2br w:val="nil"/>
              <w:tr2bl w:val="nil"/>
            </w:tcBorders>
            <w:shd w:val="clear" w:color="auto" w:fill="auto"/>
            <w:vAlign w:val="center"/>
          </w:tcPr>
          <w:p>
            <w:pPr>
              <w:pStyle w:val="19"/>
              <w:snapToGrid w:val="0"/>
              <w:rPr>
                <w:rFonts w:ascii="Times New Roman" w:hAnsi="Times New Roman" w:eastAsia="宋体"/>
                <w:b/>
                <w:bCs/>
                <w:color w:val="auto"/>
                <w:sz w:val="21"/>
                <w:szCs w:val="21"/>
                <w:highlight w:val="none"/>
              </w:rPr>
            </w:pPr>
            <w:r>
              <w:rPr>
                <w:rFonts w:ascii="Times New Roman" w:hAnsi="Times New Roman" w:eastAsia="宋体"/>
                <w:b/>
                <w:bCs/>
                <w:color w:val="auto"/>
                <w:sz w:val="21"/>
                <w:szCs w:val="21"/>
                <w:highlight w:val="none"/>
              </w:rPr>
              <w:t>序号</w:t>
            </w:r>
          </w:p>
        </w:tc>
        <w:tc>
          <w:tcPr>
            <w:tcW w:w="4051" w:type="dxa"/>
            <w:tcBorders>
              <w:left w:val="single" w:color="auto" w:sz="4" w:space="0"/>
              <w:bottom w:val="single" w:color="auto" w:sz="4" w:space="0"/>
              <w:right w:val="single" w:color="auto" w:sz="4" w:space="0"/>
              <w:insideH w:val="single" w:sz="6" w:space="0"/>
              <w:tl2br w:val="nil"/>
              <w:tr2bl w:val="nil"/>
            </w:tcBorders>
            <w:shd w:val="clear" w:color="auto" w:fill="auto"/>
            <w:vAlign w:val="center"/>
          </w:tcPr>
          <w:p>
            <w:pPr>
              <w:pStyle w:val="19"/>
              <w:snapToGrid w:val="0"/>
              <w:rPr>
                <w:rFonts w:ascii="Times New Roman" w:hAnsi="Times New Roman" w:eastAsia="宋体"/>
                <w:b/>
                <w:bCs/>
                <w:color w:val="auto"/>
                <w:sz w:val="21"/>
                <w:szCs w:val="21"/>
                <w:highlight w:val="none"/>
              </w:rPr>
            </w:pPr>
            <w:r>
              <w:rPr>
                <w:rFonts w:ascii="Times New Roman" w:hAnsi="Times New Roman" w:eastAsia="宋体"/>
                <w:b/>
                <w:bCs/>
                <w:color w:val="auto"/>
                <w:sz w:val="21"/>
                <w:szCs w:val="21"/>
                <w:highlight w:val="none"/>
              </w:rPr>
              <w:t>污染物</w:t>
            </w:r>
          </w:p>
        </w:tc>
        <w:tc>
          <w:tcPr>
            <w:tcW w:w="3024" w:type="dxa"/>
            <w:tcBorders>
              <w:left w:val="single" w:color="auto" w:sz="4" w:space="0"/>
              <w:bottom w:val="single" w:color="auto" w:sz="4" w:space="0"/>
              <w:right w:val="single" w:color="auto" w:sz="4" w:space="0"/>
              <w:insideH w:val="single" w:sz="6" w:space="0"/>
              <w:tl2br w:val="nil"/>
              <w:tr2bl w:val="nil"/>
            </w:tcBorders>
            <w:shd w:val="clear" w:color="auto" w:fill="auto"/>
            <w:vAlign w:val="center"/>
          </w:tcPr>
          <w:p>
            <w:pPr>
              <w:pStyle w:val="19"/>
              <w:snapToGrid w:val="0"/>
              <w:rPr>
                <w:rFonts w:ascii="Times New Roman" w:hAnsi="Times New Roman" w:eastAsia="宋体"/>
                <w:b/>
                <w:bCs/>
                <w:color w:val="auto"/>
                <w:sz w:val="21"/>
                <w:szCs w:val="21"/>
                <w:highlight w:val="none"/>
              </w:rPr>
            </w:pPr>
            <w:r>
              <w:rPr>
                <w:rFonts w:ascii="Times New Roman" w:hAnsi="Times New Roman" w:eastAsia="宋体"/>
                <w:b/>
                <w:bCs/>
                <w:color w:val="auto"/>
                <w:sz w:val="21"/>
                <w:szCs w:val="21"/>
                <w:highlight w:val="none"/>
              </w:rPr>
              <w:t>年排放量(t/a)</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99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rPr>
                <w:color w:val="auto"/>
                <w:sz w:val="21"/>
                <w:szCs w:val="21"/>
                <w:highlight w:val="none"/>
              </w:rPr>
            </w:pPr>
            <w:r>
              <w:rPr>
                <w:color w:val="auto"/>
                <w:sz w:val="21"/>
                <w:szCs w:val="21"/>
                <w:highlight w:val="none"/>
              </w:rPr>
              <w:t>1</w:t>
            </w:r>
          </w:p>
        </w:tc>
        <w:tc>
          <w:tcPr>
            <w:tcW w:w="40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ind w:firstLine="0" w:firstLineChars="0"/>
              <w:rPr>
                <w:color w:val="auto"/>
                <w:sz w:val="21"/>
                <w:szCs w:val="21"/>
                <w:highlight w:val="none"/>
              </w:rPr>
            </w:pPr>
            <w:r>
              <w:rPr>
                <w:rFonts w:hint="eastAsia"/>
                <w:color w:val="auto"/>
                <w:sz w:val="21"/>
                <w:szCs w:val="21"/>
                <w:highlight w:val="none"/>
                <w:lang w:val="en-US" w:eastAsia="zh-CN"/>
              </w:rPr>
              <w:t>颗粒物</w:t>
            </w:r>
          </w:p>
        </w:tc>
        <w:tc>
          <w:tcPr>
            <w:tcW w:w="302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rPr>
                <w:rFonts w:hint="default" w:eastAsia="等线"/>
                <w:color w:val="auto"/>
                <w:sz w:val="21"/>
                <w:szCs w:val="21"/>
                <w:highlight w:val="none"/>
                <w:lang w:val="en-US" w:eastAsia="zh-CN"/>
              </w:rPr>
            </w:pPr>
            <w:r>
              <w:rPr>
                <w:rFonts w:hint="eastAsia" w:eastAsia="等线"/>
                <w:color w:val="auto"/>
                <w:sz w:val="21"/>
                <w:szCs w:val="21"/>
                <w:highlight w:val="none"/>
                <w:lang w:val="en-US" w:eastAsia="zh-CN"/>
              </w:rPr>
              <w:t>11.37</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99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rPr>
                <w:color w:val="auto"/>
                <w:sz w:val="21"/>
                <w:szCs w:val="21"/>
                <w:highlight w:val="none"/>
              </w:rPr>
            </w:pPr>
            <w:r>
              <w:rPr>
                <w:color w:val="auto"/>
                <w:sz w:val="21"/>
                <w:szCs w:val="21"/>
                <w:highlight w:val="none"/>
              </w:rPr>
              <w:t>2</w:t>
            </w:r>
          </w:p>
        </w:tc>
        <w:tc>
          <w:tcPr>
            <w:tcW w:w="40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ind w:firstLine="0" w:firstLineChars="0"/>
              <w:rPr>
                <w:color w:val="auto"/>
                <w:sz w:val="21"/>
                <w:szCs w:val="21"/>
                <w:highlight w:val="none"/>
              </w:rPr>
            </w:pPr>
            <w:r>
              <w:rPr>
                <w:rFonts w:hint="eastAsia"/>
                <w:color w:val="auto"/>
                <w:sz w:val="21"/>
                <w:szCs w:val="21"/>
                <w:highlight w:val="none"/>
                <w:lang w:val="en-US" w:eastAsia="zh-CN"/>
              </w:rPr>
              <w:t>二氧化硫</w:t>
            </w:r>
          </w:p>
        </w:tc>
        <w:tc>
          <w:tcPr>
            <w:tcW w:w="302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bidi w:val="0"/>
              <w:snapToGrid w:val="0"/>
              <w:ind w:firstLine="0" w:firstLineChars="0"/>
              <w:rPr>
                <w:color w:val="auto"/>
                <w:sz w:val="21"/>
                <w:szCs w:val="21"/>
                <w:highlight w:val="none"/>
              </w:rPr>
            </w:pPr>
            <w:r>
              <w:rPr>
                <w:rFonts w:hint="eastAsia"/>
                <w:sz w:val="21"/>
                <w:szCs w:val="21"/>
                <w:lang w:val="en-US" w:eastAsia="zh-CN"/>
              </w:rPr>
              <w:t>0.22</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99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rPr>
                <w:color w:val="auto"/>
                <w:sz w:val="21"/>
                <w:szCs w:val="21"/>
                <w:highlight w:val="none"/>
              </w:rPr>
            </w:pPr>
            <w:r>
              <w:rPr>
                <w:color w:val="auto"/>
                <w:sz w:val="21"/>
                <w:szCs w:val="21"/>
                <w:highlight w:val="none"/>
              </w:rPr>
              <w:t>3</w:t>
            </w:r>
          </w:p>
        </w:tc>
        <w:tc>
          <w:tcPr>
            <w:tcW w:w="40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ind w:firstLine="0" w:firstLineChars="0"/>
              <w:rPr>
                <w:color w:val="auto"/>
                <w:sz w:val="21"/>
                <w:szCs w:val="21"/>
                <w:highlight w:val="none"/>
              </w:rPr>
            </w:pPr>
            <w:r>
              <w:rPr>
                <w:rFonts w:hint="eastAsia"/>
                <w:color w:val="auto"/>
                <w:sz w:val="21"/>
                <w:szCs w:val="21"/>
                <w:highlight w:val="none"/>
                <w:lang w:val="en-US" w:eastAsia="zh-CN"/>
              </w:rPr>
              <w:t>氮氧化物</w:t>
            </w:r>
          </w:p>
        </w:tc>
        <w:tc>
          <w:tcPr>
            <w:tcW w:w="302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bidi w:val="0"/>
              <w:snapToGrid w:val="0"/>
              <w:ind w:firstLine="0" w:firstLineChars="0"/>
              <w:rPr>
                <w:rFonts w:hint="default" w:eastAsia="宋体"/>
                <w:color w:val="auto"/>
                <w:sz w:val="21"/>
                <w:szCs w:val="21"/>
                <w:highlight w:val="none"/>
                <w:lang w:val="en-US" w:eastAsia="zh-CN"/>
              </w:rPr>
            </w:pPr>
            <w:r>
              <w:rPr>
                <w:rFonts w:hint="eastAsia"/>
                <w:sz w:val="21"/>
                <w:szCs w:val="21"/>
                <w:lang w:val="en-US" w:eastAsia="zh-CN"/>
              </w:rPr>
              <w:t xml:space="preserve">0.51 </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99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rPr>
                <w:color w:val="auto"/>
                <w:sz w:val="21"/>
                <w:szCs w:val="21"/>
                <w:highlight w:val="none"/>
              </w:rPr>
            </w:pPr>
            <w:r>
              <w:rPr>
                <w:color w:val="auto"/>
                <w:sz w:val="21"/>
                <w:szCs w:val="21"/>
                <w:highlight w:val="none"/>
              </w:rPr>
              <w:t>4</w:t>
            </w:r>
          </w:p>
        </w:tc>
        <w:tc>
          <w:tcPr>
            <w:tcW w:w="405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snapToGrid w:val="0"/>
              <w:ind w:firstLine="0" w:firstLineChars="0"/>
              <w:rPr>
                <w:color w:val="auto"/>
                <w:sz w:val="21"/>
                <w:szCs w:val="21"/>
                <w:highlight w:val="none"/>
              </w:rPr>
            </w:pPr>
            <w:r>
              <w:rPr>
                <w:rFonts w:hint="eastAsia"/>
                <w:color w:val="auto"/>
                <w:sz w:val="21"/>
                <w:szCs w:val="21"/>
                <w:highlight w:val="none"/>
                <w:lang w:val="en-US" w:eastAsia="zh-CN"/>
              </w:rPr>
              <w:t>氟化物</w:t>
            </w:r>
          </w:p>
        </w:tc>
        <w:tc>
          <w:tcPr>
            <w:tcW w:w="302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9"/>
              <w:bidi w:val="0"/>
              <w:snapToGrid w:val="0"/>
              <w:ind w:firstLine="0" w:firstLineChars="0"/>
              <w:rPr>
                <w:color w:val="auto"/>
                <w:sz w:val="21"/>
                <w:szCs w:val="21"/>
                <w:highlight w:val="none"/>
              </w:rPr>
            </w:pPr>
            <w:r>
              <w:rPr>
                <w:rFonts w:hint="eastAsia"/>
                <w:color w:val="auto"/>
                <w:sz w:val="21"/>
                <w:szCs w:val="21"/>
                <w:highlight w:val="none"/>
                <w:lang w:val="en-US" w:eastAsia="zh-CN"/>
              </w:rPr>
              <w:t>0.11</w:t>
            </w:r>
          </w:p>
        </w:tc>
      </w:tr>
      <w:tr>
        <w:tblPrEx>
          <w:tblBorders>
            <w:top w:val="single" w:color="auto" w:sz="4" w:space="0"/>
            <w:left w:val="none" w:color="auto" w:sz="0" w:space="0"/>
            <w:bottom w:val="single" w:color="auto"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0" w:hRule="atLeast"/>
        </w:trPr>
        <w:tc>
          <w:tcPr>
            <w:tcW w:w="1997" w:type="dxa"/>
            <w:tcBorders>
              <w:top w:val="single" w:color="auto" w:sz="4" w:space="0"/>
              <w:left w:val="single" w:color="auto" w:sz="4" w:space="0"/>
              <w:right w:val="single" w:color="auto" w:sz="4" w:space="0"/>
            </w:tcBorders>
            <w:shd w:val="clear" w:color="auto" w:fill="auto"/>
            <w:vAlign w:val="center"/>
          </w:tcPr>
          <w:p>
            <w:pPr>
              <w:pStyle w:val="19"/>
              <w:snapToGrid w:val="0"/>
              <w:rPr>
                <w:color w:val="auto"/>
                <w:sz w:val="21"/>
                <w:szCs w:val="21"/>
                <w:highlight w:val="none"/>
              </w:rPr>
            </w:pPr>
            <w:r>
              <w:rPr>
                <w:color w:val="auto"/>
                <w:sz w:val="21"/>
                <w:szCs w:val="21"/>
                <w:highlight w:val="none"/>
              </w:rPr>
              <w:t>5</w:t>
            </w:r>
          </w:p>
        </w:tc>
        <w:tc>
          <w:tcPr>
            <w:tcW w:w="4051" w:type="dxa"/>
            <w:tcBorders>
              <w:top w:val="single" w:color="auto" w:sz="4" w:space="0"/>
              <w:left w:val="single" w:color="auto" w:sz="4" w:space="0"/>
              <w:right w:val="single" w:color="auto" w:sz="4" w:space="0"/>
            </w:tcBorders>
            <w:shd w:val="clear" w:color="auto" w:fill="auto"/>
            <w:vAlign w:val="center"/>
          </w:tcPr>
          <w:p>
            <w:pPr>
              <w:pStyle w:val="19"/>
              <w:snapToGrid w:val="0"/>
              <w:ind w:firstLine="0" w:firstLineChars="0"/>
              <w:rPr>
                <w:color w:val="auto"/>
                <w:sz w:val="21"/>
                <w:szCs w:val="21"/>
                <w:highlight w:val="none"/>
              </w:rPr>
            </w:pPr>
            <w:r>
              <w:rPr>
                <w:rFonts w:hint="eastAsia"/>
                <w:color w:val="auto"/>
                <w:sz w:val="21"/>
                <w:szCs w:val="21"/>
                <w:highlight w:val="none"/>
                <w:lang w:val="en-US" w:eastAsia="zh-CN"/>
              </w:rPr>
              <w:t>二噁英</w:t>
            </w:r>
          </w:p>
        </w:tc>
        <w:tc>
          <w:tcPr>
            <w:tcW w:w="3024" w:type="dxa"/>
            <w:tcBorders>
              <w:top w:val="single" w:color="auto" w:sz="4" w:space="0"/>
              <w:left w:val="single" w:color="auto" w:sz="4" w:space="0"/>
              <w:right w:val="single" w:color="auto" w:sz="4" w:space="0"/>
            </w:tcBorders>
            <w:shd w:val="clear" w:color="auto" w:fill="auto"/>
            <w:vAlign w:val="center"/>
          </w:tcPr>
          <w:p>
            <w:pPr>
              <w:pStyle w:val="19"/>
              <w:bidi w:val="0"/>
              <w:snapToGrid w:val="0"/>
              <w:ind w:firstLine="0" w:firstLineChars="0"/>
              <w:rPr>
                <w:rFonts w:hint="default" w:eastAsia="宋体"/>
                <w:color w:val="auto"/>
                <w:sz w:val="21"/>
                <w:szCs w:val="21"/>
                <w:highlight w:val="none"/>
                <w:lang w:val="en-US" w:eastAsia="zh-CN"/>
              </w:rPr>
            </w:pPr>
            <w:r>
              <w:rPr>
                <w:rFonts w:hint="eastAsia"/>
                <w:color w:val="auto"/>
                <w:sz w:val="21"/>
                <w:szCs w:val="21"/>
                <w:highlight w:val="none"/>
                <w:lang w:val="en-US" w:eastAsia="zh-CN"/>
              </w:rPr>
              <w:t>2.20</w:t>
            </w:r>
            <w:r>
              <w:rPr>
                <w:rFonts w:hint="eastAsia"/>
                <w:color w:val="auto"/>
                <w:sz w:val="21"/>
                <w:szCs w:val="21"/>
                <w:highlight w:val="none"/>
              </w:rPr>
              <w:t>×10</w:t>
            </w:r>
            <w:r>
              <w:rPr>
                <w:rFonts w:hint="eastAsia"/>
                <w:color w:val="auto"/>
                <w:sz w:val="21"/>
                <w:szCs w:val="21"/>
                <w:highlight w:val="none"/>
                <w:vertAlign w:val="superscript"/>
              </w:rPr>
              <w:t>-8</w:t>
            </w:r>
            <w:r>
              <w:rPr>
                <w:rFonts w:hint="eastAsia"/>
                <w:color w:val="auto"/>
                <w:sz w:val="21"/>
                <w:szCs w:val="21"/>
                <w:highlight w:val="none"/>
              </w:rPr>
              <w:t>t TEQ/a</w:t>
            </w:r>
          </w:p>
        </w:tc>
      </w:tr>
    </w:tbl>
    <w:p/>
    <w:p>
      <w:pPr>
        <w:pStyle w:val="31"/>
        <w:rPr>
          <w:rFonts w:hint="default"/>
          <w:lang w:val="en-US" w:eastAsia="zh-CN"/>
        </w:rPr>
      </w:pPr>
      <w:r>
        <w:rPr>
          <w:rFonts w:hint="eastAsia"/>
          <w:lang w:val="en-US" w:eastAsia="zh-CN"/>
        </w:rPr>
        <w:t>5 环境监测计划</w:t>
      </w:r>
    </w:p>
    <w:p>
      <w:pPr>
        <w:pStyle w:val="15"/>
        <w:rPr>
          <w:rFonts w:hint="eastAsia"/>
          <w:color w:val="auto"/>
          <w:highlight w:val="none"/>
          <w:lang w:val="en-US" w:eastAsia="zh-CN"/>
        </w:rPr>
      </w:pPr>
      <w:r>
        <w:rPr>
          <w:rFonts w:hint="eastAsia"/>
          <w:color w:val="auto"/>
          <w:highlight w:val="none"/>
        </w:rPr>
        <w:t>项目</w:t>
      </w:r>
      <w:r>
        <w:rPr>
          <w:rFonts w:hint="eastAsia"/>
          <w:color w:val="auto"/>
          <w:highlight w:val="none"/>
          <w:lang w:val="en-US" w:eastAsia="zh-CN"/>
        </w:rPr>
        <w:t>大气环境</w:t>
      </w:r>
      <w:r>
        <w:rPr>
          <w:rFonts w:hint="eastAsia"/>
          <w:color w:val="auto"/>
          <w:highlight w:val="none"/>
        </w:rPr>
        <w:t>评价等级为</w:t>
      </w:r>
      <w:r>
        <w:rPr>
          <w:rFonts w:hint="eastAsia"/>
          <w:color w:val="auto"/>
          <w:highlight w:val="none"/>
          <w:lang w:val="en-US" w:eastAsia="zh-CN"/>
        </w:rPr>
        <w:t>二</w:t>
      </w:r>
      <w:r>
        <w:rPr>
          <w:rFonts w:hint="eastAsia"/>
          <w:color w:val="auto"/>
          <w:highlight w:val="none"/>
        </w:rPr>
        <w:t>级</w:t>
      </w:r>
      <w:r>
        <w:rPr>
          <w:rFonts w:hint="eastAsia"/>
          <w:color w:val="auto"/>
          <w:highlight w:val="none"/>
          <w:lang w:eastAsia="zh-CN"/>
        </w:rPr>
        <w:t>，</w:t>
      </w:r>
      <w:r>
        <w:rPr>
          <w:rFonts w:hint="eastAsia"/>
          <w:color w:val="auto"/>
          <w:highlight w:val="none"/>
          <w:lang w:val="en-US" w:eastAsia="zh-CN"/>
        </w:rPr>
        <w:t>根据</w:t>
      </w:r>
      <w:r>
        <w:rPr>
          <w:color w:val="auto"/>
          <w:highlight w:val="none"/>
          <w:lang w:val="zh-CN"/>
        </w:rPr>
        <w:t>《大气环境影响评价技术导则</w:t>
      </w:r>
      <w:r>
        <w:rPr>
          <w:rFonts w:hint="eastAsia"/>
          <w:color w:val="auto"/>
          <w:highlight w:val="none"/>
          <w:lang w:val="zh-CN"/>
        </w:rPr>
        <w:t xml:space="preserve"> </w:t>
      </w:r>
      <w:r>
        <w:rPr>
          <w:color w:val="auto"/>
          <w:highlight w:val="none"/>
          <w:lang w:val="zh-CN"/>
        </w:rPr>
        <w:t>大气环境》(HJ 2.2-2018)</w:t>
      </w:r>
      <w:r>
        <w:rPr>
          <w:rFonts w:hint="eastAsia"/>
          <w:color w:val="auto"/>
          <w:highlight w:val="none"/>
          <w:lang w:val="en-US" w:eastAsia="zh-CN"/>
        </w:rPr>
        <w:t>要求，提出项目在生产运行阶段的污染源监测计划。</w:t>
      </w:r>
    </w:p>
    <w:p>
      <w:pPr>
        <w:bidi w:val="0"/>
        <w:rPr>
          <w:rFonts w:hint="eastAsia"/>
          <w:color w:val="auto"/>
          <w:lang w:val="en-US" w:eastAsia="zh-CN"/>
        </w:rPr>
      </w:pPr>
      <w:r>
        <w:rPr>
          <w:rFonts w:hint="eastAsia"/>
          <w:color w:val="auto"/>
          <w:lang w:val="en-US" w:eastAsia="zh-CN"/>
        </w:rPr>
        <w:t>根据《排污单位自行监测技术指南 金属铸造工业》(HJ 1251-2022)，项目废气监测计划见表5.1-1。</w:t>
      </w:r>
    </w:p>
    <w:p>
      <w:pPr>
        <w:pStyle w:val="21"/>
        <w:bidi w:val="0"/>
        <w:rPr>
          <w:rFonts w:hint="default"/>
          <w:lang w:val="en-US" w:eastAsia="zh-CN"/>
        </w:rPr>
      </w:pPr>
      <w:r>
        <w:rPr>
          <w:rFonts w:hint="eastAsia"/>
          <w:lang w:val="en-US" w:eastAsia="zh-CN"/>
        </w:rPr>
        <w:t>表5.1-1  项目废气排放监测计划一览表</w:t>
      </w:r>
    </w:p>
    <w:tbl>
      <w:tblPr>
        <w:tblStyle w:val="1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1854"/>
        <w:gridCol w:w="1331"/>
        <w:gridCol w:w="3701"/>
        <w:gridCol w:w="1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shd w:val="clear" w:color="auto" w:fill="auto"/>
            <w:vAlign w:val="center"/>
          </w:tcPr>
          <w:p>
            <w:pPr>
              <w:pStyle w:val="19"/>
              <w:bidi w:val="0"/>
              <w:rPr>
                <w:rFonts w:hint="default"/>
                <w:b/>
                <w:bCs/>
                <w:vertAlign w:val="baseline"/>
                <w:lang w:val="en-US" w:eastAsia="zh-CN"/>
              </w:rPr>
            </w:pPr>
            <w:r>
              <w:rPr>
                <w:rFonts w:hint="eastAsia"/>
                <w:b/>
                <w:bCs/>
                <w:vertAlign w:val="baseline"/>
                <w:lang w:val="en-US" w:eastAsia="zh-CN"/>
              </w:rPr>
              <w:t>类型</w:t>
            </w:r>
          </w:p>
        </w:tc>
        <w:tc>
          <w:tcPr>
            <w:tcW w:w="999" w:type="pct"/>
            <w:shd w:val="clear" w:color="auto" w:fill="auto"/>
            <w:vAlign w:val="center"/>
          </w:tcPr>
          <w:p>
            <w:pPr>
              <w:pStyle w:val="19"/>
              <w:bidi w:val="0"/>
              <w:rPr>
                <w:rFonts w:hint="default"/>
                <w:b/>
                <w:bCs/>
                <w:vertAlign w:val="baseline"/>
                <w:lang w:val="en-US" w:eastAsia="zh-CN"/>
              </w:rPr>
            </w:pPr>
            <w:r>
              <w:rPr>
                <w:rFonts w:hint="eastAsia"/>
                <w:b/>
                <w:bCs/>
                <w:vertAlign w:val="baseline"/>
                <w:lang w:val="en-US" w:eastAsia="zh-CN"/>
              </w:rPr>
              <w:t>生产工序</w:t>
            </w:r>
          </w:p>
        </w:tc>
        <w:tc>
          <w:tcPr>
            <w:tcW w:w="717" w:type="pct"/>
            <w:shd w:val="clear" w:color="auto" w:fill="auto"/>
            <w:vAlign w:val="center"/>
          </w:tcPr>
          <w:p>
            <w:pPr>
              <w:pStyle w:val="19"/>
              <w:bidi w:val="0"/>
              <w:rPr>
                <w:rFonts w:hint="default"/>
                <w:b/>
                <w:bCs/>
                <w:vertAlign w:val="baseline"/>
                <w:lang w:val="en-US" w:eastAsia="zh-CN"/>
              </w:rPr>
            </w:pPr>
            <w:r>
              <w:rPr>
                <w:rFonts w:hint="eastAsia"/>
                <w:b/>
                <w:bCs/>
                <w:vertAlign w:val="baseline"/>
                <w:lang w:val="en-US" w:eastAsia="zh-CN"/>
              </w:rPr>
              <w:t>监测点位</w:t>
            </w:r>
          </w:p>
        </w:tc>
        <w:tc>
          <w:tcPr>
            <w:tcW w:w="1994" w:type="pct"/>
            <w:shd w:val="clear" w:color="auto" w:fill="auto"/>
            <w:vAlign w:val="center"/>
          </w:tcPr>
          <w:p>
            <w:pPr>
              <w:pStyle w:val="19"/>
              <w:bidi w:val="0"/>
              <w:rPr>
                <w:rFonts w:hint="default"/>
                <w:b/>
                <w:bCs/>
                <w:vertAlign w:val="baseline"/>
                <w:lang w:val="en-US" w:eastAsia="zh-CN"/>
              </w:rPr>
            </w:pPr>
            <w:r>
              <w:rPr>
                <w:rFonts w:hint="eastAsia"/>
                <w:b/>
                <w:bCs/>
                <w:vertAlign w:val="baseline"/>
                <w:lang w:val="en-US" w:eastAsia="zh-CN"/>
              </w:rPr>
              <w:t>监测指标</w:t>
            </w:r>
          </w:p>
        </w:tc>
        <w:tc>
          <w:tcPr>
            <w:tcW w:w="717" w:type="pct"/>
            <w:shd w:val="clear" w:color="auto" w:fill="auto"/>
            <w:vAlign w:val="center"/>
          </w:tcPr>
          <w:p>
            <w:pPr>
              <w:pStyle w:val="19"/>
              <w:bidi w:val="0"/>
              <w:rPr>
                <w:rFonts w:hint="default"/>
                <w:b/>
                <w:bCs/>
                <w:vertAlign w:val="baseline"/>
                <w:lang w:val="en-US" w:eastAsia="zh-CN"/>
              </w:rPr>
            </w:pPr>
            <w:r>
              <w:rPr>
                <w:rFonts w:hint="eastAsia"/>
                <w:b/>
                <w:bCs/>
                <w:vertAlign w:val="baseline"/>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72" w:type="pct"/>
            <w:vMerge w:val="restart"/>
            <w:shd w:val="clear" w:color="auto" w:fill="auto"/>
            <w:vAlign w:val="center"/>
          </w:tcPr>
          <w:p>
            <w:pPr>
              <w:pStyle w:val="19"/>
              <w:bidi w:val="0"/>
              <w:rPr>
                <w:rFonts w:hint="default"/>
                <w:vertAlign w:val="baseline"/>
                <w:lang w:val="en-US" w:eastAsia="zh-CN"/>
              </w:rPr>
            </w:pPr>
            <w:r>
              <w:rPr>
                <w:rFonts w:hint="eastAsia"/>
                <w:vertAlign w:val="baseline"/>
                <w:lang w:val="en-US" w:eastAsia="zh-CN"/>
              </w:rPr>
              <w:t>有组织</w:t>
            </w:r>
          </w:p>
        </w:tc>
        <w:tc>
          <w:tcPr>
            <w:tcW w:w="999"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冶炼、浇铸等</w:t>
            </w:r>
          </w:p>
        </w:tc>
        <w:tc>
          <w:tcPr>
            <w:tcW w:w="717"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DA001</w:t>
            </w:r>
          </w:p>
        </w:tc>
        <w:tc>
          <w:tcPr>
            <w:tcW w:w="1994"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颗粒物、氟化物、二噁英</w:t>
            </w:r>
          </w:p>
        </w:tc>
        <w:tc>
          <w:tcPr>
            <w:tcW w:w="717"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572" w:type="pct"/>
            <w:vMerge w:val="continue"/>
            <w:shd w:val="clear" w:color="auto" w:fill="auto"/>
            <w:vAlign w:val="center"/>
          </w:tcPr>
          <w:p>
            <w:pPr>
              <w:pStyle w:val="19"/>
              <w:bidi w:val="0"/>
              <w:rPr>
                <w:rFonts w:hint="eastAsia"/>
                <w:vertAlign w:val="baseline"/>
                <w:lang w:val="en-US" w:eastAsia="zh-CN"/>
              </w:rPr>
            </w:pPr>
          </w:p>
        </w:tc>
        <w:tc>
          <w:tcPr>
            <w:tcW w:w="999"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热处理炉</w:t>
            </w:r>
          </w:p>
        </w:tc>
        <w:tc>
          <w:tcPr>
            <w:tcW w:w="717"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DA002</w:t>
            </w:r>
          </w:p>
        </w:tc>
        <w:tc>
          <w:tcPr>
            <w:tcW w:w="1994"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颗粒物、二氧化硫、氮氧化物</w:t>
            </w:r>
          </w:p>
        </w:tc>
        <w:tc>
          <w:tcPr>
            <w:tcW w:w="717"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次/半年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无组织</w:t>
            </w:r>
          </w:p>
        </w:tc>
        <w:tc>
          <w:tcPr>
            <w:tcW w:w="999" w:type="pct"/>
            <w:shd w:val="clear" w:color="auto" w:fill="auto"/>
            <w:vAlign w:val="center"/>
          </w:tcPr>
          <w:p>
            <w:pPr>
              <w:pStyle w:val="19"/>
              <w:bidi w:val="0"/>
              <w:rPr>
                <w:rFonts w:hint="default"/>
                <w:vertAlign w:val="baseline"/>
                <w:lang w:val="en-US" w:eastAsia="zh-CN"/>
              </w:rPr>
            </w:pPr>
            <w:r>
              <w:rPr>
                <w:rFonts w:hint="eastAsia"/>
                <w:vertAlign w:val="baseline"/>
                <w:lang w:val="en-US" w:eastAsia="zh-CN"/>
              </w:rPr>
              <w:t>生产车间</w:t>
            </w:r>
          </w:p>
        </w:tc>
        <w:tc>
          <w:tcPr>
            <w:tcW w:w="717" w:type="pct"/>
            <w:shd w:val="clear" w:color="auto" w:fill="auto"/>
            <w:vAlign w:val="center"/>
          </w:tcPr>
          <w:p>
            <w:pPr>
              <w:pStyle w:val="19"/>
              <w:bidi w:val="0"/>
              <w:ind w:firstLine="0" w:firstLineChars="0"/>
              <w:rPr>
                <w:rFonts w:hint="default"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厂区</w:t>
            </w:r>
          </w:p>
        </w:tc>
        <w:tc>
          <w:tcPr>
            <w:tcW w:w="1994" w:type="pct"/>
            <w:shd w:val="clear" w:color="auto" w:fill="auto"/>
            <w:vAlign w:val="center"/>
          </w:tcPr>
          <w:p>
            <w:pPr>
              <w:pStyle w:val="19"/>
              <w:bidi w:val="0"/>
              <w:ind w:firstLine="0" w:firstLineChars="0"/>
              <w:rPr>
                <w:rFonts w:hint="default"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颗粒物</w:t>
            </w:r>
          </w:p>
        </w:tc>
        <w:tc>
          <w:tcPr>
            <w:tcW w:w="717" w:type="pct"/>
            <w:shd w:val="clear" w:color="auto" w:fill="auto"/>
            <w:vAlign w:val="center"/>
          </w:tcPr>
          <w:p>
            <w:pPr>
              <w:pStyle w:val="19"/>
              <w:bidi w:val="0"/>
              <w:ind w:firstLine="0" w:firstLineChars="0"/>
              <w:rPr>
                <w:rFonts w:hint="default" w:ascii="Times New Roman" w:hAnsi="Times New Roman" w:eastAsia="宋体" w:cs="Times New Roman"/>
                <w:color w:val="0D0D0D"/>
                <w:kern w:val="0"/>
                <w:sz w:val="21"/>
                <w:szCs w:val="21"/>
                <w:vertAlign w:val="baseline"/>
                <w:lang w:val="en-US" w:eastAsia="zh-CN" w:bidi="ar-SA"/>
              </w:rPr>
            </w:pPr>
            <w:r>
              <w:rPr>
                <w:rFonts w:hint="eastAsia"/>
                <w:vertAlign w:val="baseline"/>
                <w:lang w:val="en-US" w:eastAsia="zh-CN"/>
              </w:rPr>
              <w:t>次/年</w:t>
            </w:r>
          </w:p>
        </w:tc>
      </w:tr>
    </w:tbl>
    <w:p>
      <w:pPr>
        <w:pStyle w:val="31"/>
        <w:rPr>
          <w:rFonts w:hint="default"/>
          <w:lang w:val="en-US" w:eastAsia="zh-CN"/>
        </w:rPr>
      </w:pPr>
      <w:r>
        <w:rPr>
          <w:rFonts w:hint="eastAsia"/>
          <w:lang w:val="en-US" w:eastAsia="zh-CN"/>
        </w:rPr>
        <w:t>6 小结</w:t>
      </w:r>
    </w:p>
    <w:p>
      <w:pPr>
        <w:pStyle w:val="15"/>
      </w:pPr>
      <w:r>
        <w:rPr>
          <w:rFonts w:hint="eastAsia"/>
          <w:b w:val="0"/>
          <w:bCs w:val="0"/>
          <w:kern w:val="0"/>
        </w:rPr>
        <w:t>项目废气采取的治理措施合理可行，废气污染物经环保措施治理后均能做到达标排放；</w:t>
      </w:r>
      <w:r>
        <w:rPr>
          <w:rFonts w:hint="eastAsia"/>
          <w:color w:val="auto"/>
          <w:highlight w:val="none"/>
          <w:lang w:val="en-US" w:eastAsia="zh-CN"/>
        </w:rPr>
        <w:t>根据</w:t>
      </w:r>
      <w:r>
        <w:rPr>
          <w:color w:val="auto"/>
          <w:highlight w:val="none"/>
          <w:lang w:val="zh-CN"/>
        </w:rPr>
        <w:t>《大气环境影响评价技术导则</w:t>
      </w:r>
      <w:r>
        <w:rPr>
          <w:rFonts w:hint="eastAsia"/>
          <w:color w:val="auto"/>
          <w:highlight w:val="none"/>
          <w:lang w:val="zh-CN"/>
        </w:rPr>
        <w:t xml:space="preserve"> </w:t>
      </w:r>
      <w:r>
        <w:rPr>
          <w:color w:val="auto"/>
          <w:highlight w:val="none"/>
          <w:lang w:val="zh-CN"/>
        </w:rPr>
        <w:t>大气环境》(HJ 2.2-2018)中推荐的AERSCREEN估算</w:t>
      </w:r>
      <w:r>
        <w:rPr>
          <w:rFonts w:hint="eastAsia"/>
          <w:color w:val="auto"/>
          <w:highlight w:val="none"/>
          <w:lang w:val="en-US" w:eastAsia="zh-CN"/>
        </w:rPr>
        <w:t>结果</w:t>
      </w:r>
      <w:r>
        <w:rPr>
          <w:rFonts w:hint="eastAsia"/>
          <w:b w:val="0"/>
          <w:bCs w:val="0"/>
          <w:kern w:val="0"/>
        </w:rPr>
        <w:t>，项目废气污染物最大落地浓度较小，不会导致周边环境空气质量明显下降，对周边大气环境影响</w:t>
      </w:r>
      <w:r>
        <w:rPr>
          <w:rFonts w:hint="eastAsia"/>
          <w:b w:val="0"/>
          <w:bCs w:val="0"/>
          <w:kern w:val="0"/>
          <w:lang w:val="en-US" w:eastAsia="zh-CN"/>
        </w:rPr>
        <w:t>可接受</w:t>
      </w:r>
      <w:r>
        <w:rPr>
          <w:rFonts w:hint="eastAsia"/>
          <w:b w:val="0"/>
          <w:bCs w:val="0"/>
          <w:kern w:val="0"/>
        </w:rPr>
        <w:t>。</w:t>
      </w:r>
    </w:p>
    <w:p/>
    <w:p>
      <w:pPr>
        <w:pStyle w:val="15"/>
      </w:pPr>
    </w:p>
    <w:p/>
    <w:p>
      <w:pPr>
        <w:widowControl/>
        <w:spacing w:line="480" w:lineRule="exact"/>
        <w:rPr>
          <w:kern w:val="0"/>
        </w:rPr>
      </w:pPr>
    </w:p>
    <w:p>
      <w:pPr>
        <w:sectPr>
          <w:pgSz w:w="11906" w:h="16838"/>
          <w:pgMar w:top="1418" w:right="1418" w:bottom="1418" w:left="1418" w:header="851" w:footer="851" w:gutter="0"/>
          <w:cols w:space="425" w:num="1"/>
          <w:docGrid w:type="lines" w:linePitch="326" w:charSpace="0"/>
        </w:sectPr>
      </w:pPr>
    </w:p>
    <w:p>
      <w:pPr>
        <w:widowControl w:val="0"/>
        <w:spacing w:before="120" w:line="240" w:lineRule="auto"/>
        <w:ind w:firstLine="0" w:firstLineChars="0"/>
        <w:jc w:val="center"/>
        <w:rPr>
          <w:rFonts w:ascii="Times New Roman" w:hAnsi="Times New Roman" w:eastAsia="宋体" w:cstheme="minorBidi"/>
          <w:b/>
          <w:color w:val="auto"/>
          <w:kern w:val="2"/>
          <w:sz w:val="21"/>
          <w:szCs w:val="52"/>
          <w:highlight w:val="none"/>
          <w:lang w:val="zh-CN" w:eastAsia="zh-CN" w:bidi="ar-SA"/>
        </w:rPr>
      </w:pPr>
      <w:r>
        <w:rPr>
          <w:rFonts w:ascii="Times New Roman" w:hAnsi="Times New Roman" w:eastAsia="宋体" w:cstheme="minorBidi"/>
          <w:b/>
          <w:color w:val="auto"/>
          <w:kern w:val="2"/>
          <w:sz w:val="21"/>
          <w:szCs w:val="52"/>
          <w:highlight w:val="none"/>
          <w:lang w:val="zh-CN" w:eastAsia="zh-CN" w:bidi="ar-SA"/>
        </w:rPr>
        <w:t>表</w:t>
      </w:r>
      <w:r>
        <w:rPr>
          <w:rFonts w:hint="eastAsia" w:cstheme="minorBidi"/>
          <w:b/>
          <w:color w:val="auto"/>
          <w:kern w:val="2"/>
          <w:sz w:val="21"/>
          <w:szCs w:val="52"/>
          <w:highlight w:val="none"/>
          <w:lang w:val="en-US" w:eastAsia="zh-CN" w:bidi="ar-SA"/>
        </w:rPr>
        <w:t>6.1</w:t>
      </w:r>
      <w:r>
        <w:rPr>
          <w:rFonts w:hint="eastAsia" w:ascii="Times New Roman" w:hAnsi="Times New Roman" w:eastAsia="宋体" w:cstheme="minorBidi"/>
          <w:b/>
          <w:color w:val="auto"/>
          <w:kern w:val="2"/>
          <w:sz w:val="21"/>
          <w:szCs w:val="52"/>
          <w:highlight w:val="none"/>
          <w:lang w:val="en-US" w:eastAsia="zh-CN" w:bidi="ar-SA"/>
        </w:rPr>
        <w:t xml:space="preserve">-1  </w:t>
      </w:r>
      <w:r>
        <w:rPr>
          <w:rFonts w:ascii="Times New Roman" w:hAnsi="Times New Roman" w:eastAsia="宋体" w:cstheme="minorBidi"/>
          <w:b/>
          <w:color w:val="auto"/>
          <w:kern w:val="2"/>
          <w:sz w:val="21"/>
          <w:szCs w:val="52"/>
          <w:highlight w:val="none"/>
          <w:lang w:val="zh-CN" w:eastAsia="zh-CN" w:bidi="ar-SA"/>
        </w:rPr>
        <w:t>项目环境空气影响评价自查表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3"/>
        <w:gridCol w:w="2303"/>
        <w:gridCol w:w="1439"/>
        <w:gridCol w:w="1155"/>
        <w:gridCol w:w="96"/>
        <w:gridCol w:w="910"/>
        <w:gridCol w:w="905"/>
        <w:gridCol w:w="779"/>
        <w:gridCol w:w="20"/>
        <w:gridCol w:w="77"/>
        <w:gridCol w:w="810"/>
        <w:gridCol w:w="179"/>
        <w:gridCol w:w="682"/>
        <w:gridCol w:w="867"/>
        <w:gridCol w:w="150"/>
        <w:gridCol w:w="771"/>
        <w:gridCol w:w="520"/>
        <w:gridCol w:w="1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215" w:type="pct"/>
            <w:gridSpan w:val="2"/>
            <w:tcBorders>
              <w:insideH w:val="single" w:sz="6" w:space="0"/>
              <w:tl2br w:val="nil"/>
              <w:tr2bl w:val="nil"/>
            </w:tcBorders>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b/>
                <w:bCs/>
                <w:color w:val="auto"/>
                <w:kern w:val="0"/>
                <w:sz w:val="21"/>
                <w:szCs w:val="21"/>
                <w:highlight w:val="none"/>
                <w:lang w:val="en-US" w:eastAsia="zh-CN" w:bidi="ar-SA"/>
              </w:rPr>
            </w:pPr>
            <w:r>
              <w:rPr>
                <w:rFonts w:ascii="Times New Roman" w:hAnsi="Times New Roman" w:eastAsia="宋体" w:cs="Times New Roman"/>
                <w:b/>
                <w:bCs/>
                <w:color w:val="auto"/>
                <w:kern w:val="0"/>
                <w:sz w:val="21"/>
                <w:szCs w:val="21"/>
                <w:highlight w:val="none"/>
                <w:lang w:val="en-US" w:eastAsia="zh-CN" w:bidi="ar-SA"/>
              </w:rPr>
              <w:t>工作内容</w:t>
            </w:r>
          </w:p>
        </w:tc>
        <w:tc>
          <w:tcPr>
            <w:tcW w:w="3785" w:type="pct"/>
            <w:gridSpan w:val="16"/>
            <w:tcBorders>
              <w:insideH w:val="single" w:sz="6" w:space="0"/>
              <w:tl2br w:val="nil"/>
              <w:tr2bl w:val="nil"/>
            </w:tcBorders>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b/>
                <w:bCs/>
                <w:color w:val="auto"/>
                <w:kern w:val="0"/>
                <w:sz w:val="21"/>
                <w:szCs w:val="21"/>
                <w:highlight w:val="none"/>
                <w:lang w:val="en-US" w:eastAsia="zh-CN" w:bidi="ar-SA"/>
              </w:rPr>
            </w:pPr>
            <w:r>
              <w:rPr>
                <w:rFonts w:ascii="Times New Roman" w:hAnsi="Times New Roman" w:eastAsia="宋体" w:cs="Times New Roman"/>
                <w:b/>
                <w:bCs/>
                <w:color w:val="auto"/>
                <w:kern w:val="0"/>
                <w:sz w:val="21"/>
                <w:szCs w:val="21"/>
                <w:highlight w:val="none"/>
                <w:lang w:val="en-US" w:eastAsia="zh-CN" w:bidi="ar-SA"/>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restar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评价等级与范围</w:t>
            </w: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评价等级</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一级</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214"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二级</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三级</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评价范围</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边长=50km</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214"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边长=5~50km</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边长=5km</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restar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评价因子</w:t>
            </w: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SO</w:t>
            </w:r>
            <w:r>
              <w:rPr>
                <w:rFonts w:ascii="Times New Roman" w:hAnsi="Times New Roman" w:eastAsia="宋体" w:cs="Times New Roman"/>
                <w:color w:val="auto"/>
                <w:kern w:val="0"/>
                <w:sz w:val="21"/>
                <w:szCs w:val="21"/>
                <w:highlight w:val="none"/>
                <w:vertAlign w:val="subscript"/>
                <w:lang w:val="en-US" w:eastAsia="zh-CN" w:bidi="ar-SA"/>
              </w:rPr>
              <w:t>2</w:t>
            </w:r>
            <w:r>
              <w:rPr>
                <w:rFonts w:ascii="Times New Roman" w:hAnsi="Times New Roman" w:eastAsia="宋体" w:cs="Times New Roman"/>
                <w:color w:val="auto"/>
                <w:kern w:val="0"/>
                <w:sz w:val="21"/>
                <w:szCs w:val="21"/>
                <w:highlight w:val="none"/>
                <w:lang w:val="en-US" w:eastAsia="zh-CN" w:bidi="ar-SA"/>
              </w:rPr>
              <w:t>+NOx排放量</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≥2000t/a</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214"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500~2000t/a</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&lt;500t/a</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评价因子</w:t>
            </w:r>
          </w:p>
        </w:tc>
        <w:tc>
          <w:tcPr>
            <w:tcW w:w="2480" w:type="pct"/>
            <w:gridSpan w:val="11"/>
            <w:shd w:val="clear" w:color="auto" w:fill="auto"/>
            <w:vAlign w:val="center"/>
          </w:tcPr>
          <w:p>
            <w:pPr>
              <w:widowControl w:val="0"/>
              <w:snapToGrid w:val="0"/>
              <w:spacing w:line="360" w:lineRule="exact"/>
              <w:ind w:firstLine="0" w:firstLineChars="0"/>
              <w:jc w:val="both"/>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基本污染物</w:t>
            </w:r>
            <w:r>
              <w:rPr>
                <w:rFonts w:hint="eastAsia" w:ascii="Times New Roman" w:hAnsi="Times New Roman" w:eastAsia="宋体"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SO</w:t>
            </w:r>
            <w:r>
              <w:rPr>
                <w:rFonts w:ascii="Times New Roman" w:hAnsi="Times New Roman" w:eastAsia="宋体" w:cs="Times New Roman"/>
                <w:color w:val="auto"/>
                <w:kern w:val="0"/>
                <w:sz w:val="21"/>
                <w:szCs w:val="21"/>
                <w:highlight w:val="none"/>
                <w:vertAlign w:val="subscript"/>
                <w:lang w:val="en-US" w:eastAsia="zh-CN" w:bidi="ar-SA"/>
              </w:rPr>
              <w:t>2</w:t>
            </w:r>
            <w:r>
              <w:rPr>
                <w:rFonts w:ascii="Times New Roman" w:hAnsi="Times New Roman" w:eastAsia="宋体" w:cs="Times New Roman"/>
                <w:color w:val="auto"/>
                <w:kern w:val="0"/>
                <w:sz w:val="21"/>
                <w:szCs w:val="21"/>
                <w:highlight w:val="none"/>
                <w:lang w:val="en-US" w:eastAsia="zh-CN" w:bidi="ar-SA"/>
              </w:rPr>
              <w:t>、NO</w:t>
            </w:r>
            <w:r>
              <w:rPr>
                <w:rFonts w:ascii="Times New Roman" w:hAnsi="Times New Roman" w:eastAsia="宋体" w:cs="Times New Roman"/>
                <w:color w:val="auto"/>
                <w:kern w:val="0"/>
                <w:sz w:val="21"/>
                <w:szCs w:val="21"/>
                <w:highlight w:val="none"/>
                <w:vertAlign w:val="subscript"/>
                <w:lang w:val="en-US" w:eastAsia="zh-CN" w:bidi="ar-SA"/>
              </w:rPr>
              <w:t>2</w:t>
            </w:r>
            <w:r>
              <w:rPr>
                <w:rFonts w:ascii="Times New Roman" w:hAnsi="Times New Roman" w:eastAsia="宋体" w:cs="Times New Roman"/>
                <w:color w:val="auto"/>
                <w:kern w:val="0"/>
                <w:sz w:val="21"/>
                <w:szCs w:val="21"/>
                <w:highlight w:val="none"/>
                <w:lang w:val="en-US" w:eastAsia="zh-CN" w:bidi="ar-SA"/>
              </w:rPr>
              <w:t>、PM</w:t>
            </w:r>
            <w:r>
              <w:rPr>
                <w:rFonts w:ascii="Times New Roman" w:hAnsi="Times New Roman" w:eastAsia="宋体" w:cs="Times New Roman"/>
                <w:color w:val="auto"/>
                <w:kern w:val="0"/>
                <w:sz w:val="21"/>
                <w:szCs w:val="21"/>
                <w:highlight w:val="none"/>
                <w:vertAlign w:val="subscript"/>
                <w:lang w:val="en-US" w:eastAsia="zh-CN" w:bidi="ar-SA"/>
              </w:rPr>
              <w:t>10</w:t>
            </w:r>
            <w:r>
              <w:rPr>
                <w:rFonts w:ascii="Times New Roman" w:hAnsi="Times New Roman" w:eastAsia="宋体" w:cs="Times New Roman"/>
                <w:color w:val="auto"/>
                <w:kern w:val="0"/>
                <w:sz w:val="21"/>
                <w:szCs w:val="21"/>
                <w:highlight w:val="none"/>
                <w:lang w:val="en-US" w:eastAsia="zh-CN" w:bidi="ar-SA"/>
              </w:rPr>
              <w:t>、PM</w:t>
            </w:r>
            <w:r>
              <w:rPr>
                <w:rFonts w:ascii="Times New Roman" w:hAnsi="Times New Roman" w:eastAsia="宋体" w:cs="Times New Roman"/>
                <w:color w:val="auto"/>
                <w:kern w:val="0"/>
                <w:sz w:val="21"/>
                <w:szCs w:val="21"/>
                <w:highlight w:val="none"/>
                <w:vertAlign w:val="subscript"/>
                <w:lang w:val="en-US" w:eastAsia="zh-CN" w:bidi="ar-SA"/>
              </w:rPr>
              <w:t>2.5</w:t>
            </w:r>
            <w:r>
              <w:rPr>
                <w:rFonts w:ascii="Times New Roman" w:hAnsi="Times New Roman" w:eastAsia="宋体" w:cs="Times New Roman"/>
                <w:color w:val="auto"/>
                <w:kern w:val="0"/>
                <w:sz w:val="21"/>
                <w:szCs w:val="21"/>
                <w:highlight w:val="none"/>
                <w:lang w:val="en-US" w:eastAsia="zh-CN" w:bidi="ar-SA"/>
              </w:rPr>
              <w:t>、CO、O</w:t>
            </w:r>
            <w:r>
              <w:rPr>
                <w:rFonts w:ascii="Times New Roman" w:hAnsi="Times New Roman" w:eastAsia="宋体" w:cs="Times New Roman"/>
                <w:color w:val="auto"/>
                <w:kern w:val="0"/>
                <w:sz w:val="21"/>
                <w:szCs w:val="21"/>
                <w:highlight w:val="none"/>
                <w:vertAlign w:val="subscript"/>
                <w:lang w:val="en-US" w:eastAsia="zh-CN" w:bidi="ar-SA"/>
              </w:rPr>
              <w:t>3</w:t>
            </w:r>
            <w:r>
              <w:rPr>
                <w:rFonts w:hint="eastAsia" w:ascii="Times New Roman" w:hAnsi="Times New Roman" w:eastAsia="宋体"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；其他污染物</w:t>
            </w:r>
            <w:r>
              <w:rPr>
                <w:rFonts w:hint="eastAsia" w:ascii="Times New Roman" w:hAnsi="Times New Roman" w:eastAsia="宋体" w:cs="Times New Roman"/>
                <w:color w:val="auto"/>
                <w:kern w:val="0"/>
                <w:sz w:val="21"/>
                <w:szCs w:val="21"/>
                <w:highlight w:val="none"/>
                <w:lang w:val="en-US" w:eastAsia="zh-CN" w:bidi="ar-SA"/>
              </w:rPr>
              <w:t>(TSP</w:t>
            </w:r>
            <w:r>
              <w:rPr>
                <w:rFonts w:ascii="Times New Roman" w:hAnsi="Times New Roman" w:eastAsia="宋体" w:cs="Times New Roman"/>
                <w:color w:val="auto"/>
                <w:kern w:val="0"/>
                <w:sz w:val="21"/>
                <w:szCs w:val="21"/>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氟化物、二噁英</w:t>
            </w:r>
            <w:r>
              <w:rPr>
                <w:rFonts w:ascii="Times New Roman" w:hAnsi="Times New Roman" w:eastAsia="宋体" w:cs="Times New Roman"/>
                <w:color w:val="auto"/>
                <w:kern w:val="0"/>
                <w:sz w:val="21"/>
                <w:szCs w:val="21"/>
                <w:highlight w:val="none"/>
                <w:lang w:val="en-US" w:eastAsia="zh-CN" w:bidi="ar-SA"/>
              </w:rPr>
              <w:t>)</w:t>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包括二次PM</w:t>
            </w:r>
            <w:r>
              <w:rPr>
                <w:rFonts w:ascii="Times New Roman" w:hAnsi="Times New Roman" w:eastAsia="宋体" w:cs="Times New Roman"/>
                <w:color w:val="auto"/>
                <w:kern w:val="0"/>
                <w:sz w:val="21"/>
                <w:szCs w:val="21"/>
                <w:highlight w:val="none"/>
                <w:vertAlign w:val="subscript"/>
                <w:lang w:val="en-US" w:eastAsia="zh-CN" w:bidi="ar-SA"/>
              </w:rPr>
              <w:t>2.5</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不包括二次PM</w:t>
            </w:r>
            <w:r>
              <w:rPr>
                <w:rFonts w:ascii="Times New Roman" w:hAnsi="Times New Roman" w:eastAsia="宋体" w:cs="Times New Roman"/>
                <w:color w:val="auto"/>
                <w:kern w:val="0"/>
                <w:sz w:val="21"/>
                <w:szCs w:val="21"/>
                <w:highlight w:val="none"/>
                <w:vertAlign w:val="subscript"/>
                <w:lang w:val="en-US" w:eastAsia="zh-CN" w:bidi="ar-SA"/>
              </w:rPr>
              <w:t>2.5</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评价标准</w:t>
            </w: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评价标准</w:t>
            </w:r>
          </w:p>
        </w:tc>
        <w:tc>
          <w:tcPr>
            <w:tcW w:w="912" w:type="pct"/>
            <w:gridSpan w:val="2"/>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国家标准</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953"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地方标准</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920"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附录D</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000"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其他标准</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restar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现状评价</w:t>
            </w: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评价功能区</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一类</w:t>
            </w:r>
            <w:r>
              <w:rPr>
                <w:rFonts w:hint="eastAsia" w:ascii="Times New Roman" w:hAnsi="Times New Roman" w:eastAsia="宋体" w:cs="Times New Roman"/>
                <w:color w:val="auto"/>
                <w:kern w:val="0"/>
                <w:sz w:val="21"/>
                <w:szCs w:val="21"/>
                <w:highlight w:val="none"/>
                <w:lang w:val="en-US" w:eastAsia="zh-CN" w:bidi="ar-SA"/>
              </w:rPr>
              <w:t>区</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214"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二类区</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一类区和二类区</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评价基准年</w:t>
            </w:r>
          </w:p>
        </w:tc>
        <w:tc>
          <w:tcPr>
            <w:tcW w:w="3785" w:type="pct"/>
            <w:gridSpan w:val="16"/>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(20</w:t>
            </w:r>
            <w:r>
              <w:rPr>
                <w:rFonts w:hint="eastAsia" w:ascii="Times New Roman" w:hAnsi="Times New Roman" w:eastAsia="宋体" w:cs="Times New Roman"/>
                <w:color w:val="auto"/>
                <w:kern w:val="0"/>
                <w:sz w:val="21"/>
                <w:szCs w:val="21"/>
                <w:highlight w:val="none"/>
                <w:lang w:val="en-US" w:eastAsia="zh-CN" w:bidi="ar-SA"/>
              </w:rPr>
              <w:t>21</w:t>
            </w:r>
            <w:r>
              <w:rPr>
                <w:rFonts w:ascii="Times New Roman" w:hAnsi="Times New Roman" w:eastAsia="宋体" w:cs="Times New Roman"/>
                <w:color w:val="auto"/>
                <w:kern w:val="0"/>
                <w:sz w:val="21"/>
                <w:szCs w:val="21"/>
                <w:highlight w:val="none"/>
                <w:lang w:val="en-US" w:eastAsia="zh-CN" w:bidi="ar-SA"/>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环境空气质量现状调查数据来源</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长期例行监测数据</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214"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主管部门发布数据</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现状补充监测</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现状评价</w:t>
            </w:r>
          </w:p>
        </w:tc>
        <w:tc>
          <w:tcPr>
            <w:tcW w:w="1865"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达标区</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920" w:type="pct"/>
            <w:gridSpan w:val="9"/>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不达标区</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污染源调查</w:t>
            </w: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调查内容</w:t>
            </w:r>
          </w:p>
        </w:tc>
        <w:tc>
          <w:tcPr>
            <w:tcW w:w="912" w:type="pct"/>
            <w:gridSpan w:val="2"/>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本项目正常排放源</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项目非正常排放源</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现有污染源</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953"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拟替代的污染源</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920"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其他在建、项目污染源</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000"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区域污染源</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restar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大气环境影响预测与评价</w:t>
            </w: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预测模型</w:t>
            </w:r>
          </w:p>
        </w:tc>
        <w:tc>
          <w:tcPr>
            <w:tcW w:w="506"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AERMOD</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406"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ADMS</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672" w:type="pct"/>
            <w:gridSpan w:val="3"/>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AUSTAL2000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593"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EDMS/AEDT</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608" w:type="pct"/>
            <w:gridSpan w:val="3"/>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CALPUFF</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507" w:type="pct"/>
            <w:gridSpan w:val="3"/>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网格模型</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493"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其他</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预测范围</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边长≥50km</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519" w:type="pct"/>
            <w:gridSpan w:val="8"/>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边长5~50km</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000"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边长=5km</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预测因子</w:t>
            </w:r>
          </w:p>
        </w:tc>
        <w:tc>
          <w:tcPr>
            <w:tcW w:w="1858" w:type="pct"/>
            <w:gridSpan w:val="6"/>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预测因子(PM</w:t>
            </w:r>
            <w:r>
              <w:rPr>
                <w:rFonts w:ascii="Times New Roman" w:hAnsi="Times New Roman" w:eastAsia="宋体" w:cs="Times New Roman"/>
                <w:color w:val="auto"/>
                <w:kern w:val="0"/>
                <w:sz w:val="21"/>
                <w:szCs w:val="21"/>
                <w:highlight w:val="none"/>
                <w:vertAlign w:val="subscript"/>
                <w:lang w:val="en-US" w:eastAsia="zh-CN" w:bidi="ar-SA"/>
              </w:rPr>
              <w:t>10</w:t>
            </w:r>
            <w:r>
              <w:rPr>
                <w:rFonts w:ascii="Times New Roman" w:hAnsi="Times New Roman" w:eastAsia="宋体" w:cs="Times New Roman"/>
                <w:color w:val="auto"/>
                <w:kern w:val="0"/>
                <w:sz w:val="21"/>
                <w:szCs w:val="21"/>
                <w:highlight w:val="none"/>
                <w:lang w:val="en-US" w:eastAsia="zh-CN" w:bidi="ar-SA"/>
              </w:rPr>
              <w:t>、PM</w:t>
            </w:r>
            <w:r>
              <w:rPr>
                <w:rFonts w:ascii="Times New Roman" w:hAnsi="Times New Roman" w:eastAsia="宋体" w:cs="Times New Roman"/>
                <w:color w:val="auto"/>
                <w:kern w:val="0"/>
                <w:sz w:val="21"/>
                <w:szCs w:val="21"/>
                <w:highlight w:val="none"/>
                <w:vertAlign w:val="subscript"/>
                <w:lang w:val="en-US" w:eastAsia="zh-CN" w:bidi="ar-SA"/>
              </w:rPr>
              <w:t>2.5</w:t>
            </w:r>
            <w:r>
              <w:rPr>
                <w:rFonts w:hint="eastAsia" w:ascii="Times New Roman" w:hAnsi="Times New Roman" w:eastAsia="宋体" w:cs="Times New Roman"/>
                <w:color w:val="auto"/>
                <w:kern w:val="0"/>
                <w:sz w:val="21"/>
                <w:szCs w:val="21"/>
                <w:highlight w:val="none"/>
                <w:lang w:val="en-US" w:eastAsia="zh-CN" w:bidi="ar-SA"/>
              </w:rPr>
              <w:t>、TSP、氟化物、二噁英</w:t>
            </w:r>
            <w:r>
              <w:rPr>
                <w:rFonts w:ascii="Times New Roman" w:hAnsi="Times New Roman" w:eastAsia="宋体" w:cs="Times New Roman"/>
                <w:color w:val="auto"/>
                <w:kern w:val="0"/>
                <w:sz w:val="21"/>
                <w:szCs w:val="21"/>
                <w:highlight w:val="none"/>
                <w:lang w:val="en-US" w:eastAsia="zh-CN" w:bidi="ar-SA"/>
              </w:rPr>
              <w:t>)</w:t>
            </w:r>
          </w:p>
        </w:tc>
        <w:tc>
          <w:tcPr>
            <w:tcW w:w="1927" w:type="pct"/>
            <w:gridSpan w:val="10"/>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包括二次PM</w:t>
            </w:r>
            <w:r>
              <w:rPr>
                <w:rFonts w:ascii="Times New Roman" w:hAnsi="Times New Roman" w:eastAsia="宋体" w:cs="Times New Roman"/>
                <w:color w:val="auto"/>
                <w:kern w:val="0"/>
                <w:sz w:val="21"/>
                <w:szCs w:val="21"/>
                <w:highlight w:val="none"/>
                <w:vertAlign w:val="subscript"/>
                <w:lang w:val="en-US" w:eastAsia="zh-CN" w:bidi="ar-SA"/>
              </w:rPr>
              <w:t>2.5</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不包括二次PM</w:t>
            </w:r>
            <w:r>
              <w:rPr>
                <w:rFonts w:ascii="Times New Roman" w:hAnsi="Times New Roman" w:eastAsia="宋体" w:cs="Times New Roman"/>
                <w:color w:val="auto"/>
                <w:kern w:val="0"/>
                <w:sz w:val="21"/>
                <w:szCs w:val="21"/>
                <w:highlight w:val="none"/>
                <w:vertAlign w:val="subscript"/>
                <w:lang w:val="en-US" w:eastAsia="zh-CN" w:bidi="ar-SA"/>
              </w:rPr>
              <w:t>2.5</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正常排放短期浓度贡献值</w:t>
            </w:r>
          </w:p>
        </w:tc>
        <w:tc>
          <w:tcPr>
            <w:tcW w:w="1858" w:type="pct"/>
            <w:gridSpan w:val="6"/>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C本项目最大占标率≤100%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927" w:type="pct"/>
            <w:gridSpan w:val="10"/>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C本项目最大占标率&gt;100%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vMerge w:val="restar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正常排放年均浓度贡献值</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一类区</w:t>
            </w:r>
          </w:p>
        </w:tc>
        <w:tc>
          <w:tcPr>
            <w:tcW w:w="1214"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C本项目最大占标率≤10%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C本项目最大占标率&gt;10%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二类区</w:t>
            </w:r>
          </w:p>
        </w:tc>
        <w:tc>
          <w:tcPr>
            <w:tcW w:w="1214"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C本项目最大占标率≤30%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C本项目最大占标率&gt;30%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非正常1h浓度贡献值</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非正常持续时长(</w:t>
            </w:r>
            <w:r>
              <w:rPr>
                <w:rFonts w:hint="eastAsia" w:ascii="Times New Roman" w:hAnsi="Times New Roman" w:eastAsia="宋体" w:cs="Times New Roman"/>
                <w:color w:val="auto"/>
                <w:kern w:val="0"/>
                <w:sz w:val="21"/>
                <w:szCs w:val="21"/>
                <w:highlight w:val="none"/>
                <w:lang w:val="en-US" w:eastAsia="zh-CN" w:bidi="ar-SA"/>
              </w:rPr>
              <w:t>0</w:t>
            </w:r>
            <w:r>
              <w:rPr>
                <w:rFonts w:ascii="Times New Roman" w:hAnsi="Times New Roman" w:eastAsia="宋体" w:cs="Times New Roman"/>
                <w:color w:val="auto"/>
                <w:kern w:val="0"/>
                <w:sz w:val="21"/>
                <w:szCs w:val="21"/>
                <w:highlight w:val="none"/>
                <w:lang w:val="en-US" w:eastAsia="zh-CN" w:bidi="ar-SA"/>
              </w:rPr>
              <w:t>.5)h</w:t>
            </w:r>
          </w:p>
        </w:tc>
        <w:tc>
          <w:tcPr>
            <w:tcW w:w="1214" w:type="pct"/>
            <w:gridSpan w:val="7"/>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C非正常占标率≤100%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305"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C非正常占标率&gt;100%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保证率日平均浓度和年平均浓度叠加值</w:t>
            </w:r>
          </w:p>
        </w:tc>
        <w:tc>
          <w:tcPr>
            <w:tcW w:w="2240" w:type="pct"/>
            <w:gridSpan w:val="10"/>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C叠加达标</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545" w:type="pct"/>
            <w:gridSpan w:val="6"/>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C叠加不达标</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区域环境质量的整体变化情况</w:t>
            </w:r>
          </w:p>
        </w:tc>
        <w:tc>
          <w:tcPr>
            <w:tcW w:w="2240" w:type="pct"/>
            <w:gridSpan w:val="10"/>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k≤-20%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545" w:type="pct"/>
            <w:gridSpan w:val="6"/>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k&gt;-20%</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restar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环境监测计划</w:t>
            </w: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污染源监测</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监测因子：</w:t>
            </w:r>
            <w:r>
              <w:rPr>
                <w:rFonts w:hint="eastAsia" w:ascii="Times New Roman" w:hAnsi="Times New Roman" w:eastAsia="宋体" w:cs="Times New Roman"/>
                <w:color w:val="auto"/>
                <w:kern w:val="0"/>
                <w:sz w:val="21"/>
                <w:szCs w:val="21"/>
                <w:highlight w:val="none"/>
                <w:lang w:val="en-US" w:eastAsia="zh-CN" w:bidi="ar-SA"/>
              </w:rPr>
              <w:t>(颗粒物、</w:t>
            </w:r>
            <w:r>
              <w:rPr>
                <w:rFonts w:ascii="Times New Roman" w:hAnsi="Times New Roman" w:eastAsia="宋体" w:cs="Times New Roman"/>
                <w:color w:val="auto"/>
                <w:kern w:val="0"/>
                <w:sz w:val="21"/>
                <w:szCs w:val="21"/>
                <w:highlight w:val="none"/>
                <w:lang w:val="en-US" w:eastAsia="zh-CN" w:bidi="ar-SA"/>
              </w:rPr>
              <w:t>SO</w:t>
            </w:r>
            <w:r>
              <w:rPr>
                <w:rFonts w:ascii="Times New Roman" w:hAnsi="Times New Roman" w:eastAsia="宋体" w:cs="Times New Roman"/>
                <w:color w:val="auto"/>
                <w:kern w:val="0"/>
                <w:sz w:val="21"/>
                <w:szCs w:val="21"/>
                <w:highlight w:val="none"/>
                <w:vertAlign w:val="subscript"/>
                <w:lang w:val="en-US" w:eastAsia="zh-CN" w:bidi="ar-SA"/>
              </w:rPr>
              <w:t>2</w:t>
            </w:r>
            <w:r>
              <w:rPr>
                <w:rFonts w:ascii="Times New Roman" w:hAnsi="Times New Roman" w:eastAsia="宋体" w:cs="Times New Roman"/>
                <w:color w:val="auto"/>
                <w:kern w:val="0"/>
                <w:sz w:val="21"/>
                <w:szCs w:val="21"/>
                <w:highlight w:val="none"/>
                <w:lang w:val="en-US" w:eastAsia="zh-CN" w:bidi="ar-SA"/>
              </w:rPr>
              <w:t>、NOx、</w:t>
            </w:r>
            <w:r>
              <w:rPr>
                <w:rFonts w:hint="eastAsia" w:ascii="Times New Roman" w:hAnsi="Times New Roman" w:eastAsia="宋体" w:cs="Times New Roman"/>
                <w:color w:val="auto"/>
                <w:kern w:val="0"/>
                <w:sz w:val="21"/>
                <w:szCs w:val="21"/>
                <w:highlight w:val="none"/>
                <w:lang w:val="en-US" w:eastAsia="zh-CN" w:bidi="ar-SA"/>
              </w:rPr>
              <w:t>氟化物、二噁英)</w:t>
            </w:r>
          </w:p>
        </w:tc>
        <w:tc>
          <w:tcPr>
            <w:tcW w:w="1519" w:type="pct"/>
            <w:gridSpan w:val="8"/>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有组织废气监测</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r>
              <w:rPr>
                <w:rFonts w:ascii="Times New Roman" w:hAnsi="Times New Roman" w:eastAsia="宋体" w:cs="Times New Roman"/>
                <w:color w:val="auto"/>
                <w:kern w:val="0"/>
                <w:sz w:val="21"/>
                <w:szCs w:val="21"/>
                <w:highlight w:val="none"/>
                <w:lang w:val="en-US" w:eastAsia="zh-CN" w:bidi="ar-SA"/>
              </w:rPr>
              <w:t xml:space="preserve">  无组织废气监测</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c>
          <w:tcPr>
            <w:tcW w:w="1000"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无监测</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环境质量监测</w:t>
            </w:r>
          </w:p>
        </w:tc>
        <w:tc>
          <w:tcPr>
            <w:tcW w:w="1266" w:type="pct"/>
            <w:gridSpan w:val="4"/>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监测因子：()</w:t>
            </w:r>
          </w:p>
        </w:tc>
        <w:tc>
          <w:tcPr>
            <w:tcW w:w="1843" w:type="pct"/>
            <w:gridSpan w:val="10"/>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监测点位数()</w:t>
            </w:r>
          </w:p>
        </w:tc>
        <w:tc>
          <w:tcPr>
            <w:tcW w:w="676" w:type="pct"/>
            <w:gridSpan w:val="2"/>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无监测</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restar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评价结论</w:t>
            </w: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环境影响</w:t>
            </w:r>
          </w:p>
        </w:tc>
        <w:tc>
          <w:tcPr>
            <w:tcW w:w="3785" w:type="pct"/>
            <w:gridSpan w:val="16"/>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可以接受</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r>
              <w:rPr>
                <w:rFonts w:ascii="Times New Roman" w:hAnsi="Times New Roman" w:eastAsia="宋体" w:cs="Times New Roman"/>
                <w:color w:val="auto"/>
                <w:kern w:val="0"/>
                <w:sz w:val="21"/>
                <w:szCs w:val="21"/>
                <w:highlight w:val="none"/>
                <w:lang w:val="en-US" w:eastAsia="zh-CN" w:bidi="ar-SA"/>
              </w:rPr>
              <w:t>不可以接受</w:t>
            </w:r>
            <w:r>
              <w:rPr>
                <w:rFonts w:ascii="Times New Roman" w:hAnsi="Times New Roman" w:eastAsia="宋体" w:cs="Times New Roman"/>
                <w:color w:val="auto"/>
                <w:kern w:val="0"/>
                <w:sz w:val="21"/>
                <w:szCs w:val="21"/>
                <w:highlight w:val="none"/>
                <w:lang w:val="en-US" w:eastAsia="zh-CN" w:bidi="ar-SA"/>
              </w:rPr>
              <w:fldChar w:fldCharType="begin"/>
            </w:r>
            <w:r>
              <w:rPr>
                <w:rFonts w:ascii="Times New Roman" w:hAnsi="Times New Roman" w:eastAsia="宋体" w:cs="Times New Roman"/>
                <w:color w:val="auto"/>
                <w:kern w:val="0"/>
                <w:sz w:val="21"/>
                <w:szCs w:val="21"/>
                <w:highlight w:val="none"/>
                <w:lang w:val="en-US" w:eastAsia="zh-CN" w:bidi="ar-SA"/>
              </w:rPr>
              <w:instrText xml:space="preserve"> </w:instrText>
            </w:r>
            <w:r>
              <w:rPr>
                <w:rFonts w:hint="eastAsia" w:ascii="Times New Roman" w:hAnsi="Times New Roman" w:eastAsia="宋体" w:cs="Times New Roman"/>
                <w:color w:val="auto"/>
                <w:kern w:val="0"/>
                <w:sz w:val="21"/>
                <w:szCs w:val="21"/>
                <w:highlight w:val="none"/>
                <w:lang w:val="en-US" w:eastAsia="zh-CN" w:bidi="ar-SA"/>
              </w:rPr>
              <w:instrText xml:space="preserve">eq \o\ac(□,□)</w:instrText>
            </w:r>
            <w:r>
              <w:rPr>
                <w:rFonts w:ascii="Times New Roman" w:hAnsi="Times New Roman" w:eastAsia="宋体" w:cs="Times New Roman"/>
                <w:color w:val="auto"/>
                <w:kern w:val="0"/>
                <w:sz w:val="21"/>
                <w:szCs w:val="21"/>
                <w:highlight w:val="none"/>
                <w:lang w:val="en-US" w:eastAsia="zh-CN" w:bidi="ar-SA"/>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大气环境防护距离</w:t>
            </w:r>
          </w:p>
        </w:tc>
        <w:tc>
          <w:tcPr>
            <w:tcW w:w="3785" w:type="pct"/>
            <w:gridSpan w:val="16"/>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距(    )厂界最远()m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05" w:type="pct"/>
            <w:vMerge w:val="continue"/>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p>
        </w:tc>
        <w:tc>
          <w:tcPr>
            <w:tcW w:w="810" w:type="pct"/>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污染源年排放量</w:t>
            </w:r>
          </w:p>
        </w:tc>
        <w:tc>
          <w:tcPr>
            <w:tcW w:w="946" w:type="pct"/>
            <w:gridSpan w:val="3"/>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SO</w:t>
            </w:r>
            <w:r>
              <w:rPr>
                <w:rFonts w:ascii="Times New Roman" w:hAnsi="Times New Roman" w:eastAsia="宋体" w:cs="Times New Roman"/>
                <w:color w:val="auto"/>
                <w:kern w:val="0"/>
                <w:sz w:val="21"/>
                <w:szCs w:val="21"/>
                <w:highlight w:val="none"/>
                <w:vertAlign w:val="subscript"/>
                <w:lang w:val="en-US" w:eastAsia="zh-CN" w:bidi="ar-SA"/>
              </w:rPr>
              <w:t>2</w:t>
            </w:r>
            <w:r>
              <w:rPr>
                <w:rFonts w:hint="eastAsia" w:ascii="Times New Roman" w:hAnsi="Times New Roman" w:eastAsia="宋体"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0.22</w:t>
            </w:r>
            <w:r>
              <w:rPr>
                <w:rFonts w:ascii="Times New Roman" w:hAnsi="Times New Roman" w:eastAsia="宋体" w:cs="Times New Roman"/>
                <w:color w:val="auto"/>
                <w:kern w:val="0"/>
                <w:sz w:val="21"/>
                <w:szCs w:val="21"/>
                <w:highlight w:val="none"/>
                <w:lang w:val="en-US" w:eastAsia="zh-CN" w:bidi="ar-SA"/>
              </w:rPr>
              <w:t>)t/a</w:t>
            </w:r>
          </w:p>
        </w:tc>
        <w:tc>
          <w:tcPr>
            <w:tcW w:w="946"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NOx</w:t>
            </w:r>
            <w:r>
              <w:rPr>
                <w:rFonts w:hint="eastAsia" w:ascii="Times New Roman" w:hAnsi="Times New Roman" w:eastAsia="宋体"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0.51</w:t>
            </w:r>
            <w:r>
              <w:rPr>
                <w:rFonts w:ascii="Times New Roman" w:hAnsi="Times New Roman" w:eastAsia="宋体" w:cs="Times New Roman"/>
                <w:color w:val="auto"/>
                <w:kern w:val="0"/>
                <w:sz w:val="21"/>
                <w:szCs w:val="21"/>
                <w:highlight w:val="none"/>
                <w:lang w:val="en-US" w:eastAsia="zh-CN" w:bidi="ar-SA"/>
              </w:rPr>
              <w:t>)t/a</w:t>
            </w:r>
          </w:p>
        </w:tc>
        <w:tc>
          <w:tcPr>
            <w:tcW w:w="946" w:type="pct"/>
            <w:gridSpan w:val="5"/>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颗粒物</w:t>
            </w:r>
            <w:r>
              <w:rPr>
                <w:rFonts w:hint="eastAsia" w:ascii="Times New Roman" w:hAnsi="Times New Roman" w:eastAsia="宋体"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11.06</w:t>
            </w:r>
            <w:r>
              <w:rPr>
                <w:rFonts w:ascii="Times New Roman" w:hAnsi="Times New Roman" w:eastAsia="宋体" w:cs="Times New Roman"/>
                <w:color w:val="auto"/>
                <w:kern w:val="0"/>
                <w:sz w:val="21"/>
                <w:szCs w:val="21"/>
                <w:highlight w:val="none"/>
                <w:lang w:val="en-US" w:eastAsia="zh-CN" w:bidi="ar-SA"/>
              </w:rPr>
              <w:t>)t/a</w:t>
            </w:r>
          </w:p>
        </w:tc>
        <w:tc>
          <w:tcPr>
            <w:tcW w:w="947" w:type="pct"/>
            <w:gridSpan w:val="3"/>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VOCs</w:t>
            </w:r>
            <w:r>
              <w:rPr>
                <w:rFonts w:hint="eastAsia" w:ascii="Times New Roman" w:hAnsi="Times New Roman" w:eastAsia="宋体"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18"/>
            <w:shd w:val="clear" w:color="auto" w:fill="auto"/>
            <w:vAlign w:val="center"/>
          </w:tcPr>
          <w:p>
            <w:pPr>
              <w:widowControl w:val="0"/>
              <w:snapToGrid w:val="0"/>
              <w:spacing w:line="360" w:lineRule="exact"/>
              <w:ind w:firstLine="0" w:firstLineChars="0"/>
              <w:jc w:val="left"/>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注：“□”，填“√”；“()”为内容填写项</w:t>
            </w:r>
          </w:p>
        </w:tc>
      </w:tr>
    </w:tbl>
    <w:p>
      <w:pPr>
        <w:pStyle w:val="2"/>
      </w:pPr>
    </w:p>
    <w:p/>
    <w:p/>
    <w:p/>
    <w:p/>
    <w:p/>
    <w:p/>
    <w:sectPr>
      <w:pgSz w:w="16838" w:h="11906" w:orient="landscape"/>
      <w:pgMar w:top="1418" w:right="1418" w:bottom="1418" w:left="1418" w:header="851" w:footer="851" w:gutter="0"/>
      <w:cols w:space="425" w:num="1"/>
      <w:docGrid w:type="lines" w:linePitch="326" w:charSpace="0"/>
    </w:sectPr>
  </w:body>
</w:document>
</file>

<file path=word/customizations.xml><?xml version="1.0" encoding="utf-8"?>
<wne:tcg xmlns:r="http://schemas.openxmlformats.org/officeDocument/2006/relationships" xmlns:wne="http://schemas.microsoft.com/office/word/2006/wordml">
  <wne:keymaps>
    <wne:keymap wne:kcmPrimary="0236">
      <wne:acd wne:acdName="acd0"/>
    </wne:keymap>
  </wne:keymaps>
  <wne:acds>
    <wne:acd wne:argValue="AQAAAAA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603F01FF" w:csb1="FFFF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2000000000000000000"/>
    <w:charset w:val="86"/>
    <w:family w:val="script"/>
    <w:pitch w:val="default"/>
    <w:sig w:usb0="00000000" w:usb1="00000000" w:usb2="00082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Wingdings 2">
    <w:altName w:val="Wingdings"/>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 w:name="Wingdings">
    <w:panose1 w:val="05000000000000000000"/>
    <w:charset w:val="00"/>
    <w:family w:val="auto"/>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63230131"/>
      <w:docPartObj>
        <w:docPartGallery w:val="autotext"/>
      </w:docPartObj>
    </w:sdtPr>
    <w:sdtContent>
      <w:p>
        <w:pPr>
          <w:pStyle w:val="12"/>
          <w:pBdr>
            <w:top w:val="single" w:color="auto" w:sz="4" w:space="1"/>
          </w:pBdr>
          <w:ind w:firstLine="0" w:firstLineChars="0"/>
          <w:jc w:val="distribute"/>
        </w:pPr>
        <w:r>
          <w:rPr>
            <w:rFonts w:hint="eastAsia"/>
          </w:rPr>
          <w:t xml:space="preserve">安徽泰昌特殊合金制造有限公司 </w:t>
        </w:r>
        <w:r>
          <w:t xml:space="preserve">                                                     </w:t>
        </w:r>
        <w:r>
          <w:rPr>
            <w:rFonts w:hint="eastAsia"/>
          </w:rPr>
          <w:t xml:space="preserve"> 第-</w:t>
        </w:r>
        <w:r>
          <w:fldChar w:fldCharType="begin"/>
        </w:r>
        <w:r>
          <w:instrText xml:space="preserve">PAGE   \* MERGEFORMAT</w:instrText>
        </w:r>
        <w:r>
          <w:fldChar w:fldCharType="separate"/>
        </w:r>
        <w:r>
          <w:rPr>
            <w:lang w:val="zh-CN"/>
          </w:rPr>
          <w:t>2</w:t>
        </w:r>
        <w:r>
          <w:fldChar w:fldCharType="end"/>
        </w:r>
        <w:r>
          <w:t>-</w:t>
        </w:r>
        <w:r>
          <w:rPr>
            <w:rFonts w:hint="eastAsia"/>
          </w:rPr>
          <w:t>页</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snapToGrid/>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4" w:space="1"/>
      </w:pBdr>
      <w:snapToGrid/>
      <w:ind w:firstLine="0" w:firstLineChars="0"/>
      <w:jc w:val="distribute"/>
    </w:pPr>
    <w:r>
      <w:rPr>
        <w:rFonts w:hint="eastAsia"/>
      </w:rPr>
      <w:t xml:space="preserve">3万吨/年特殊钢铸件项目 </w:t>
    </w:r>
    <w:r>
      <w:t xml:space="preserve">                                        2024</w:t>
    </w:r>
    <w:r>
      <w:rPr>
        <w:rFonts w:hint="eastAsia"/>
      </w:rPr>
      <w:t>年</w:t>
    </w:r>
    <w:r>
      <w:rPr>
        <w:rFonts w:hint="eastAsia"/>
        <w:lang w:val="en-US" w:eastAsia="zh-CN"/>
      </w:rPr>
      <w:t>3</w:t>
    </w:r>
    <w:r>
      <w:rPr>
        <w:rFonts w:hint="eastAsia"/>
      </w:rPr>
      <w:t>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7DD006B"/>
    <w:multiLevelType w:val="singleLevel"/>
    <w:tmpl w:val="17DD006B"/>
    <w:lvl w:ilvl="0" w:tentative="0">
      <w:start w:val="1"/>
      <w:numFmt w:val="decimal"/>
      <w:lvlText w:val="(%1)"/>
      <w:lvlJc w:val="left"/>
      <w:pPr>
        <w:ind w:left="425" w:hanging="425"/>
      </w:pPr>
      <w:rPr>
        <w:rFonts w:hint="default"/>
      </w:rPr>
    </w:lvl>
  </w:abstractNum>
  <w:abstractNum w:abstractNumId="1">
    <w:nsid w:val="1F4F0F51"/>
    <w:multiLevelType w:val="singleLevel"/>
    <w:tmpl w:val="1F4F0F51"/>
    <w:lvl w:ilvl="0" w:tentative="0">
      <w:start w:val="1"/>
      <w:numFmt w:val="bullet"/>
      <w:lvlText w:val=""/>
      <w:lvlJc w:val="left"/>
      <w:pPr>
        <w:ind w:left="420" w:hanging="420"/>
      </w:pPr>
      <w:rPr>
        <w:rFonts w:hint="default" w:ascii="Wingdings" w:hAnsi="Wingdings"/>
      </w:rPr>
    </w:lvl>
  </w:abstractNum>
  <w:abstractNum w:abstractNumId="2">
    <w:nsid w:val="33C685AA"/>
    <w:multiLevelType w:val="singleLevel"/>
    <w:tmpl w:val="33C685AA"/>
    <w:lvl w:ilvl="0" w:tentative="0">
      <w:start w:val="1"/>
      <w:numFmt w:val="bullet"/>
      <w:pStyle w:val="10"/>
      <w:lvlText w:val=""/>
      <w:lvlJc w:val="left"/>
      <w:pPr>
        <w:tabs>
          <w:tab w:val="left" w:pos="2040"/>
        </w:tabs>
        <w:ind w:left="2040" w:hanging="360"/>
      </w:pPr>
      <w:rPr>
        <w:rFonts w:hint="default" w:ascii="Wingdings" w:hAnsi="Wingdings"/>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WY1ODg5NDM2YTUwODI1NTgxNDI0ZmRjY2IzYzVmYjQifQ=="/>
  </w:docVars>
  <w:rsids>
    <w:rsidRoot w:val="00873B3F"/>
    <w:rsid w:val="000006A4"/>
    <w:rsid w:val="00002F1A"/>
    <w:rsid w:val="000036B4"/>
    <w:rsid w:val="00004D3E"/>
    <w:rsid w:val="0001443C"/>
    <w:rsid w:val="0001697F"/>
    <w:rsid w:val="00026589"/>
    <w:rsid w:val="000337D4"/>
    <w:rsid w:val="00037725"/>
    <w:rsid w:val="0004646F"/>
    <w:rsid w:val="000510B6"/>
    <w:rsid w:val="000551A2"/>
    <w:rsid w:val="00055B4C"/>
    <w:rsid w:val="000571D5"/>
    <w:rsid w:val="0005797B"/>
    <w:rsid w:val="0006503E"/>
    <w:rsid w:val="00080BD0"/>
    <w:rsid w:val="000846CE"/>
    <w:rsid w:val="00085EFC"/>
    <w:rsid w:val="00094A1B"/>
    <w:rsid w:val="000A53B4"/>
    <w:rsid w:val="000B1930"/>
    <w:rsid w:val="000B5FD7"/>
    <w:rsid w:val="000D0268"/>
    <w:rsid w:val="000D20AC"/>
    <w:rsid w:val="000D6E28"/>
    <w:rsid w:val="000D7451"/>
    <w:rsid w:val="000E36AA"/>
    <w:rsid w:val="00102D01"/>
    <w:rsid w:val="00123372"/>
    <w:rsid w:val="00131D01"/>
    <w:rsid w:val="00137A14"/>
    <w:rsid w:val="00142655"/>
    <w:rsid w:val="00142971"/>
    <w:rsid w:val="00154B67"/>
    <w:rsid w:val="001607E5"/>
    <w:rsid w:val="00171635"/>
    <w:rsid w:val="00175785"/>
    <w:rsid w:val="001779B8"/>
    <w:rsid w:val="00181AD4"/>
    <w:rsid w:val="00184EF7"/>
    <w:rsid w:val="00192CFB"/>
    <w:rsid w:val="001958D4"/>
    <w:rsid w:val="001C1A7E"/>
    <w:rsid w:val="001C51D1"/>
    <w:rsid w:val="001C68E9"/>
    <w:rsid w:val="001E196A"/>
    <w:rsid w:val="001E225B"/>
    <w:rsid w:val="001F3A51"/>
    <w:rsid w:val="00200EC5"/>
    <w:rsid w:val="00201E90"/>
    <w:rsid w:val="0020793F"/>
    <w:rsid w:val="002306B2"/>
    <w:rsid w:val="00231880"/>
    <w:rsid w:val="00241DF3"/>
    <w:rsid w:val="002430FD"/>
    <w:rsid w:val="00244116"/>
    <w:rsid w:val="00247D6F"/>
    <w:rsid w:val="00250226"/>
    <w:rsid w:val="00252F86"/>
    <w:rsid w:val="0025709E"/>
    <w:rsid w:val="0026081F"/>
    <w:rsid w:val="00260CFC"/>
    <w:rsid w:val="00262CDD"/>
    <w:rsid w:val="00266465"/>
    <w:rsid w:val="00270D59"/>
    <w:rsid w:val="0028060B"/>
    <w:rsid w:val="00294DEE"/>
    <w:rsid w:val="002A1A3B"/>
    <w:rsid w:val="002B331C"/>
    <w:rsid w:val="002B3EB4"/>
    <w:rsid w:val="002C05D1"/>
    <w:rsid w:val="002D2714"/>
    <w:rsid w:val="002D725D"/>
    <w:rsid w:val="002E2B72"/>
    <w:rsid w:val="002E65B7"/>
    <w:rsid w:val="002F3731"/>
    <w:rsid w:val="00301602"/>
    <w:rsid w:val="00304E7B"/>
    <w:rsid w:val="0031256C"/>
    <w:rsid w:val="00312F59"/>
    <w:rsid w:val="0032121E"/>
    <w:rsid w:val="00327F2B"/>
    <w:rsid w:val="0033289D"/>
    <w:rsid w:val="00336142"/>
    <w:rsid w:val="00340EAE"/>
    <w:rsid w:val="003561F9"/>
    <w:rsid w:val="003721AB"/>
    <w:rsid w:val="0038065C"/>
    <w:rsid w:val="00381408"/>
    <w:rsid w:val="00382234"/>
    <w:rsid w:val="00382CDF"/>
    <w:rsid w:val="0038363A"/>
    <w:rsid w:val="00392CAF"/>
    <w:rsid w:val="00397B64"/>
    <w:rsid w:val="003A1030"/>
    <w:rsid w:val="003A474A"/>
    <w:rsid w:val="003A66A9"/>
    <w:rsid w:val="003B2816"/>
    <w:rsid w:val="003C1536"/>
    <w:rsid w:val="003D056C"/>
    <w:rsid w:val="003E6005"/>
    <w:rsid w:val="003F0C88"/>
    <w:rsid w:val="00416433"/>
    <w:rsid w:val="004521AC"/>
    <w:rsid w:val="00455530"/>
    <w:rsid w:val="00457DFE"/>
    <w:rsid w:val="004644E8"/>
    <w:rsid w:val="0046492D"/>
    <w:rsid w:val="00471F8A"/>
    <w:rsid w:val="004763F2"/>
    <w:rsid w:val="00485C22"/>
    <w:rsid w:val="004A16C5"/>
    <w:rsid w:val="004A44F9"/>
    <w:rsid w:val="004A6390"/>
    <w:rsid w:val="004B5866"/>
    <w:rsid w:val="004C1FEE"/>
    <w:rsid w:val="004C20ED"/>
    <w:rsid w:val="004C3908"/>
    <w:rsid w:val="004D72FD"/>
    <w:rsid w:val="004E1072"/>
    <w:rsid w:val="004F2C8B"/>
    <w:rsid w:val="004F6179"/>
    <w:rsid w:val="004F7453"/>
    <w:rsid w:val="00505633"/>
    <w:rsid w:val="00510836"/>
    <w:rsid w:val="0051111C"/>
    <w:rsid w:val="00523E2C"/>
    <w:rsid w:val="005407A1"/>
    <w:rsid w:val="005441F0"/>
    <w:rsid w:val="005451D9"/>
    <w:rsid w:val="005601B6"/>
    <w:rsid w:val="005637B2"/>
    <w:rsid w:val="0056733B"/>
    <w:rsid w:val="00567F75"/>
    <w:rsid w:val="0057265A"/>
    <w:rsid w:val="00573E75"/>
    <w:rsid w:val="0058527A"/>
    <w:rsid w:val="00591042"/>
    <w:rsid w:val="00591CCD"/>
    <w:rsid w:val="00596048"/>
    <w:rsid w:val="005B1A30"/>
    <w:rsid w:val="005C0E6F"/>
    <w:rsid w:val="005C259B"/>
    <w:rsid w:val="005D246F"/>
    <w:rsid w:val="005D5DBC"/>
    <w:rsid w:val="005E0108"/>
    <w:rsid w:val="005E144B"/>
    <w:rsid w:val="005F106E"/>
    <w:rsid w:val="00611A5E"/>
    <w:rsid w:val="00624154"/>
    <w:rsid w:val="00631D2C"/>
    <w:rsid w:val="00665041"/>
    <w:rsid w:val="00665C28"/>
    <w:rsid w:val="006662C4"/>
    <w:rsid w:val="00683AFF"/>
    <w:rsid w:val="006945C3"/>
    <w:rsid w:val="006A1157"/>
    <w:rsid w:val="006A7565"/>
    <w:rsid w:val="006B7C89"/>
    <w:rsid w:val="006C30F8"/>
    <w:rsid w:val="006E1E7A"/>
    <w:rsid w:val="006E770E"/>
    <w:rsid w:val="006F4237"/>
    <w:rsid w:val="0070637D"/>
    <w:rsid w:val="00707083"/>
    <w:rsid w:val="00707AD4"/>
    <w:rsid w:val="00712B48"/>
    <w:rsid w:val="00720969"/>
    <w:rsid w:val="00742A01"/>
    <w:rsid w:val="007934EE"/>
    <w:rsid w:val="00796DFD"/>
    <w:rsid w:val="0079759A"/>
    <w:rsid w:val="007B05F8"/>
    <w:rsid w:val="007B17EA"/>
    <w:rsid w:val="007F7FF5"/>
    <w:rsid w:val="008153EB"/>
    <w:rsid w:val="008478EF"/>
    <w:rsid w:val="00854170"/>
    <w:rsid w:val="008551A3"/>
    <w:rsid w:val="0086419E"/>
    <w:rsid w:val="008713EC"/>
    <w:rsid w:val="00873B3F"/>
    <w:rsid w:val="00881ECA"/>
    <w:rsid w:val="00882244"/>
    <w:rsid w:val="008960A0"/>
    <w:rsid w:val="008A3316"/>
    <w:rsid w:val="008A4DA8"/>
    <w:rsid w:val="008B35B3"/>
    <w:rsid w:val="008B3F91"/>
    <w:rsid w:val="008B4978"/>
    <w:rsid w:val="008B5458"/>
    <w:rsid w:val="008B67D6"/>
    <w:rsid w:val="008C5D30"/>
    <w:rsid w:val="008C6B19"/>
    <w:rsid w:val="008C6EA7"/>
    <w:rsid w:val="008E1CBB"/>
    <w:rsid w:val="008E62CE"/>
    <w:rsid w:val="008F064C"/>
    <w:rsid w:val="008F1407"/>
    <w:rsid w:val="00906D89"/>
    <w:rsid w:val="00911A8F"/>
    <w:rsid w:val="00912B2F"/>
    <w:rsid w:val="00912E7F"/>
    <w:rsid w:val="009176A0"/>
    <w:rsid w:val="00920D59"/>
    <w:rsid w:val="009226CB"/>
    <w:rsid w:val="00924A2F"/>
    <w:rsid w:val="009448F7"/>
    <w:rsid w:val="00951CB7"/>
    <w:rsid w:val="00954983"/>
    <w:rsid w:val="00963460"/>
    <w:rsid w:val="00995289"/>
    <w:rsid w:val="00995DD3"/>
    <w:rsid w:val="009D0FA8"/>
    <w:rsid w:val="009D17CF"/>
    <w:rsid w:val="009E2DC1"/>
    <w:rsid w:val="009E4790"/>
    <w:rsid w:val="009E7509"/>
    <w:rsid w:val="009E7796"/>
    <w:rsid w:val="009F0382"/>
    <w:rsid w:val="00A02639"/>
    <w:rsid w:val="00A12F64"/>
    <w:rsid w:val="00A21D37"/>
    <w:rsid w:val="00A235C8"/>
    <w:rsid w:val="00A309A0"/>
    <w:rsid w:val="00A45E3A"/>
    <w:rsid w:val="00A678A3"/>
    <w:rsid w:val="00A770A3"/>
    <w:rsid w:val="00A815C6"/>
    <w:rsid w:val="00A82047"/>
    <w:rsid w:val="00A8585B"/>
    <w:rsid w:val="00A875B1"/>
    <w:rsid w:val="00A972A5"/>
    <w:rsid w:val="00AB278C"/>
    <w:rsid w:val="00AC262B"/>
    <w:rsid w:val="00AC59F8"/>
    <w:rsid w:val="00AD1245"/>
    <w:rsid w:val="00AD22F1"/>
    <w:rsid w:val="00AD5FF2"/>
    <w:rsid w:val="00AE43A7"/>
    <w:rsid w:val="00AE478F"/>
    <w:rsid w:val="00B10609"/>
    <w:rsid w:val="00B176F7"/>
    <w:rsid w:val="00B27B4A"/>
    <w:rsid w:val="00B50493"/>
    <w:rsid w:val="00B5199F"/>
    <w:rsid w:val="00B54995"/>
    <w:rsid w:val="00B66A18"/>
    <w:rsid w:val="00B66D2D"/>
    <w:rsid w:val="00B80E57"/>
    <w:rsid w:val="00B87DCB"/>
    <w:rsid w:val="00B96255"/>
    <w:rsid w:val="00B9681C"/>
    <w:rsid w:val="00BA18AF"/>
    <w:rsid w:val="00BB3635"/>
    <w:rsid w:val="00BC11BE"/>
    <w:rsid w:val="00BC4938"/>
    <w:rsid w:val="00BD2A5B"/>
    <w:rsid w:val="00BE001D"/>
    <w:rsid w:val="00BE1187"/>
    <w:rsid w:val="00BE45C0"/>
    <w:rsid w:val="00BE4C7E"/>
    <w:rsid w:val="00BF0FF6"/>
    <w:rsid w:val="00BF31BA"/>
    <w:rsid w:val="00C03C58"/>
    <w:rsid w:val="00C0604A"/>
    <w:rsid w:val="00C20DCC"/>
    <w:rsid w:val="00C278EA"/>
    <w:rsid w:val="00C30D42"/>
    <w:rsid w:val="00C3233E"/>
    <w:rsid w:val="00C40B36"/>
    <w:rsid w:val="00C61C85"/>
    <w:rsid w:val="00C64A11"/>
    <w:rsid w:val="00C7675D"/>
    <w:rsid w:val="00C86F7E"/>
    <w:rsid w:val="00C92964"/>
    <w:rsid w:val="00C96D17"/>
    <w:rsid w:val="00C973CF"/>
    <w:rsid w:val="00CB214B"/>
    <w:rsid w:val="00CB4058"/>
    <w:rsid w:val="00CB5A4B"/>
    <w:rsid w:val="00CD3159"/>
    <w:rsid w:val="00CF1023"/>
    <w:rsid w:val="00CF1A2C"/>
    <w:rsid w:val="00D074A7"/>
    <w:rsid w:val="00D15F2F"/>
    <w:rsid w:val="00D1637C"/>
    <w:rsid w:val="00D2570E"/>
    <w:rsid w:val="00D323E9"/>
    <w:rsid w:val="00D35AD1"/>
    <w:rsid w:val="00D35C53"/>
    <w:rsid w:val="00D4168B"/>
    <w:rsid w:val="00D433DC"/>
    <w:rsid w:val="00D56A47"/>
    <w:rsid w:val="00D6026F"/>
    <w:rsid w:val="00D63E86"/>
    <w:rsid w:val="00D66ABD"/>
    <w:rsid w:val="00D77BD1"/>
    <w:rsid w:val="00D9148A"/>
    <w:rsid w:val="00DA2C0E"/>
    <w:rsid w:val="00DA3E29"/>
    <w:rsid w:val="00DB635A"/>
    <w:rsid w:val="00DC3E30"/>
    <w:rsid w:val="00DC5F7E"/>
    <w:rsid w:val="00DC7FDD"/>
    <w:rsid w:val="00DE04CC"/>
    <w:rsid w:val="00DE1226"/>
    <w:rsid w:val="00DF0A72"/>
    <w:rsid w:val="00DF0BC6"/>
    <w:rsid w:val="00E00D4B"/>
    <w:rsid w:val="00E0600D"/>
    <w:rsid w:val="00E076BF"/>
    <w:rsid w:val="00E10D58"/>
    <w:rsid w:val="00E2214C"/>
    <w:rsid w:val="00E52159"/>
    <w:rsid w:val="00E637F8"/>
    <w:rsid w:val="00E65407"/>
    <w:rsid w:val="00E723A8"/>
    <w:rsid w:val="00E757BE"/>
    <w:rsid w:val="00E81934"/>
    <w:rsid w:val="00E827A1"/>
    <w:rsid w:val="00E9332D"/>
    <w:rsid w:val="00EA07A4"/>
    <w:rsid w:val="00EC4E74"/>
    <w:rsid w:val="00EF0EAF"/>
    <w:rsid w:val="00EF199D"/>
    <w:rsid w:val="00EF3CED"/>
    <w:rsid w:val="00EF5BF6"/>
    <w:rsid w:val="00F33FBD"/>
    <w:rsid w:val="00F349E7"/>
    <w:rsid w:val="00F355F5"/>
    <w:rsid w:val="00F42434"/>
    <w:rsid w:val="00F42B02"/>
    <w:rsid w:val="00F7221F"/>
    <w:rsid w:val="00F76C2D"/>
    <w:rsid w:val="00F972E7"/>
    <w:rsid w:val="00FA10D2"/>
    <w:rsid w:val="00FA31BE"/>
    <w:rsid w:val="00FB13FF"/>
    <w:rsid w:val="00FB2594"/>
    <w:rsid w:val="00FB6505"/>
    <w:rsid w:val="00FC0F73"/>
    <w:rsid w:val="00FC3801"/>
    <w:rsid w:val="00FC695E"/>
    <w:rsid w:val="00FC6DAB"/>
    <w:rsid w:val="00FD6BCC"/>
    <w:rsid w:val="00FE3929"/>
    <w:rsid w:val="00FE5459"/>
    <w:rsid w:val="01787946"/>
    <w:rsid w:val="019C4126"/>
    <w:rsid w:val="01D43877"/>
    <w:rsid w:val="01F9035B"/>
    <w:rsid w:val="01FB0577"/>
    <w:rsid w:val="01FB40D3"/>
    <w:rsid w:val="02026E1F"/>
    <w:rsid w:val="02080F1A"/>
    <w:rsid w:val="020E4338"/>
    <w:rsid w:val="02145195"/>
    <w:rsid w:val="022C0201"/>
    <w:rsid w:val="02637CC0"/>
    <w:rsid w:val="027C26CB"/>
    <w:rsid w:val="030F0F65"/>
    <w:rsid w:val="032A7383"/>
    <w:rsid w:val="037A11E6"/>
    <w:rsid w:val="038216FA"/>
    <w:rsid w:val="03C35446"/>
    <w:rsid w:val="03C6157B"/>
    <w:rsid w:val="03D1158F"/>
    <w:rsid w:val="03E72C95"/>
    <w:rsid w:val="03FF434E"/>
    <w:rsid w:val="043B584F"/>
    <w:rsid w:val="04787C5D"/>
    <w:rsid w:val="04AD5310"/>
    <w:rsid w:val="04E83035"/>
    <w:rsid w:val="05234481"/>
    <w:rsid w:val="05405337"/>
    <w:rsid w:val="05C72A9C"/>
    <w:rsid w:val="05F86319"/>
    <w:rsid w:val="060B5DDD"/>
    <w:rsid w:val="060C6AB5"/>
    <w:rsid w:val="062E3933"/>
    <w:rsid w:val="0631076F"/>
    <w:rsid w:val="064B0C3E"/>
    <w:rsid w:val="066D7B6C"/>
    <w:rsid w:val="069E611E"/>
    <w:rsid w:val="06AB651A"/>
    <w:rsid w:val="06B62CBE"/>
    <w:rsid w:val="06DF1DD2"/>
    <w:rsid w:val="07014AF1"/>
    <w:rsid w:val="071F5567"/>
    <w:rsid w:val="075039EC"/>
    <w:rsid w:val="07504EC1"/>
    <w:rsid w:val="0769211F"/>
    <w:rsid w:val="07A10084"/>
    <w:rsid w:val="07C95D82"/>
    <w:rsid w:val="081634E3"/>
    <w:rsid w:val="081B4C1B"/>
    <w:rsid w:val="081D1247"/>
    <w:rsid w:val="08365E65"/>
    <w:rsid w:val="0849203C"/>
    <w:rsid w:val="089B2F7E"/>
    <w:rsid w:val="08AE0284"/>
    <w:rsid w:val="090D6440"/>
    <w:rsid w:val="092053DD"/>
    <w:rsid w:val="09474FEE"/>
    <w:rsid w:val="09711631"/>
    <w:rsid w:val="099E10B0"/>
    <w:rsid w:val="09B027F1"/>
    <w:rsid w:val="09FB5B0D"/>
    <w:rsid w:val="0A0D7099"/>
    <w:rsid w:val="0A1801D8"/>
    <w:rsid w:val="0A213FBF"/>
    <w:rsid w:val="0A2E079B"/>
    <w:rsid w:val="0AD10AF1"/>
    <w:rsid w:val="0ADE7ACE"/>
    <w:rsid w:val="0AE349ED"/>
    <w:rsid w:val="0AEC0542"/>
    <w:rsid w:val="0AF84B54"/>
    <w:rsid w:val="0B064214"/>
    <w:rsid w:val="0B1C59EA"/>
    <w:rsid w:val="0B23748B"/>
    <w:rsid w:val="0B3C7C36"/>
    <w:rsid w:val="0B4F3852"/>
    <w:rsid w:val="0B5608F9"/>
    <w:rsid w:val="0B6722F2"/>
    <w:rsid w:val="0B6C5DEC"/>
    <w:rsid w:val="0B6E218F"/>
    <w:rsid w:val="0BD86EDB"/>
    <w:rsid w:val="0BFA364D"/>
    <w:rsid w:val="0C063013"/>
    <w:rsid w:val="0C4635C6"/>
    <w:rsid w:val="0C5404D8"/>
    <w:rsid w:val="0C7321A9"/>
    <w:rsid w:val="0C905E01"/>
    <w:rsid w:val="0C946800"/>
    <w:rsid w:val="0CCD37C8"/>
    <w:rsid w:val="0CCF0636"/>
    <w:rsid w:val="0CEC743A"/>
    <w:rsid w:val="0D824724"/>
    <w:rsid w:val="0DBD7A6F"/>
    <w:rsid w:val="0E1D4757"/>
    <w:rsid w:val="0E364C77"/>
    <w:rsid w:val="0E547045"/>
    <w:rsid w:val="0E807E3A"/>
    <w:rsid w:val="0E946F32"/>
    <w:rsid w:val="0E947D89"/>
    <w:rsid w:val="0E9512B4"/>
    <w:rsid w:val="0EA24254"/>
    <w:rsid w:val="0EA54A41"/>
    <w:rsid w:val="0EC16891"/>
    <w:rsid w:val="0F276600"/>
    <w:rsid w:val="104E0E1D"/>
    <w:rsid w:val="11496C09"/>
    <w:rsid w:val="114E61AA"/>
    <w:rsid w:val="1176413A"/>
    <w:rsid w:val="118B079D"/>
    <w:rsid w:val="11E06E41"/>
    <w:rsid w:val="11FE4FE1"/>
    <w:rsid w:val="120622C2"/>
    <w:rsid w:val="120D06B0"/>
    <w:rsid w:val="1238270F"/>
    <w:rsid w:val="12B4559A"/>
    <w:rsid w:val="12C27429"/>
    <w:rsid w:val="12D469A6"/>
    <w:rsid w:val="12FE572C"/>
    <w:rsid w:val="12FE6E34"/>
    <w:rsid w:val="130124A4"/>
    <w:rsid w:val="130A0560"/>
    <w:rsid w:val="13223BB5"/>
    <w:rsid w:val="13511DA5"/>
    <w:rsid w:val="138A5BED"/>
    <w:rsid w:val="139F5AA6"/>
    <w:rsid w:val="13B32384"/>
    <w:rsid w:val="13CE04EA"/>
    <w:rsid w:val="13ED41C3"/>
    <w:rsid w:val="146767FF"/>
    <w:rsid w:val="147C6CA0"/>
    <w:rsid w:val="14A01236"/>
    <w:rsid w:val="14AB7E54"/>
    <w:rsid w:val="14CE7BA3"/>
    <w:rsid w:val="1504687E"/>
    <w:rsid w:val="152B3C7B"/>
    <w:rsid w:val="156F0E22"/>
    <w:rsid w:val="15836462"/>
    <w:rsid w:val="159038E0"/>
    <w:rsid w:val="159D39C7"/>
    <w:rsid w:val="15B450DE"/>
    <w:rsid w:val="15C22DE5"/>
    <w:rsid w:val="15E56EF0"/>
    <w:rsid w:val="164C70ED"/>
    <w:rsid w:val="1653011A"/>
    <w:rsid w:val="16750974"/>
    <w:rsid w:val="16B3577E"/>
    <w:rsid w:val="170905D7"/>
    <w:rsid w:val="17457E73"/>
    <w:rsid w:val="175F3BF5"/>
    <w:rsid w:val="17A32CCB"/>
    <w:rsid w:val="17A97745"/>
    <w:rsid w:val="17AA14DF"/>
    <w:rsid w:val="17C50FB3"/>
    <w:rsid w:val="17D5138B"/>
    <w:rsid w:val="17E45717"/>
    <w:rsid w:val="181877F2"/>
    <w:rsid w:val="184B52D8"/>
    <w:rsid w:val="185539A5"/>
    <w:rsid w:val="18555213"/>
    <w:rsid w:val="18652A23"/>
    <w:rsid w:val="18826970"/>
    <w:rsid w:val="18B953C3"/>
    <w:rsid w:val="18CA2F41"/>
    <w:rsid w:val="18F002B2"/>
    <w:rsid w:val="18F844F6"/>
    <w:rsid w:val="1920458C"/>
    <w:rsid w:val="19FF6181"/>
    <w:rsid w:val="1A370FD2"/>
    <w:rsid w:val="1A3B46C0"/>
    <w:rsid w:val="1A512B1C"/>
    <w:rsid w:val="1AE544F6"/>
    <w:rsid w:val="1AED4AA9"/>
    <w:rsid w:val="1AFF3BF4"/>
    <w:rsid w:val="1B335D8F"/>
    <w:rsid w:val="1B345399"/>
    <w:rsid w:val="1B3852F1"/>
    <w:rsid w:val="1B5D1402"/>
    <w:rsid w:val="1B6F68A9"/>
    <w:rsid w:val="1B7B7923"/>
    <w:rsid w:val="1BFE4548"/>
    <w:rsid w:val="1C113FB3"/>
    <w:rsid w:val="1C297D63"/>
    <w:rsid w:val="1C3246ED"/>
    <w:rsid w:val="1C4F3541"/>
    <w:rsid w:val="1C556DAA"/>
    <w:rsid w:val="1C560F60"/>
    <w:rsid w:val="1C9A47BD"/>
    <w:rsid w:val="1C9F1DD3"/>
    <w:rsid w:val="1CC4685C"/>
    <w:rsid w:val="1CEA6F08"/>
    <w:rsid w:val="1CF20A40"/>
    <w:rsid w:val="1CF745D0"/>
    <w:rsid w:val="1D01618A"/>
    <w:rsid w:val="1D6B21C3"/>
    <w:rsid w:val="1DB16262"/>
    <w:rsid w:val="1DDD3B45"/>
    <w:rsid w:val="1E030EA2"/>
    <w:rsid w:val="1E250CF7"/>
    <w:rsid w:val="1E904C18"/>
    <w:rsid w:val="1E911BEF"/>
    <w:rsid w:val="1E937715"/>
    <w:rsid w:val="1EB640AC"/>
    <w:rsid w:val="1EEA7C55"/>
    <w:rsid w:val="1EFD7E13"/>
    <w:rsid w:val="1EFF4C2E"/>
    <w:rsid w:val="1F0C4D67"/>
    <w:rsid w:val="1F1D677A"/>
    <w:rsid w:val="1F206E9B"/>
    <w:rsid w:val="1F2B1137"/>
    <w:rsid w:val="1F5F7B69"/>
    <w:rsid w:val="1F7C49FF"/>
    <w:rsid w:val="1F9B163E"/>
    <w:rsid w:val="1FB97650"/>
    <w:rsid w:val="1FC572A1"/>
    <w:rsid w:val="20636201"/>
    <w:rsid w:val="20647BCE"/>
    <w:rsid w:val="20841F06"/>
    <w:rsid w:val="20E53248"/>
    <w:rsid w:val="2152555C"/>
    <w:rsid w:val="2153700E"/>
    <w:rsid w:val="217A0A01"/>
    <w:rsid w:val="219D756F"/>
    <w:rsid w:val="21A34113"/>
    <w:rsid w:val="21AA6CA3"/>
    <w:rsid w:val="21B55BF5"/>
    <w:rsid w:val="21C26DC4"/>
    <w:rsid w:val="221343BE"/>
    <w:rsid w:val="2228286B"/>
    <w:rsid w:val="22502308"/>
    <w:rsid w:val="22695A5C"/>
    <w:rsid w:val="226D1B62"/>
    <w:rsid w:val="22932295"/>
    <w:rsid w:val="2297112A"/>
    <w:rsid w:val="22C407E5"/>
    <w:rsid w:val="22EA28F7"/>
    <w:rsid w:val="231B2F72"/>
    <w:rsid w:val="233D608D"/>
    <w:rsid w:val="234731C4"/>
    <w:rsid w:val="23902DE5"/>
    <w:rsid w:val="23BA7EC6"/>
    <w:rsid w:val="23DD1433"/>
    <w:rsid w:val="23F96164"/>
    <w:rsid w:val="2450040F"/>
    <w:rsid w:val="24725837"/>
    <w:rsid w:val="247A16E3"/>
    <w:rsid w:val="24BB1774"/>
    <w:rsid w:val="25056E93"/>
    <w:rsid w:val="252B6457"/>
    <w:rsid w:val="25307A8B"/>
    <w:rsid w:val="253B139F"/>
    <w:rsid w:val="255C2942"/>
    <w:rsid w:val="25975B4A"/>
    <w:rsid w:val="25E22D30"/>
    <w:rsid w:val="260D24A3"/>
    <w:rsid w:val="261354F9"/>
    <w:rsid w:val="26377520"/>
    <w:rsid w:val="268E7737"/>
    <w:rsid w:val="26C46461"/>
    <w:rsid w:val="26C8461C"/>
    <w:rsid w:val="26F110EE"/>
    <w:rsid w:val="272555CB"/>
    <w:rsid w:val="27493BDD"/>
    <w:rsid w:val="27612D57"/>
    <w:rsid w:val="277365C9"/>
    <w:rsid w:val="2802236C"/>
    <w:rsid w:val="2802299C"/>
    <w:rsid w:val="28047C1D"/>
    <w:rsid w:val="28156DA2"/>
    <w:rsid w:val="28B55A62"/>
    <w:rsid w:val="28CD1A76"/>
    <w:rsid w:val="2904070B"/>
    <w:rsid w:val="29133651"/>
    <w:rsid w:val="2922346B"/>
    <w:rsid w:val="295021A7"/>
    <w:rsid w:val="295161E6"/>
    <w:rsid w:val="297262D8"/>
    <w:rsid w:val="297C3F1D"/>
    <w:rsid w:val="2991661F"/>
    <w:rsid w:val="29F251A1"/>
    <w:rsid w:val="2A143A46"/>
    <w:rsid w:val="2A305D4E"/>
    <w:rsid w:val="2A937AC6"/>
    <w:rsid w:val="2AB27175"/>
    <w:rsid w:val="2ADA66CC"/>
    <w:rsid w:val="2AFD71FE"/>
    <w:rsid w:val="2B0379D1"/>
    <w:rsid w:val="2B1E3B80"/>
    <w:rsid w:val="2B230073"/>
    <w:rsid w:val="2B2A5B69"/>
    <w:rsid w:val="2B531BBE"/>
    <w:rsid w:val="2B563FA5"/>
    <w:rsid w:val="2B8F38D9"/>
    <w:rsid w:val="2B9A50E6"/>
    <w:rsid w:val="2C156047"/>
    <w:rsid w:val="2C427E00"/>
    <w:rsid w:val="2C482B06"/>
    <w:rsid w:val="2C5737E5"/>
    <w:rsid w:val="2C5B2A2B"/>
    <w:rsid w:val="2CAE7E10"/>
    <w:rsid w:val="2CBD6FA3"/>
    <w:rsid w:val="2CCF3567"/>
    <w:rsid w:val="2CEF1AD8"/>
    <w:rsid w:val="2D2C7BAA"/>
    <w:rsid w:val="2D3E1194"/>
    <w:rsid w:val="2D616E00"/>
    <w:rsid w:val="2D657B7E"/>
    <w:rsid w:val="2D6A11E3"/>
    <w:rsid w:val="2D785AA7"/>
    <w:rsid w:val="2D8A19DA"/>
    <w:rsid w:val="2D90225F"/>
    <w:rsid w:val="2DDC28B9"/>
    <w:rsid w:val="2E0E7476"/>
    <w:rsid w:val="2E362FFF"/>
    <w:rsid w:val="2E662925"/>
    <w:rsid w:val="2E6B7F35"/>
    <w:rsid w:val="2EA63F57"/>
    <w:rsid w:val="2ED6125A"/>
    <w:rsid w:val="2EE26CD2"/>
    <w:rsid w:val="2EFB5495"/>
    <w:rsid w:val="2F1A6D64"/>
    <w:rsid w:val="2F48454C"/>
    <w:rsid w:val="2F6876B6"/>
    <w:rsid w:val="2F6B3FCA"/>
    <w:rsid w:val="2F6C023B"/>
    <w:rsid w:val="2F737E93"/>
    <w:rsid w:val="2F9845B0"/>
    <w:rsid w:val="2FA248D6"/>
    <w:rsid w:val="2FEB46B7"/>
    <w:rsid w:val="30042DC8"/>
    <w:rsid w:val="300466C5"/>
    <w:rsid w:val="301226A9"/>
    <w:rsid w:val="30146A2A"/>
    <w:rsid w:val="30184EDD"/>
    <w:rsid w:val="301A764B"/>
    <w:rsid w:val="302C6F62"/>
    <w:rsid w:val="3038011D"/>
    <w:rsid w:val="304807CC"/>
    <w:rsid w:val="306E7FE2"/>
    <w:rsid w:val="30822E76"/>
    <w:rsid w:val="30A1370F"/>
    <w:rsid w:val="30CD1DE2"/>
    <w:rsid w:val="30D77936"/>
    <w:rsid w:val="30D86132"/>
    <w:rsid w:val="31014A6F"/>
    <w:rsid w:val="3114169F"/>
    <w:rsid w:val="31532D34"/>
    <w:rsid w:val="31A1751E"/>
    <w:rsid w:val="31C14142"/>
    <w:rsid w:val="31C37EBA"/>
    <w:rsid w:val="3203443D"/>
    <w:rsid w:val="32113E29"/>
    <w:rsid w:val="32270449"/>
    <w:rsid w:val="325C7947"/>
    <w:rsid w:val="32764D00"/>
    <w:rsid w:val="32963820"/>
    <w:rsid w:val="32C50B14"/>
    <w:rsid w:val="32E14A9C"/>
    <w:rsid w:val="32FD1949"/>
    <w:rsid w:val="33137B5A"/>
    <w:rsid w:val="33162750"/>
    <w:rsid w:val="33264E02"/>
    <w:rsid w:val="338C6B47"/>
    <w:rsid w:val="338F274A"/>
    <w:rsid w:val="339045C6"/>
    <w:rsid w:val="339318FC"/>
    <w:rsid w:val="33BB6FC7"/>
    <w:rsid w:val="33BC3D99"/>
    <w:rsid w:val="33C524E8"/>
    <w:rsid w:val="33DA14EB"/>
    <w:rsid w:val="33E91D56"/>
    <w:rsid w:val="33F151B2"/>
    <w:rsid w:val="340A1A16"/>
    <w:rsid w:val="34117602"/>
    <w:rsid w:val="341E7629"/>
    <w:rsid w:val="3425595B"/>
    <w:rsid w:val="342F104E"/>
    <w:rsid w:val="343E49C5"/>
    <w:rsid w:val="346A38DB"/>
    <w:rsid w:val="34B77EC3"/>
    <w:rsid w:val="350A12B3"/>
    <w:rsid w:val="35131438"/>
    <w:rsid w:val="35284A2F"/>
    <w:rsid w:val="353F13A0"/>
    <w:rsid w:val="35732F63"/>
    <w:rsid w:val="35776BA5"/>
    <w:rsid w:val="35AE6ED9"/>
    <w:rsid w:val="35AF5CE0"/>
    <w:rsid w:val="3662770D"/>
    <w:rsid w:val="366854D4"/>
    <w:rsid w:val="36C56892"/>
    <w:rsid w:val="36DD1A1E"/>
    <w:rsid w:val="36F249C1"/>
    <w:rsid w:val="370E1BD7"/>
    <w:rsid w:val="371A311B"/>
    <w:rsid w:val="37700D5F"/>
    <w:rsid w:val="378F014B"/>
    <w:rsid w:val="3797783E"/>
    <w:rsid w:val="37D314CF"/>
    <w:rsid w:val="38164840"/>
    <w:rsid w:val="38312021"/>
    <w:rsid w:val="383C457F"/>
    <w:rsid w:val="38520402"/>
    <w:rsid w:val="386C23D7"/>
    <w:rsid w:val="388A1731"/>
    <w:rsid w:val="388C0A3B"/>
    <w:rsid w:val="38A20C91"/>
    <w:rsid w:val="38DC57A6"/>
    <w:rsid w:val="38FF780A"/>
    <w:rsid w:val="390C6730"/>
    <w:rsid w:val="391C0943"/>
    <w:rsid w:val="39270CAB"/>
    <w:rsid w:val="395C3D4C"/>
    <w:rsid w:val="398E773F"/>
    <w:rsid w:val="399A1E48"/>
    <w:rsid w:val="39DA419F"/>
    <w:rsid w:val="3A100401"/>
    <w:rsid w:val="3A1322D3"/>
    <w:rsid w:val="3A2674BC"/>
    <w:rsid w:val="3A323CC6"/>
    <w:rsid w:val="3A650377"/>
    <w:rsid w:val="3AA06FEA"/>
    <w:rsid w:val="3AA1007D"/>
    <w:rsid w:val="3AC568B8"/>
    <w:rsid w:val="3ADE5FAA"/>
    <w:rsid w:val="3AF31111"/>
    <w:rsid w:val="3B135A0E"/>
    <w:rsid w:val="3B152347"/>
    <w:rsid w:val="3B1B0541"/>
    <w:rsid w:val="3B7C5B4B"/>
    <w:rsid w:val="3B847F5F"/>
    <w:rsid w:val="3C035597"/>
    <w:rsid w:val="3C0B0DDB"/>
    <w:rsid w:val="3C383327"/>
    <w:rsid w:val="3C771FCD"/>
    <w:rsid w:val="3C9E39FD"/>
    <w:rsid w:val="3CC34676"/>
    <w:rsid w:val="3CE73E27"/>
    <w:rsid w:val="3CE774CB"/>
    <w:rsid w:val="3D350C8E"/>
    <w:rsid w:val="3D3C7268"/>
    <w:rsid w:val="3D6D5B34"/>
    <w:rsid w:val="3D804EB1"/>
    <w:rsid w:val="3E1B1603"/>
    <w:rsid w:val="3E29167F"/>
    <w:rsid w:val="3E330175"/>
    <w:rsid w:val="3E483C21"/>
    <w:rsid w:val="3ED05615"/>
    <w:rsid w:val="3EE92E4F"/>
    <w:rsid w:val="3F0011BE"/>
    <w:rsid w:val="3F1F5640"/>
    <w:rsid w:val="3F615B53"/>
    <w:rsid w:val="3F644181"/>
    <w:rsid w:val="3F897061"/>
    <w:rsid w:val="3FA00EC2"/>
    <w:rsid w:val="3FDA11F0"/>
    <w:rsid w:val="3FFF07F3"/>
    <w:rsid w:val="40204729"/>
    <w:rsid w:val="4022378F"/>
    <w:rsid w:val="402C7AC1"/>
    <w:rsid w:val="404714CE"/>
    <w:rsid w:val="404814A4"/>
    <w:rsid w:val="40A3017B"/>
    <w:rsid w:val="40F24242"/>
    <w:rsid w:val="411A7D77"/>
    <w:rsid w:val="414011DD"/>
    <w:rsid w:val="41670354"/>
    <w:rsid w:val="41C177C4"/>
    <w:rsid w:val="41DF2AEE"/>
    <w:rsid w:val="41F02AAC"/>
    <w:rsid w:val="422A38E4"/>
    <w:rsid w:val="4239004B"/>
    <w:rsid w:val="426353EF"/>
    <w:rsid w:val="42682C91"/>
    <w:rsid w:val="426B7B70"/>
    <w:rsid w:val="42770F78"/>
    <w:rsid w:val="42997141"/>
    <w:rsid w:val="42E00866"/>
    <w:rsid w:val="43227091"/>
    <w:rsid w:val="432D3C9C"/>
    <w:rsid w:val="433F73D7"/>
    <w:rsid w:val="43670FED"/>
    <w:rsid w:val="437655C8"/>
    <w:rsid w:val="438C3356"/>
    <w:rsid w:val="439B2A45"/>
    <w:rsid w:val="439B6B07"/>
    <w:rsid w:val="43B74319"/>
    <w:rsid w:val="43EE313A"/>
    <w:rsid w:val="442469A4"/>
    <w:rsid w:val="44380293"/>
    <w:rsid w:val="4463567E"/>
    <w:rsid w:val="447C58B6"/>
    <w:rsid w:val="44857E2E"/>
    <w:rsid w:val="449D5E2F"/>
    <w:rsid w:val="45095D72"/>
    <w:rsid w:val="45122E93"/>
    <w:rsid w:val="45283B9F"/>
    <w:rsid w:val="452F78E8"/>
    <w:rsid w:val="455713A4"/>
    <w:rsid w:val="45A71B75"/>
    <w:rsid w:val="46050649"/>
    <w:rsid w:val="4605689B"/>
    <w:rsid w:val="460C5942"/>
    <w:rsid w:val="46512E9A"/>
    <w:rsid w:val="465729E1"/>
    <w:rsid w:val="46AB1436"/>
    <w:rsid w:val="46AC6D17"/>
    <w:rsid w:val="46C2744B"/>
    <w:rsid w:val="46CB4B9D"/>
    <w:rsid w:val="47290A95"/>
    <w:rsid w:val="47412232"/>
    <w:rsid w:val="47444A24"/>
    <w:rsid w:val="476B0980"/>
    <w:rsid w:val="478673D0"/>
    <w:rsid w:val="478E47F8"/>
    <w:rsid w:val="479A5CF3"/>
    <w:rsid w:val="48173DE4"/>
    <w:rsid w:val="48332EE8"/>
    <w:rsid w:val="483A544B"/>
    <w:rsid w:val="48515DC8"/>
    <w:rsid w:val="48565A8E"/>
    <w:rsid w:val="48680025"/>
    <w:rsid w:val="489858DD"/>
    <w:rsid w:val="48A12811"/>
    <w:rsid w:val="48A745EA"/>
    <w:rsid w:val="48AF6A2E"/>
    <w:rsid w:val="48CD0C37"/>
    <w:rsid w:val="48CF2B07"/>
    <w:rsid w:val="48D15AFC"/>
    <w:rsid w:val="48DC4216"/>
    <w:rsid w:val="49020562"/>
    <w:rsid w:val="49373210"/>
    <w:rsid w:val="4951041B"/>
    <w:rsid w:val="49626F27"/>
    <w:rsid w:val="49B90BAA"/>
    <w:rsid w:val="49BF5343"/>
    <w:rsid w:val="49D071C0"/>
    <w:rsid w:val="4A0C57FA"/>
    <w:rsid w:val="4A373FD8"/>
    <w:rsid w:val="4A385EFA"/>
    <w:rsid w:val="4A994461"/>
    <w:rsid w:val="4B0D3904"/>
    <w:rsid w:val="4B697D1F"/>
    <w:rsid w:val="4B923F4B"/>
    <w:rsid w:val="4BDF6C27"/>
    <w:rsid w:val="4BF278C2"/>
    <w:rsid w:val="4C0C4B9B"/>
    <w:rsid w:val="4C302A6D"/>
    <w:rsid w:val="4C673E0C"/>
    <w:rsid w:val="4C6F2259"/>
    <w:rsid w:val="4C72305B"/>
    <w:rsid w:val="4C8F3363"/>
    <w:rsid w:val="4D153405"/>
    <w:rsid w:val="4D257713"/>
    <w:rsid w:val="4D8C68DD"/>
    <w:rsid w:val="4DC24624"/>
    <w:rsid w:val="4DFA0CB0"/>
    <w:rsid w:val="4E115089"/>
    <w:rsid w:val="4E1458CD"/>
    <w:rsid w:val="4E17716C"/>
    <w:rsid w:val="4E1F6036"/>
    <w:rsid w:val="4E3566ED"/>
    <w:rsid w:val="4E486C7C"/>
    <w:rsid w:val="4E7D6189"/>
    <w:rsid w:val="4EBE7E62"/>
    <w:rsid w:val="4EC2729D"/>
    <w:rsid w:val="4ED522FD"/>
    <w:rsid w:val="4EEA322C"/>
    <w:rsid w:val="4F0D0C6D"/>
    <w:rsid w:val="4F1416AD"/>
    <w:rsid w:val="4F6914C6"/>
    <w:rsid w:val="4FAD5FDA"/>
    <w:rsid w:val="501374E9"/>
    <w:rsid w:val="501375EC"/>
    <w:rsid w:val="50AD3FE0"/>
    <w:rsid w:val="50B639AC"/>
    <w:rsid w:val="50C11611"/>
    <w:rsid w:val="50D5061B"/>
    <w:rsid w:val="50E23614"/>
    <w:rsid w:val="51112598"/>
    <w:rsid w:val="51353957"/>
    <w:rsid w:val="515355DC"/>
    <w:rsid w:val="515A2A26"/>
    <w:rsid w:val="515E01CA"/>
    <w:rsid w:val="516E2504"/>
    <w:rsid w:val="519D207E"/>
    <w:rsid w:val="51B273B0"/>
    <w:rsid w:val="51DA7E93"/>
    <w:rsid w:val="51E103C3"/>
    <w:rsid w:val="51FD073E"/>
    <w:rsid w:val="52180D44"/>
    <w:rsid w:val="52705CA8"/>
    <w:rsid w:val="527F1783"/>
    <w:rsid w:val="5280145E"/>
    <w:rsid w:val="529664AA"/>
    <w:rsid w:val="52B633F7"/>
    <w:rsid w:val="5358625C"/>
    <w:rsid w:val="536C25DF"/>
    <w:rsid w:val="539E4B12"/>
    <w:rsid w:val="53C67E82"/>
    <w:rsid w:val="53D855EF"/>
    <w:rsid w:val="54156C37"/>
    <w:rsid w:val="54335FEE"/>
    <w:rsid w:val="544408CE"/>
    <w:rsid w:val="548412D3"/>
    <w:rsid w:val="54F627E5"/>
    <w:rsid w:val="552E69A4"/>
    <w:rsid w:val="5541118B"/>
    <w:rsid w:val="55531BF6"/>
    <w:rsid w:val="559506AC"/>
    <w:rsid w:val="55BF05F8"/>
    <w:rsid w:val="55CA334B"/>
    <w:rsid w:val="55F406F3"/>
    <w:rsid w:val="55F4655A"/>
    <w:rsid w:val="55FD08CF"/>
    <w:rsid w:val="56102E1E"/>
    <w:rsid w:val="562C4CFB"/>
    <w:rsid w:val="562F010F"/>
    <w:rsid w:val="56685710"/>
    <w:rsid w:val="567E6E66"/>
    <w:rsid w:val="56876E36"/>
    <w:rsid w:val="568B1F86"/>
    <w:rsid w:val="56AF4631"/>
    <w:rsid w:val="56F41DED"/>
    <w:rsid w:val="574A05B2"/>
    <w:rsid w:val="577B7DD2"/>
    <w:rsid w:val="578167E1"/>
    <w:rsid w:val="578F5A6A"/>
    <w:rsid w:val="57994924"/>
    <w:rsid w:val="57D8413F"/>
    <w:rsid w:val="57F77651"/>
    <w:rsid w:val="58003366"/>
    <w:rsid w:val="581B576D"/>
    <w:rsid w:val="583F4939"/>
    <w:rsid w:val="58451924"/>
    <w:rsid w:val="584F3D9C"/>
    <w:rsid w:val="58565CD6"/>
    <w:rsid w:val="586F0C39"/>
    <w:rsid w:val="5881525E"/>
    <w:rsid w:val="58AE2DC2"/>
    <w:rsid w:val="58BC0970"/>
    <w:rsid w:val="58C919AA"/>
    <w:rsid w:val="58D77C23"/>
    <w:rsid w:val="58F13C34"/>
    <w:rsid w:val="5906675A"/>
    <w:rsid w:val="592B1B73"/>
    <w:rsid w:val="593C217C"/>
    <w:rsid w:val="59434DF7"/>
    <w:rsid w:val="59506483"/>
    <w:rsid w:val="59930D52"/>
    <w:rsid w:val="59A642BD"/>
    <w:rsid w:val="59C409A7"/>
    <w:rsid w:val="59C7413C"/>
    <w:rsid w:val="59D32157"/>
    <w:rsid w:val="5A283A74"/>
    <w:rsid w:val="5A362D35"/>
    <w:rsid w:val="5A3F1F24"/>
    <w:rsid w:val="5A4227AC"/>
    <w:rsid w:val="5A6E3098"/>
    <w:rsid w:val="5A792D5B"/>
    <w:rsid w:val="5A8C57E3"/>
    <w:rsid w:val="5AAD111D"/>
    <w:rsid w:val="5AFC4DAA"/>
    <w:rsid w:val="5B0E05F6"/>
    <w:rsid w:val="5B174C4F"/>
    <w:rsid w:val="5B2D4231"/>
    <w:rsid w:val="5B544BCC"/>
    <w:rsid w:val="5B655E4C"/>
    <w:rsid w:val="5B7B7F36"/>
    <w:rsid w:val="5B7D1A85"/>
    <w:rsid w:val="5B9E2C7A"/>
    <w:rsid w:val="5BDA5D85"/>
    <w:rsid w:val="5BED6118"/>
    <w:rsid w:val="5C1F4388"/>
    <w:rsid w:val="5C297873"/>
    <w:rsid w:val="5C426467"/>
    <w:rsid w:val="5C7A36E7"/>
    <w:rsid w:val="5C850E8B"/>
    <w:rsid w:val="5C89392A"/>
    <w:rsid w:val="5D4930BA"/>
    <w:rsid w:val="5D612112"/>
    <w:rsid w:val="5D695AA5"/>
    <w:rsid w:val="5DA14896"/>
    <w:rsid w:val="5DA87DE0"/>
    <w:rsid w:val="5DCD33DB"/>
    <w:rsid w:val="5DDF5116"/>
    <w:rsid w:val="5E0D2D14"/>
    <w:rsid w:val="5E0D7ECA"/>
    <w:rsid w:val="5E3B0C54"/>
    <w:rsid w:val="5E542312"/>
    <w:rsid w:val="5E5B79EF"/>
    <w:rsid w:val="5E63281A"/>
    <w:rsid w:val="5E97023A"/>
    <w:rsid w:val="5EBA1414"/>
    <w:rsid w:val="5EDF2BEF"/>
    <w:rsid w:val="5EE50DFE"/>
    <w:rsid w:val="5F136C5D"/>
    <w:rsid w:val="5F286E71"/>
    <w:rsid w:val="5F3F513F"/>
    <w:rsid w:val="5F5677F0"/>
    <w:rsid w:val="5F716D14"/>
    <w:rsid w:val="5F832F06"/>
    <w:rsid w:val="5F9510A5"/>
    <w:rsid w:val="5FA5693E"/>
    <w:rsid w:val="5FB95C14"/>
    <w:rsid w:val="5FF81629"/>
    <w:rsid w:val="604007A4"/>
    <w:rsid w:val="607E5C03"/>
    <w:rsid w:val="60866B16"/>
    <w:rsid w:val="60886246"/>
    <w:rsid w:val="60EC1A8C"/>
    <w:rsid w:val="60F42417"/>
    <w:rsid w:val="60FE56F0"/>
    <w:rsid w:val="610F0176"/>
    <w:rsid w:val="61A70CC0"/>
    <w:rsid w:val="61B5300E"/>
    <w:rsid w:val="61B96A60"/>
    <w:rsid w:val="61EB0BE3"/>
    <w:rsid w:val="61F53F49"/>
    <w:rsid w:val="620F54F9"/>
    <w:rsid w:val="621826E9"/>
    <w:rsid w:val="62241C33"/>
    <w:rsid w:val="622F0AD0"/>
    <w:rsid w:val="623A564B"/>
    <w:rsid w:val="623B1D9D"/>
    <w:rsid w:val="62483940"/>
    <w:rsid w:val="62E86D99"/>
    <w:rsid w:val="63097573"/>
    <w:rsid w:val="630C2BBF"/>
    <w:rsid w:val="633D0FCB"/>
    <w:rsid w:val="637644DD"/>
    <w:rsid w:val="6388493C"/>
    <w:rsid w:val="639A6CBC"/>
    <w:rsid w:val="63C76346"/>
    <w:rsid w:val="640910F4"/>
    <w:rsid w:val="64337E72"/>
    <w:rsid w:val="6453537C"/>
    <w:rsid w:val="649421ED"/>
    <w:rsid w:val="649E2809"/>
    <w:rsid w:val="64A32ABE"/>
    <w:rsid w:val="650067B9"/>
    <w:rsid w:val="650A2A41"/>
    <w:rsid w:val="65126791"/>
    <w:rsid w:val="652A33F5"/>
    <w:rsid w:val="661F3D14"/>
    <w:rsid w:val="66212DFA"/>
    <w:rsid w:val="66375571"/>
    <w:rsid w:val="66411169"/>
    <w:rsid w:val="664E4EE0"/>
    <w:rsid w:val="667C756A"/>
    <w:rsid w:val="668D2269"/>
    <w:rsid w:val="66987EF0"/>
    <w:rsid w:val="66B43C9A"/>
    <w:rsid w:val="66B70119"/>
    <w:rsid w:val="66C55C7E"/>
    <w:rsid w:val="672C7CD4"/>
    <w:rsid w:val="675F07D3"/>
    <w:rsid w:val="67630A18"/>
    <w:rsid w:val="6773320D"/>
    <w:rsid w:val="677A7D9D"/>
    <w:rsid w:val="67912C71"/>
    <w:rsid w:val="67981B23"/>
    <w:rsid w:val="67CF3518"/>
    <w:rsid w:val="68176495"/>
    <w:rsid w:val="68220EBA"/>
    <w:rsid w:val="682736B8"/>
    <w:rsid w:val="686C6CDB"/>
    <w:rsid w:val="68E63EB3"/>
    <w:rsid w:val="68F652BE"/>
    <w:rsid w:val="68FE59B4"/>
    <w:rsid w:val="6947121C"/>
    <w:rsid w:val="696A6BE8"/>
    <w:rsid w:val="69823860"/>
    <w:rsid w:val="6997312F"/>
    <w:rsid w:val="69AC4B71"/>
    <w:rsid w:val="69F76FB2"/>
    <w:rsid w:val="69FB71B7"/>
    <w:rsid w:val="6A03176F"/>
    <w:rsid w:val="6A261F96"/>
    <w:rsid w:val="6A3009B1"/>
    <w:rsid w:val="6A4E3366"/>
    <w:rsid w:val="6B5E61ED"/>
    <w:rsid w:val="6B806D6F"/>
    <w:rsid w:val="6BBF1967"/>
    <w:rsid w:val="6BCF5ADA"/>
    <w:rsid w:val="6BD57153"/>
    <w:rsid w:val="6C0E3A7B"/>
    <w:rsid w:val="6C6B5784"/>
    <w:rsid w:val="6C915030"/>
    <w:rsid w:val="6C932D8B"/>
    <w:rsid w:val="6C96059C"/>
    <w:rsid w:val="6CB74234"/>
    <w:rsid w:val="6CDE10A7"/>
    <w:rsid w:val="6CEF1042"/>
    <w:rsid w:val="6D1F1859"/>
    <w:rsid w:val="6D64310D"/>
    <w:rsid w:val="6D730994"/>
    <w:rsid w:val="6DAA3FA2"/>
    <w:rsid w:val="6DC56AC2"/>
    <w:rsid w:val="6DCA5B51"/>
    <w:rsid w:val="6DF03182"/>
    <w:rsid w:val="6DF40E20"/>
    <w:rsid w:val="6E0C63CC"/>
    <w:rsid w:val="6E3570F3"/>
    <w:rsid w:val="6E714931"/>
    <w:rsid w:val="6E7526BF"/>
    <w:rsid w:val="6EE70952"/>
    <w:rsid w:val="6EFA1DBD"/>
    <w:rsid w:val="6F2E4E68"/>
    <w:rsid w:val="6F865D28"/>
    <w:rsid w:val="70424C12"/>
    <w:rsid w:val="705C5CE9"/>
    <w:rsid w:val="706E0425"/>
    <w:rsid w:val="709C1767"/>
    <w:rsid w:val="70AC5061"/>
    <w:rsid w:val="70D8141D"/>
    <w:rsid w:val="71794724"/>
    <w:rsid w:val="717B00D1"/>
    <w:rsid w:val="71ED7833"/>
    <w:rsid w:val="71FB277D"/>
    <w:rsid w:val="72084AAB"/>
    <w:rsid w:val="720B3FDA"/>
    <w:rsid w:val="72926C97"/>
    <w:rsid w:val="72966C68"/>
    <w:rsid w:val="72CB7D65"/>
    <w:rsid w:val="72E256EB"/>
    <w:rsid w:val="730E1BA3"/>
    <w:rsid w:val="735528F3"/>
    <w:rsid w:val="737C169B"/>
    <w:rsid w:val="738D38A8"/>
    <w:rsid w:val="73C5386F"/>
    <w:rsid w:val="73DB0AB8"/>
    <w:rsid w:val="73F22323"/>
    <w:rsid w:val="742C3F77"/>
    <w:rsid w:val="742F670E"/>
    <w:rsid w:val="74524093"/>
    <w:rsid w:val="747F58E7"/>
    <w:rsid w:val="74856C75"/>
    <w:rsid w:val="74B11819"/>
    <w:rsid w:val="758B117F"/>
    <w:rsid w:val="75A12ED3"/>
    <w:rsid w:val="75B6012D"/>
    <w:rsid w:val="75EF25F8"/>
    <w:rsid w:val="762053A5"/>
    <w:rsid w:val="76AB2448"/>
    <w:rsid w:val="76D9077B"/>
    <w:rsid w:val="76EA715A"/>
    <w:rsid w:val="770B4961"/>
    <w:rsid w:val="77130569"/>
    <w:rsid w:val="775A6197"/>
    <w:rsid w:val="77754D7F"/>
    <w:rsid w:val="77955421"/>
    <w:rsid w:val="77FC2B3A"/>
    <w:rsid w:val="780A2D7B"/>
    <w:rsid w:val="78217065"/>
    <w:rsid w:val="78232A2D"/>
    <w:rsid w:val="785461D7"/>
    <w:rsid w:val="785B2545"/>
    <w:rsid w:val="78654DF4"/>
    <w:rsid w:val="7879264D"/>
    <w:rsid w:val="789029FF"/>
    <w:rsid w:val="79110AD8"/>
    <w:rsid w:val="791C22CF"/>
    <w:rsid w:val="792B744B"/>
    <w:rsid w:val="792E3438"/>
    <w:rsid w:val="79497BEB"/>
    <w:rsid w:val="79557F40"/>
    <w:rsid w:val="79752315"/>
    <w:rsid w:val="797D71C8"/>
    <w:rsid w:val="79DF0BD6"/>
    <w:rsid w:val="79DF7844"/>
    <w:rsid w:val="7A340F22"/>
    <w:rsid w:val="7AAC0A0E"/>
    <w:rsid w:val="7AB83FF5"/>
    <w:rsid w:val="7B315461"/>
    <w:rsid w:val="7B394484"/>
    <w:rsid w:val="7B3E36DA"/>
    <w:rsid w:val="7C05034C"/>
    <w:rsid w:val="7C120DEF"/>
    <w:rsid w:val="7C1B0C99"/>
    <w:rsid w:val="7C592F52"/>
    <w:rsid w:val="7C736BD8"/>
    <w:rsid w:val="7C78711C"/>
    <w:rsid w:val="7CA37C99"/>
    <w:rsid w:val="7CAF7053"/>
    <w:rsid w:val="7CB17B24"/>
    <w:rsid w:val="7CE00271"/>
    <w:rsid w:val="7CEF0D64"/>
    <w:rsid w:val="7CF46746"/>
    <w:rsid w:val="7D0F3580"/>
    <w:rsid w:val="7D14035D"/>
    <w:rsid w:val="7D3957CF"/>
    <w:rsid w:val="7D405F8C"/>
    <w:rsid w:val="7D690EE2"/>
    <w:rsid w:val="7DA22646"/>
    <w:rsid w:val="7DA577F9"/>
    <w:rsid w:val="7DC47A9D"/>
    <w:rsid w:val="7DC62D8E"/>
    <w:rsid w:val="7DD41337"/>
    <w:rsid w:val="7DF06F0E"/>
    <w:rsid w:val="7E5B7B5B"/>
    <w:rsid w:val="7E6E786D"/>
    <w:rsid w:val="7E73515D"/>
    <w:rsid w:val="7E8640F5"/>
    <w:rsid w:val="7EF53FD9"/>
    <w:rsid w:val="7F0E1DF9"/>
    <w:rsid w:val="7F364DF4"/>
    <w:rsid w:val="7F7452CB"/>
    <w:rsid w:val="7F7B4EFD"/>
    <w:rsid w:val="7FAB2134"/>
    <w:rsid w:val="7FC663F6"/>
    <w:rsid w:val="7FEE5D4B"/>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qFormat="1" w:unhideWhenUsed="0" w:uiPriority="0" w:semiHidden="0"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paragraph" w:styleId="5">
    <w:name w:val="heading 1"/>
    <w:basedOn w:val="1"/>
    <w:next w:val="1"/>
    <w:link w:val="36"/>
    <w:autoRedefine/>
    <w:qFormat/>
    <w:uiPriority w:val="9"/>
    <w:pPr>
      <w:keepNext/>
      <w:keepLines/>
      <w:spacing w:before="340" w:after="330" w:line="578" w:lineRule="auto"/>
      <w:outlineLvl w:val="0"/>
    </w:pPr>
    <w:rPr>
      <w:b/>
      <w:bCs/>
      <w:kern w:val="44"/>
      <w:sz w:val="44"/>
      <w:szCs w:val="44"/>
    </w:rPr>
  </w:style>
  <w:style w:type="paragraph" w:styleId="6">
    <w:name w:val="heading 2"/>
    <w:basedOn w:val="1"/>
    <w:next w:val="1"/>
    <w:autoRedefine/>
    <w:qFormat/>
    <w:uiPriority w:val="0"/>
    <w:pPr>
      <w:keepNext/>
      <w:keepLines/>
      <w:spacing w:line="360" w:lineRule="auto"/>
      <w:outlineLvl w:val="1"/>
    </w:pPr>
    <w:rPr>
      <w:b/>
      <w:bCs/>
      <w:sz w:val="28"/>
      <w:szCs w:val="28"/>
    </w:rPr>
  </w:style>
  <w:style w:type="character" w:default="1" w:styleId="18">
    <w:name w:val="Default Paragraph Font"/>
    <w:autoRedefine/>
    <w:semiHidden/>
    <w:unhideWhenUsed/>
    <w:qFormat/>
    <w:uiPriority w:val="1"/>
  </w:style>
  <w:style w:type="table" w:default="1" w:styleId="16">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3"/>
    <w:autoRedefine/>
    <w:unhideWhenUsed/>
    <w:qFormat/>
    <w:uiPriority w:val="0"/>
    <w:pPr>
      <w:spacing w:after="120"/>
    </w:pPr>
  </w:style>
  <w:style w:type="paragraph" w:customStyle="1" w:styleId="3">
    <w:name w:val="xl27"/>
    <w:basedOn w:val="1"/>
    <w:next w:val="4"/>
    <w:autoRedefine/>
    <w:qFormat/>
    <w:uiPriority w:val="0"/>
    <w:pPr>
      <w:widowControl/>
      <w:pBdr>
        <w:bottom w:val="single" w:color="auto" w:sz="4" w:space="0"/>
        <w:right w:val="single" w:color="auto" w:sz="4" w:space="0"/>
      </w:pBdr>
      <w:spacing w:before="100" w:beforeAutospacing="1" w:after="100" w:afterAutospacing="1" w:line="240" w:lineRule="auto"/>
      <w:ind w:firstLine="0" w:firstLineChars="0"/>
      <w:jc w:val="center"/>
    </w:pPr>
    <w:rPr>
      <w:rFonts w:ascii="Arial Unicode MS" w:hAnsi="Arial Unicode MS" w:eastAsia="Arial Unicode MS" w:cs="Arial Unicode MS"/>
      <w:kern w:val="0"/>
    </w:rPr>
  </w:style>
  <w:style w:type="paragraph" w:customStyle="1" w:styleId="4">
    <w:name w:val="A正文"/>
    <w:basedOn w:val="1"/>
    <w:next w:val="2"/>
    <w:autoRedefine/>
    <w:qFormat/>
    <w:uiPriority w:val="0"/>
    <w:pPr>
      <w:widowControl/>
      <w:spacing w:line="240" w:lineRule="auto"/>
      <w:ind w:firstLine="0" w:firstLineChars="0"/>
      <w:jc w:val="left"/>
    </w:pPr>
    <w:rPr>
      <w:rFonts w:ascii="宋体" w:hAnsi="宋体"/>
      <w:kern w:val="0"/>
      <w:sz w:val="21"/>
      <w:szCs w:val="22"/>
    </w:rPr>
  </w:style>
  <w:style w:type="paragraph" w:styleId="7">
    <w:name w:val="caption"/>
    <w:basedOn w:val="1"/>
    <w:next w:val="1"/>
    <w:autoRedefine/>
    <w:semiHidden/>
    <w:unhideWhenUsed/>
    <w:qFormat/>
    <w:uiPriority w:val="35"/>
    <w:rPr>
      <w:rFonts w:eastAsia="黑体" w:asciiTheme="majorHAnsi" w:hAnsiTheme="majorHAnsi" w:cstheme="majorBidi"/>
      <w:sz w:val="20"/>
      <w:szCs w:val="20"/>
    </w:rPr>
  </w:style>
  <w:style w:type="paragraph" w:styleId="8">
    <w:name w:val="index 5"/>
    <w:basedOn w:val="1"/>
    <w:next w:val="1"/>
    <w:autoRedefine/>
    <w:qFormat/>
    <w:uiPriority w:val="0"/>
    <w:rPr>
      <w:rFonts w:ascii="Times New Roman" w:hAnsi="Times New Roman"/>
      <w:sz w:val="21"/>
      <w:szCs w:val="24"/>
    </w:rPr>
  </w:style>
  <w:style w:type="paragraph" w:styleId="9">
    <w:name w:val="Body Text Indent"/>
    <w:basedOn w:val="1"/>
    <w:autoRedefine/>
    <w:qFormat/>
    <w:uiPriority w:val="0"/>
    <w:pPr>
      <w:spacing w:after="120"/>
      <w:ind w:left="420" w:leftChars="200"/>
    </w:pPr>
  </w:style>
  <w:style w:type="paragraph" w:styleId="10">
    <w:name w:val="List Bullet 5"/>
    <w:basedOn w:val="1"/>
    <w:semiHidden/>
    <w:unhideWhenUsed/>
    <w:qFormat/>
    <w:uiPriority w:val="99"/>
    <w:pPr>
      <w:numPr>
        <w:ilvl w:val="0"/>
        <w:numId w:val="1"/>
      </w:numPr>
    </w:pPr>
  </w:style>
  <w:style w:type="paragraph" w:styleId="11">
    <w:name w:val="Date"/>
    <w:basedOn w:val="1"/>
    <w:next w:val="1"/>
    <w:link w:val="52"/>
    <w:autoRedefine/>
    <w:semiHidden/>
    <w:unhideWhenUsed/>
    <w:qFormat/>
    <w:uiPriority w:val="99"/>
    <w:pPr>
      <w:ind w:left="100" w:leftChars="2500"/>
    </w:pPr>
  </w:style>
  <w:style w:type="paragraph" w:styleId="12">
    <w:name w:val="footer"/>
    <w:basedOn w:val="1"/>
    <w:link w:val="40"/>
    <w:autoRedefine/>
    <w:unhideWhenUsed/>
    <w:qFormat/>
    <w:uiPriority w:val="99"/>
    <w:pPr>
      <w:tabs>
        <w:tab w:val="center" w:pos="4153"/>
        <w:tab w:val="right" w:pos="8306"/>
      </w:tabs>
      <w:snapToGrid w:val="0"/>
      <w:spacing w:line="240" w:lineRule="auto"/>
      <w:jc w:val="left"/>
    </w:pPr>
    <w:rPr>
      <w:sz w:val="18"/>
      <w:szCs w:val="18"/>
    </w:rPr>
  </w:style>
  <w:style w:type="paragraph" w:styleId="13">
    <w:name w:val="header"/>
    <w:basedOn w:val="1"/>
    <w:link w:val="41"/>
    <w:autoRedefine/>
    <w:unhideWhenUsed/>
    <w:qFormat/>
    <w:uiPriority w:val="99"/>
    <w:pPr>
      <w:tabs>
        <w:tab w:val="center" w:pos="4153"/>
        <w:tab w:val="right" w:pos="8306"/>
      </w:tabs>
      <w:snapToGrid w:val="0"/>
      <w:spacing w:line="240" w:lineRule="auto"/>
      <w:jc w:val="center"/>
    </w:pPr>
    <w:rPr>
      <w:sz w:val="18"/>
      <w:szCs w:val="18"/>
    </w:rPr>
  </w:style>
  <w:style w:type="paragraph" w:styleId="14">
    <w:name w:val="Normal (Web)"/>
    <w:basedOn w:val="1"/>
    <w:link w:val="42"/>
    <w:autoRedefine/>
    <w:qFormat/>
    <w:uiPriority w:val="0"/>
    <w:pPr>
      <w:widowControl/>
      <w:spacing w:before="100" w:beforeAutospacing="1" w:after="100" w:afterAutospacing="1" w:line="240" w:lineRule="auto"/>
      <w:ind w:firstLine="0" w:firstLineChars="0"/>
      <w:jc w:val="left"/>
    </w:pPr>
    <w:rPr>
      <w:rFonts w:ascii="宋体" w:hAnsi="宋体" w:cstheme="minorBidi"/>
      <w:szCs w:val="22"/>
    </w:rPr>
  </w:style>
  <w:style w:type="paragraph" w:styleId="15">
    <w:name w:val="Body Text First Indent 2"/>
    <w:basedOn w:val="1"/>
    <w:next w:val="1"/>
    <w:autoRedefine/>
    <w:qFormat/>
    <w:uiPriority w:val="0"/>
    <w:pPr>
      <w:spacing w:after="0" w:line="460" w:lineRule="exact"/>
      <w:ind w:left="0" w:firstLine="200" w:firstLineChars="200"/>
    </w:pPr>
    <w:rPr>
      <w:sz w:val="24"/>
    </w:rPr>
  </w:style>
  <w:style w:type="table" w:styleId="17">
    <w:name w:val="Table Grid"/>
    <w:basedOn w:val="16"/>
    <w:autoRedefine/>
    <w:qFormat/>
    <w:uiPriority w:val="39"/>
    <w:pPr>
      <w:spacing w:line="360" w:lineRule="exact"/>
      <w:jc w:val="both"/>
    </w:pPr>
    <w:rPr>
      <w:rFonts w:ascii="Times New Roman" w:hAnsi="Times New Roman" w:eastAsia="宋体" w:cs="Times New Roman"/>
    </w:rPr>
    <w:tblPr>
      <w:jc w:val="center"/>
      <w:tblBorders>
        <w:top w:val="single" w:color="auto" w:sz="6" w:space="0"/>
        <w:bottom w:val="single" w:color="auto" w:sz="6" w:space="0"/>
        <w:insideH w:val="single" w:color="auto" w:sz="4" w:space="0"/>
        <w:insideV w:val="single" w:color="auto" w:sz="4" w:space="0"/>
      </w:tblBorders>
    </w:tblPr>
    <w:trPr>
      <w:jc w:val="center"/>
    </w:trPr>
    <w:tcPr>
      <w:shd w:val="clear" w:color="auto" w:fill="auto"/>
      <w:vAlign w:val="center"/>
    </w:tcPr>
    <w:tblStylePr w:type="firstRow">
      <w:pPr>
        <w:jc w:val="both"/>
      </w:pPr>
      <w:rPr>
        <w:rFonts w:ascii="Times New Roman" w:hAnsi="Times New Roman" w:eastAsia="宋体"/>
        <w:b/>
        <w:sz w:val="21"/>
      </w:rPr>
      <w:tcPr>
        <w:tcBorders>
          <w:top w:val="single" w:color="auto" w:sz="4" w:space="0"/>
          <w:bottom w:val="single" w:color="auto" w:sz="4" w:space="0"/>
        </w:tcBorders>
      </w:tcPr>
    </w:tblStylePr>
  </w:style>
  <w:style w:type="paragraph" w:customStyle="1" w:styleId="19">
    <w:name w:val="表格内容"/>
    <w:basedOn w:val="1"/>
    <w:next w:val="1"/>
    <w:link w:val="20"/>
    <w:autoRedefine/>
    <w:qFormat/>
    <w:uiPriority w:val="0"/>
    <w:pPr>
      <w:spacing w:line="360" w:lineRule="exact"/>
      <w:ind w:firstLine="0" w:firstLineChars="0"/>
      <w:jc w:val="left"/>
    </w:pPr>
    <w:rPr>
      <w:color w:val="0D0D0D"/>
      <w:kern w:val="0"/>
      <w:sz w:val="21"/>
      <w:szCs w:val="21"/>
    </w:rPr>
  </w:style>
  <w:style w:type="character" w:customStyle="1" w:styleId="20">
    <w:name w:val="表格内容 字符"/>
    <w:basedOn w:val="18"/>
    <w:link w:val="19"/>
    <w:autoRedefine/>
    <w:qFormat/>
    <w:uiPriority w:val="0"/>
    <w:rPr>
      <w:rFonts w:ascii="Times New Roman" w:hAnsi="Times New Roman" w:eastAsia="宋体" w:cs="Times New Roman"/>
      <w:color w:val="0D0D0D"/>
      <w:kern w:val="0"/>
      <w:szCs w:val="21"/>
    </w:rPr>
  </w:style>
  <w:style w:type="paragraph" w:customStyle="1" w:styleId="21">
    <w:name w:val="表题"/>
    <w:basedOn w:val="7"/>
    <w:next w:val="19"/>
    <w:link w:val="22"/>
    <w:autoRedefine/>
    <w:qFormat/>
    <w:uiPriority w:val="0"/>
    <w:pPr>
      <w:spacing w:before="120" w:line="240" w:lineRule="auto"/>
      <w:ind w:firstLine="0" w:firstLineChars="0"/>
      <w:jc w:val="center"/>
    </w:pPr>
    <w:rPr>
      <w:rFonts w:ascii="Times New Roman" w:hAnsi="Times New Roman" w:eastAsia="宋体" w:cstheme="minorBidi"/>
      <w:b/>
      <w:sz w:val="21"/>
      <w:szCs w:val="52"/>
    </w:rPr>
  </w:style>
  <w:style w:type="character" w:customStyle="1" w:styleId="22">
    <w:name w:val="表题 字符"/>
    <w:link w:val="21"/>
    <w:autoRedefine/>
    <w:qFormat/>
    <w:uiPriority w:val="0"/>
    <w:rPr>
      <w:rFonts w:ascii="Times New Roman" w:hAnsi="Times New Roman" w:eastAsia="宋体"/>
      <w:b/>
      <w:szCs w:val="52"/>
    </w:rPr>
  </w:style>
  <w:style w:type="paragraph" w:customStyle="1" w:styleId="23">
    <w:name w:val="图题"/>
    <w:basedOn w:val="1"/>
    <w:link w:val="24"/>
    <w:autoRedefine/>
    <w:qFormat/>
    <w:uiPriority w:val="0"/>
    <w:pPr>
      <w:spacing w:after="120" w:line="240" w:lineRule="auto"/>
      <w:ind w:firstLine="0" w:firstLineChars="0"/>
      <w:jc w:val="center"/>
    </w:pPr>
    <w:rPr>
      <w:rFonts w:cstheme="minorBidi"/>
      <w:b/>
      <w:bCs/>
      <w:sz w:val="21"/>
      <w:szCs w:val="32"/>
    </w:rPr>
  </w:style>
  <w:style w:type="character" w:customStyle="1" w:styleId="24">
    <w:name w:val="图题 字符"/>
    <w:basedOn w:val="18"/>
    <w:link w:val="23"/>
    <w:autoRedefine/>
    <w:qFormat/>
    <w:uiPriority w:val="0"/>
    <w:rPr>
      <w:rFonts w:ascii="Times New Roman" w:hAnsi="Times New Roman" w:eastAsia="宋体"/>
      <w:b/>
      <w:bCs/>
      <w:szCs w:val="32"/>
    </w:rPr>
  </w:style>
  <w:style w:type="paragraph" w:customStyle="1" w:styleId="25">
    <w:name w:val="五级标题"/>
    <w:basedOn w:val="26"/>
    <w:next w:val="1"/>
    <w:link w:val="27"/>
    <w:autoRedefine/>
    <w:qFormat/>
    <w:uiPriority w:val="0"/>
    <w:pPr>
      <w:spacing w:line="360" w:lineRule="auto"/>
      <w:outlineLvl w:val="4"/>
    </w:pPr>
    <w:rPr>
      <w:b w:val="0"/>
      <w:sz w:val="24"/>
    </w:rPr>
  </w:style>
  <w:style w:type="paragraph" w:customStyle="1" w:styleId="26">
    <w:name w:val="四级标题"/>
    <w:basedOn w:val="1"/>
    <w:next w:val="1"/>
    <w:link w:val="28"/>
    <w:autoRedefine/>
    <w:qFormat/>
    <w:uiPriority w:val="0"/>
    <w:pPr>
      <w:keepNext/>
      <w:keepLines/>
      <w:spacing w:line="240" w:lineRule="auto"/>
      <w:ind w:firstLine="0" w:firstLineChars="0"/>
      <w:outlineLvl w:val="3"/>
    </w:pPr>
    <w:rPr>
      <w:b/>
      <w:bCs/>
      <w:sz w:val="28"/>
      <w:szCs w:val="28"/>
    </w:rPr>
  </w:style>
  <w:style w:type="character" w:customStyle="1" w:styleId="27">
    <w:name w:val="五级标题 字符"/>
    <w:basedOn w:val="28"/>
    <w:link w:val="25"/>
    <w:autoRedefine/>
    <w:qFormat/>
    <w:uiPriority w:val="0"/>
    <w:rPr>
      <w:rFonts w:ascii="Times New Roman" w:hAnsi="Times New Roman" w:eastAsia="宋体" w:cs="Times New Roman"/>
      <w:b w:val="0"/>
      <w:sz w:val="24"/>
      <w:szCs w:val="28"/>
    </w:rPr>
  </w:style>
  <w:style w:type="character" w:customStyle="1" w:styleId="28">
    <w:name w:val="四级标题 字符"/>
    <w:basedOn w:val="18"/>
    <w:link w:val="26"/>
    <w:autoRedefine/>
    <w:qFormat/>
    <w:uiPriority w:val="0"/>
    <w:rPr>
      <w:rFonts w:ascii="Times New Roman" w:hAnsi="Times New Roman" w:eastAsia="宋体" w:cs="Times New Roman"/>
      <w:b/>
      <w:bCs/>
      <w:sz w:val="28"/>
      <w:szCs w:val="28"/>
    </w:rPr>
  </w:style>
  <w:style w:type="paragraph" w:customStyle="1" w:styleId="29">
    <w:name w:val="三级标题"/>
    <w:basedOn w:val="1"/>
    <w:next w:val="1"/>
    <w:link w:val="30"/>
    <w:autoRedefine/>
    <w:qFormat/>
    <w:uiPriority w:val="0"/>
    <w:pPr>
      <w:keepNext/>
      <w:keepLines/>
      <w:ind w:firstLine="0" w:firstLineChars="0"/>
      <w:outlineLvl w:val="2"/>
    </w:pPr>
    <w:rPr>
      <w:b/>
      <w:bCs/>
      <w:sz w:val="28"/>
      <w:szCs w:val="32"/>
    </w:rPr>
  </w:style>
  <w:style w:type="character" w:customStyle="1" w:styleId="30">
    <w:name w:val="三级标题 字符"/>
    <w:basedOn w:val="18"/>
    <w:link w:val="29"/>
    <w:autoRedefine/>
    <w:qFormat/>
    <w:uiPriority w:val="0"/>
    <w:rPr>
      <w:rFonts w:ascii="Times New Roman" w:hAnsi="Times New Roman" w:eastAsia="宋体" w:cs="Times New Roman"/>
      <w:b/>
      <w:bCs/>
      <w:sz w:val="28"/>
      <w:szCs w:val="32"/>
    </w:rPr>
  </w:style>
  <w:style w:type="paragraph" w:customStyle="1" w:styleId="31">
    <w:name w:val="二级标题"/>
    <w:basedOn w:val="1"/>
    <w:next w:val="1"/>
    <w:link w:val="32"/>
    <w:autoRedefine/>
    <w:qFormat/>
    <w:uiPriority w:val="0"/>
    <w:pPr>
      <w:keepNext/>
      <w:keepLines/>
      <w:spacing w:line="240" w:lineRule="auto"/>
      <w:ind w:firstLine="0" w:firstLineChars="0"/>
      <w:outlineLvl w:val="1"/>
    </w:pPr>
    <w:rPr>
      <w:b/>
      <w:bCs/>
      <w:sz w:val="30"/>
      <w:szCs w:val="32"/>
    </w:rPr>
  </w:style>
  <w:style w:type="character" w:customStyle="1" w:styleId="32">
    <w:name w:val="二级标题 字符"/>
    <w:basedOn w:val="18"/>
    <w:link w:val="31"/>
    <w:autoRedefine/>
    <w:qFormat/>
    <w:uiPriority w:val="0"/>
    <w:rPr>
      <w:rFonts w:ascii="Times New Roman" w:hAnsi="Times New Roman" w:eastAsia="宋体" w:cs="Times New Roman"/>
      <w:b/>
      <w:bCs/>
      <w:sz w:val="30"/>
      <w:szCs w:val="32"/>
    </w:rPr>
  </w:style>
  <w:style w:type="paragraph" w:customStyle="1" w:styleId="33">
    <w:name w:val="文本"/>
    <w:basedOn w:val="1"/>
    <w:link w:val="34"/>
    <w:autoRedefine/>
    <w:qFormat/>
    <w:uiPriority w:val="0"/>
    <w:pPr>
      <w:autoSpaceDE w:val="0"/>
      <w:autoSpaceDN w:val="0"/>
      <w:ind w:firstLine="482"/>
    </w:pPr>
    <w:rPr>
      <w:kern w:val="0"/>
      <w:lang w:val="zh-CN"/>
    </w:rPr>
  </w:style>
  <w:style w:type="character" w:customStyle="1" w:styleId="34">
    <w:name w:val="文本 字符"/>
    <w:basedOn w:val="18"/>
    <w:link w:val="33"/>
    <w:autoRedefine/>
    <w:qFormat/>
    <w:uiPriority w:val="0"/>
    <w:rPr>
      <w:rFonts w:ascii="Times New Roman" w:hAnsi="Times New Roman" w:eastAsia="宋体" w:cs="Times New Roman"/>
      <w:kern w:val="0"/>
      <w:sz w:val="24"/>
      <w:szCs w:val="24"/>
      <w:lang w:val="zh-CN"/>
    </w:rPr>
  </w:style>
  <w:style w:type="paragraph" w:customStyle="1" w:styleId="35">
    <w:name w:val="一级标题"/>
    <w:basedOn w:val="5"/>
    <w:next w:val="1"/>
    <w:autoRedefine/>
    <w:qFormat/>
    <w:uiPriority w:val="0"/>
    <w:pPr>
      <w:overflowPunct w:val="0"/>
      <w:spacing w:before="0" w:after="120" w:line="300" w:lineRule="auto"/>
      <w:ind w:firstLine="0" w:firstLineChars="0"/>
      <w:jc w:val="left"/>
    </w:pPr>
    <w:rPr>
      <w:b w:val="0"/>
      <w:sz w:val="32"/>
    </w:rPr>
  </w:style>
  <w:style w:type="character" w:customStyle="1" w:styleId="36">
    <w:name w:val="标题 1 字符"/>
    <w:basedOn w:val="18"/>
    <w:link w:val="5"/>
    <w:autoRedefine/>
    <w:qFormat/>
    <w:uiPriority w:val="9"/>
    <w:rPr>
      <w:rFonts w:ascii="Times New Roman" w:hAnsi="Times New Roman" w:eastAsia="宋体"/>
      <w:b/>
      <w:bCs/>
      <w:kern w:val="44"/>
      <w:sz w:val="44"/>
      <w:szCs w:val="44"/>
    </w:rPr>
  </w:style>
  <w:style w:type="table" w:customStyle="1" w:styleId="37">
    <w:name w:val="MFS表格"/>
    <w:basedOn w:val="16"/>
    <w:autoRedefine/>
    <w:qFormat/>
    <w:uiPriority w:val="0"/>
    <w:pPr>
      <w:widowControl w:val="0"/>
      <w:snapToGrid w:val="0"/>
      <w:jc w:val="center"/>
    </w:pPr>
    <w:rPr>
      <w:rFonts w:ascii="Times New Roman" w:hAnsi="Times New Roman" w:eastAsia="宋体" w:cs="Times New Roman"/>
      <w:kern w:val="0"/>
      <w:sz w:val="18"/>
      <w:szCs w:val="20"/>
    </w:rPr>
    <w:tblPr>
      <w:tblBorders>
        <w:top w:val="single" w:color="auto" w:sz="4" w:space="0"/>
        <w:bottom w:val="single" w:color="auto" w:sz="4" w:space="0"/>
        <w:insideH w:val="single" w:color="000000" w:sz="6" w:space="0"/>
        <w:insideV w:val="single" w:color="000000" w:sz="6" w:space="0"/>
      </w:tblBorders>
    </w:tblPr>
    <w:tcPr>
      <w:shd w:val="clear" w:color="auto" w:fill="auto"/>
      <w:vAlign w:val="center"/>
    </w:tcPr>
    <w:tblStylePr w:type="firstRow">
      <w:rPr>
        <w:rFonts w:ascii="Times New Roman" w:hAnsi="Times New Roman" w:eastAsia="宋体"/>
        <w:b/>
        <w:sz w:val="21"/>
      </w:rPr>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paragraph" w:customStyle="1" w:styleId="38">
    <w:name w:val="页脚页眉"/>
    <w:basedOn w:val="1"/>
    <w:link w:val="39"/>
    <w:autoRedefine/>
    <w:qFormat/>
    <w:uiPriority w:val="0"/>
    <w:pPr>
      <w:spacing w:line="240" w:lineRule="auto"/>
      <w:ind w:firstLine="0" w:firstLineChars="0"/>
    </w:pPr>
    <w:rPr>
      <w:sz w:val="18"/>
      <w:szCs w:val="18"/>
    </w:rPr>
  </w:style>
  <w:style w:type="character" w:customStyle="1" w:styleId="39">
    <w:name w:val="页脚页眉 字符"/>
    <w:basedOn w:val="40"/>
    <w:link w:val="38"/>
    <w:autoRedefine/>
    <w:qFormat/>
    <w:uiPriority w:val="0"/>
    <w:rPr>
      <w:rFonts w:ascii="Times New Roman" w:hAnsi="Times New Roman" w:eastAsia="宋体" w:cs="Times New Roman"/>
      <w:sz w:val="18"/>
      <w:szCs w:val="18"/>
    </w:rPr>
  </w:style>
  <w:style w:type="character" w:customStyle="1" w:styleId="40">
    <w:name w:val="页脚 字符"/>
    <w:basedOn w:val="18"/>
    <w:link w:val="12"/>
    <w:autoRedefine/>
    <w:qFormat/>
    <w:uiPriority w:val="99"/>
    <w:rPr>
      <w:rFonts w:ascii="Times New Roman" w:hAnsi="Times New Roman" w:eastAsia="宋体" w:cs="Times New Roman"/>
      <w:sz w:val="18"/>
      <w:szCs w:val="18"/>
    </w:rPr>
  </w:style>
  <w:style w:type="character" w:customStyle="1" w:styleId="41">
    <w:name w:val="页眉 字符"/>
    <w:basedOn w:val="18"/>
    <w:link w:val="13"/>
    <w:autoRedefine/>
    <w:qFormat/>
    <w:uiPriority w:val="99"/>
    <w:rPr>
      <w:rFonts w:ascii="Times New Roman" w:hAnsi="Times New Roman" w:eastAsia="宋体" w:cs="Times New Roman"/>
      <w:sz w:val="18"/>
      <w:szCs w:val="18"/>
    </w:rPr>
  </w:style>
  <w:style w:type="character" w:customStyle="1" w:styleId="42">
    <w:name w:val="普通(网站) 字符"/>
    <w:link w:val="14"/>
    <w:autoRedefine/>
    <w:qFormat/>
    <w:locked/>
    <w:uiPriority w:val="0"/>
    <w:rPr>
      <w:rFonts w:ascii="宋体" w:hAnsi="宋体" w:eastAsia="宋体"/>
      <w:sz w:val="24"/>
    </w:rPr>
  </w:style>
  <w:style w:type="paragraph" w:styleId="43">
    <w:name w:val="List Paragraph"/>
    <w:basedOn w:val="1"/>
    <w:autoRedefine/>
    <w:qFormat/>
    <w:uiPriority w:val="34"/>
    <w:pPr>
      <w:ind w:firstLine="420"/>
    </w:pPr>
  </w:style>
  <w:style w:type="character" w:customStyle="1" w:styleId="44">
    <w:name w:val="font41"/>
    <w:basedOn w:val="18"/>
    <w:autoRedefine/>
    <w:qFormat/>
    <w:uiPriority w:val="0"/>
    <w:rPr>
      <w:rFonts w:hint="eastAsia" w:ascii="宋体" w:hAnsi="宋体" w:eastAsia="宋体"/>
      <w:color w:val="000000"/>
      <w:sz w:val="12"/>
      <w:szCs w:val="12"/>
      <w:u w:val="none"/>
    </w:rPr>
  </w:style>
  <w:style w:type="character" w:customStyle="1" w:styleId="45">
    <w:name w:val="font51"/>
    <w:basedOn w:val="18"/>
    <w:autoRedefine/>
    <w:qFormat/>
    <w:uiPriority w:val="0"/>
    <w:rPr>
      <w:rFonts w:hint="eastAsia" w:ascii="宋体" w:hAnsi="宋体" w:eastAsia="宋体"/>
      <w:color w:val="72003D"/>
      <w:sz w:val="12"/>
      <w:szCs w:val="12"/>
      <w:u w:val="none"/>
    </w:rPr>
  </w:style>
  <w:style w:type="character" w:customStyle="1" w:styleId="46">
    <w:name w:val="font61"/>
    <w:basedOn w:val="18"/>
    <w:autoRedefine/>
    <w:qFormat/>
    <w:uiPriority w:val="0"/>
    <w:rPr>
      <w:rFonts w:hint="eastAsia" w:ascii="宋体" w:hAnsi="宋体" w:eastAsia="宋体"/>
      <w:color w:val="00138C"/>
      <w:sz w:val="12"/>
      <w:szCs w:val="12"/>
      <w:u w:val="none"/>
    </w:rPr>
  </w:style>
  <w:style w:type="character" w:customStyle="1" w:styleId="47">
    <w:name w:val="font71"/>
    <w:basedOn w:val="18"/>
    <w:autoRedefine/>
    <w:qFormat/>
    <w:uiPriority w:val="0"/>
    <w:rPr>
      <w:rFonts w:hint="eastAsia" w:ascii="宋体" w:hAnsi="宋体" w:eastAsia="宋体"/>
      <w:color w:val="7E1D00"/>
      <w:sz w:val="12"/>
      <w:szCs w:val="12"/>
      <w:u w:val="none"/>
    </w:rPr>
  </w:style>
  <w:style w:type="character" w:customStyle="1" w:styleId="48">
    <w:name w:val="font31"/>
    <w:basedOn w:val="18"/>
    <w:autoRedefine/>
    <w:qFormat/>
    <w:uiPriority w:val="0"/>
    <w:rPr>
      <w:rFonts w:hint="eastAsia" w:ascii="宋体" w:hAnsi="宋体" w:eastAsia="宋体"/>
      <w:color w:val="000000"/>
      <w:sz w:val="12"/>
      <w:szCs w:val="12"/>
      <w:u w:val="none"/>
    </w:rPr>
  </w:style>
  <w:style w:type="character" w:customStyle="1" w:styleId="49">
    <w:name w:val="font11"/>
    <w:basedOn w:val="18"/>
    <w:autoRedefine/>
    <w:qFormat/>
    <w:uiPriority w:val="0"/>
    <w:rPr>
      <w:rFonts w:hint="eastAsia" w:ascii="宋体" w:hAnsi="宋体" w:eastAsia="宋体"/>
      <w:b/>
      <w:bCs/>
      <w:color w:val="000000"/>
      <w:sz w:val="12"/>
      <w:szCs w:val="12"/>
      <w:u w:val="none"/>
    </w:rPr>
  </w:style>
  <w:style w:type="character" w:customStyle="1" w:styleId="50">
    <w:name w:val="font21"/>
    <w:basedOn w:val="18"/>
    <w:autoRedefine/>
    <w:qFormat/>
    <w:uiPriority w:val="0"/>
    <w:rPr>
      <w:rFonts w:hint="eastAsia" w:ascii="宋体" w:hAnsi="宋体" w:eastAsia="宋体"/>
      <w:color w:val="000000"/>
      <w:sz w:val="12"/>
      <w:szCs w:val="12"/>
      <w:u w:val="none"/>
    </w:rPr>
  </w:style>
  <w:style w:type="paragraph" w:customStyle="1" w:styleId="51">
    <w:name w:val="正式文本"/>
    <w:basedOn w:val="1"/>
    <w:autoRedefine/>
    <w:qFormat/>
    <w:uiPriority w:val="0"/>
    <w:pPr>
      <w:tabs>
        <w:tab w:val="left" w:pos="0"/>
      </w:tabs>
      <w:spacing w:before="120" w:after="120" w:line="540" w:lineRule="exact"/>
      <w:ind w:firstLine="200"/>
    </w:pPr>
    <w:rPr>
      <w:rFonts w:ascii="宋体"/>
      <w:kern w:val="0"/>
      <w:sz w:val="28"/>
    </w:rPr>
  </w:style>
  <w:style w:type="character" w:customStyle="1" w:styleId="52">
    <w:name w:val="日期 字符"/>
    <w:basedOn w:val="18"/>
    <w:link w:val="11"/>
    <w:autoRedefine/>
    <w:semiHidden/>
    <w:qFormat/>
    <w:uiPriority w:val="99"/>
    <w:rPr>
      <w:rFonts w:ascii="Times New Roman" w:hAnsi="Times New Roman" w:eastAsia="宋体" w:cs="Times New Roman"/>
      <w:sz w:val="24"/>
      <w:szCs w:val="24"/>
    </w:rPr>
  </w:style>
  <w:style w:type="character" w:customStyle="1" w:styleId="53">
    <w:name w:val="表体 Char"/>
    <w:link w:val="54"/>
    <w:autoRedefine/>
    <w:qFormat/>
    <w:uiPriority w:val="0"/>
    <w:rPr>
      <w:rFonts w:ascii="宋体" w:hAnsi="宋体" w:eastAsia="宋体"/>
      <w:color w:val="000080"/>
      <w:sz w:val="24"/>
      <w:szCs w:val="24"/>
    </w:rPr>
  </w:style>
  <w:style w:type="paragraph" w:customStyle="1" w:styleId="54">
    <w:name w:val="表体"/>
    <w:link w:val="53"/>
    <w:autoRedefine/>
    <w:qFormat/>
    <w:uiPriority w:val="0"/>
    <w:pPr>
      <w:spacing w:line="288" w:lineRule="auto"/>
    </w:pPr>
    <w:rPr>
      <w:rFonts w:ascii="宋体" w:hAnsi="宋体" w:eastAsia="宋体" w:cstheme="minorBidi"/>
      <w:color w:val="000080"/>
      <w:kern w:val="2"/>
      <w:sz w:val="24"/>
      <w:szCs w:val="24"/>
      <w:lang w:val="en-US" w:eastAsia="zh-CN" w:bidi="ar-SA"/>
    </w:rPr>
  </w:style>
  <w:style w:type="paragraph" w:customStyle="1" w:styleId="55">
    <w:name w:val="Default"/>
    <w:basedOn w:val="56"/>
    <w:next w:val="1"/>
    <w:autoRedefine/>
    <w:qFormat/>
    <w:uiPriority w:val="0"/>
    <w:pPr>
      <w:autoSpaceDE w:val="0"/>
      <w:autoSpaceDN w:val="0"/>
      <w:adjustRightInd w:val="0"/>
    </w:pPr>
    <w:rPr>
      <w:rFonts w:ascii="黑体" w:hAnsi="黑体" w:eastAsia="黑体"/>
      <w:color w:val="000000"/>
      <w:sz w:val="24"/>
      <w:szCs w:val="22"/>
    </w:rPr>
  </w:style>
  <w:style w:type="paragraph" w:customStyle="1" w:styleId="56">
    <w:name w:val="标题2"/>
    <w:basedOn w:val="6"/>
    <w:autoRedefine/>
    <w:qFormat/>
    <w:uiPriority w:val="0"/>
    <w:pPr>
      <w:numPr>
        <w:ilvl w:val="1"/>
        <w:numId w:val="0"/>
      </w:numPr>
      <w:spacing w:before="120" w:after="120"/>
      <w:jc w:val="left"/>
    </w:pPr>
  </w:style>
  <w:style w:type="paragraph" w:customStyle="1" w:styleId="57">
    <w:name w:val="报告正文"/>
    <w:autoRedefine/>
    <w:qFormat/>
    <w:uiPriority w:val="0"/>
    <w:pPr>
      <w:spacing w:line="360" w:lineRule="auto"/>
      <w:ind w:firstLine="723" w:firstLineChars="200"/>
    </w:pPr>
    <w:rPr>
      <w:rFonts w:ascii="Times New Roman" w:hAnsi="Times New Roman" w:eastAsia="宋体" w:cs="宋体"/>
      <w:sz w:val="24"/>
      <w:szCs w:val="24"/>
      <w:lang w:val="en-US" w:eastAsia="zh-CN" w:bidi="ar-SA"/>
    </w:rPr>
  </w:style>
  <w:style w:type="paragraph" w:customStyle="1" w:styleId="58">
    <w:name w:val="段落正文"/>
    <w:basedOn w:val="1"/>
    <w:autoRedefine/>
    <w:qFormat/>
    <w:uiPriority w:val="0"/>
    <w:pPr>
      <w:adjustRightInd w:val="0"/>
      <w:snapToGrid w:val="0"/>
      <w:ind w:firstLine="480"/>
    </w:pPr>
    <w:rPr>
      <w:rFonts w:ascii="Calibri" w:hAnsi="Calibri"/>
      <w:szCs w:val="22"/>
    </w:rPr>
  </w:style>
  <w:style w:type="character" w:customStyle="1" w:styleId="59">
    <w:name w:val="font81"/>
    <w:basedOn w:val="18"/>
    <w:autoRedefine/>
    <w:qFormat/>
    <w:uiPriority w:val="0"/>
    <w:rPr>
      <w:rFonts w:ascii="宋体" w:hAnsi="宋体" w:eastAsia="宋体" w:cs="宋体"/>
      <w:color w:val="00885B"/>
      <w:sz w:val="18"/>
      <w:szCs w:val="18"/>
      <w:u w:val="none"/>
    </w:rPr>
  </w:style>
  <w:style w:type="character" w:customStyle="1" w:styleId="60">
    <w:name w:val="font91"/>
    <w:basedOn w:val="18"/>
    <w:autoRedefine/>
    <w:qFormat/>
    <w:uiPriority w:val="0"/>
    <w:rPr>
      <w:rFonts w:ascii="宋体" w:hAnsi="宋体" w:eastAsia="宋体" w:cs="宋体"/>
      <w:color w:val="00188F"/>
      <w:sz w:val="18"/>
      <w:szCs w:val="18"/>
      <w:u w:val="none"/>
    </w:rPr>
  </w:style>
  <w:style w:type="character" w:customStyle="1" w:styleId="61">
    <w:name w:val="font101"/>
    <w:basedOn w:val="18"/>
    <w:autoRedefine/>
    <w:qFormat/>
    <w:uiPriority w:val="0"/>
    <w:rPr>
      <w:rFonts w:ascii="宋体" w:hAnsi="宋体" w:eastAsia="宋体" w:cs="宋体"/>
      <w:color w:val="006443"/>
      <w:sz w:val="18"/>
      <w:szCs w:val="18"/>
      <w:u w:val="none"/>
    </w:rPr>
  </w:style>
  <w:style w:type="character" w:customStyle="1" w:styleId="62">
    <w:name w:val="font112"/>
    <w:basedOn w:val="18"/>
    <w:autoRedefine/>
    <w:qFormat/>
    <w:uiPriority w:val="0"/>
    <w:rPr>
      <w:rFonts w:ascii="宋体" w:hAnsi="宋体" w:eastAsia="宋体" w:cs="宋体"/>
      <w:color w:val="8B1C00"/>
      <w:sz w:val="18"/>
      <w:szCs w:val="18"/>
      <w:u w:val="none"/>
    </w:rPr>
  </w:style>
  <w:style w:type="paragraph" w:customStyle="1" w:styleId="63">
    <w:name w:val="表格"/>
    <w:basedOn w:val="64"/>
    <w:next w:val="1"/>
    <w:autoRedefine/>
    <w:qFormat/>
    <w:uiPriority w:val="0"/>
    <w:pPr>
      <w:adjustRightInd w:val="0"/>
      <w:snapToGrid w:val="0"/>
      <w:spacing w:beforeLines="10" w:afterLines="10" w:line="259" w:lineRule="auto"/>
      <w:jc w:val="center"/>
    </w:pPr>
    <w:rPr>
      <w:rFonts w:ascii="宋体" w:eastAsia="宋体"/>
    </w:rPr>
  </w:style>
  <w:style w:type="paragraph" w:customStyle="1" w:styleId="64">
    <w:name w:val="表头"/>
    <w:basedOn w:val="65"/>
    <w:next w:val="1"/>
    <w:autoRedefine/>
    <w:qFormat/>
    <w:uiPriority w:val="0"/>
    <w:pPr>
      <w:spacing w:line="240" w:lineRule="auto"/>
      <w:ind w:firstLine="0" w:firstLineChars="0"/>
      <w:jc w:val="center"/>
    </w:pPr>
    <w:rPr>
      <w:rFonts w:eastAsia="黑体"/>
      <w:kern w:val="0"/>
      <w:sz w:val="21"/>
      <w:szCs w:val="20"/>
    </w:rPr>
  </w:style>
  <w:style w:type="paragraph" w:customStyle="1" w:styleId="65">
    <w:name w:val="正文1"/>
    <w:basedOn w:val="1"/>
    <w:autoRedefine/>
    <w:qFormat/>
    <w:uiPriority w:val="99"/>
    <w:pPr>
      <w:adjustRightInd w:val="0"/>
      <w:ind w:firstLine="567"/>
      <w:jc w:val="center"/>
      <w:textAlignment w:val="baseline"/>
    </w:pPr>
  </w:style>
  <w:style w:type="paragraph" w:customStyle="1" w:styleId="66">
    <w:name w:val="表格文字"/>
    <w:basedOn w:val="1"/>
    <w:autoRedefine/>
    <w:qFormat/>
    <w:uiPriority w:val="0"/>
    <w:pPr>
      <w:tabs>
        <w:tab w:val="left" w:pos="480"/>
      </w:tabs>
      <w:adjustRightInd w:val="0"/>
      <w:snapToGrid w:val="0"/>
      <w:spacing w:line="240" w:lineRule="auto"/>
      <w:ind w:firstLine="0" w:firstLineChars="0"/>
      <w:jc w:val="center"/>
    </w:pPr>
    <w:rPr>
      <w:kern w:val="44"/>
      <w:szCs w:val="20"/>
    </w:rPr>
  </w:style>
  <w:style w:type="paragraph" w:customStyle="1" w:styleId="67">
    <w:name w:val="表格文字1"/>
    <w:basedOn w:val="1"/>
    <w:autoRedefine/>
    <w:qFormat/>
    <w:uiPriority w:val="0"/>
    <w:pPr>
      <w:widowControl/>
      <w:tabs>
        <w:tab w:val="left" w:pos="0"/>
      </w:tabs>
      <w:autoSpaceDE w:val="0"/>
      <w:autoSpaceDN w:val="0"/>
      <w:adjustRightInd w:val="0"/>
      <w:spacing w:before="60"/>
      <w:ind w:left="57" w:right="57" w:firstLine="0" w:firstLineChars="0"/>
      <w:jc w:val="center"/>
    </w:pPr>
    <w:rPr>
      <w:rFonts w:hAnsi="Times New Roman"/>
      <w:kern w:val="0"/>
      <w:szCs w:val="20"/>
    </w:rPr>
  </w:style>
  <w:style w:type="paragraph" w:customStyle="1" w:styleId="68">
    <w:name w:val="表格正文"/>
    <w:basedOn w:val="1"/>
    <w:next w:val="69"/>
    <w:autoRedefine/>
    <w:qFormat/>
    <w:uiPriority w:val="0"/>
    <w:pPr>
      <w:spacing w:line="240" w:lineRule="auto"/>
      <w:ind w:firstLine="0" w:firstLineChars="0"/>
      <w:jc w:val="center"/>
    </w:pPr>
  </w:style>
  <w:style w:type="paragraph" w:customStyle="1" w:styleId="69">
    <w:name w:val="1-正文"/>
    <w:basedOn w:val="1"/>
    <w:autoRedefine/>
    <w:qFormat/>
    <w:uiPriority w:val="0"/>
    <w:pPr>
      <w:spacing w:line="360" w:lineRule="auto"/>
      <w:ind w:firstLine="480" w:firstLineChars="200"/>
    </w:pPr>
    <w:rPr>
      <w:rFonts w:ascii="宋体" w:eastAsia="宋体" w:cs="宋体"/>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1" Type="http://schemas.openxmlformats.org/officeDocument/2006/relationships/fontTable" Target="fontTable.xml"/><Relationship Id="rId40" Type="http://schemas.microsoft.com/office/2006/relationships/keyMapCustomizations" Target="customizations.xml"/><Relationship Id="rId4" Type="http://schemas.openxmlformats.org/officeDocument/2006/relationships/endnotes" Target="endnotes.xml"/><Relationship Id="rId39" Type="http://schemas.openxmlformats.org/officeDocument/2006/relationships/customXml" Target="../customXml/item1.xml"/><Relationship Id="rId38" Type="http://schemas.openxmlformats.org/officeDocument/2006/relationships/numbering" Target="numbering.xml"/><Relationship Id="rId37" Type="http://schemas.openxmlformats.org/officeDocument/2006/relationships/image" Target="media/image24.emf"/><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emf"/><Relationship Id="rId16" Type="http://schemas.openxmlformats.org/officeDocument/2006/relationships/image" Target="media/image3.emf"/><Relationship Id="rId15" Type="http://schemas.openxmlformats.org/officeDocument/2006/relationships/image" Target="media/image2.jpeg"/><Relationship Id="rId14" Type="http://schemas.openxmlformats.org/officeDocument/2006/relationships/image" Target="media/image1.emf"/><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4FE0E0-DADD-42A6-83CF-AFF664BB78E1}">
  <ds:schemaRefs/>
</ds:datastoreItem>
</file>

<file path=docProps/app.xml><?xml version="1.0" encoding="utf-8"?>
<Properties xmlns="http://schemas.openxmlformats.org/officeDocument/2006/extended-properties" xmlns:vt="http://schemas.openxmlformats.org/officeDocument/2006/docPropsVTypes">
  <Template>Normal.dotm</Template>
  <Pages>36</Pages>
  <Words>2398</Words>
  <Characters>13672</Characters>
  <Lines>113</Lines>
  <Paragraphs>32</Paragraphs>
  <TotalTime>4</TotalTime>
  <ScaleCrop>false</ScaleCrop>
  <LinksUpToDate>false</LinksUpToDate>
  <CharactersWithSpaces>16038</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2024-01-09T00:55:00Z</dcterms:created>
  <dc:creator>Eric</dc:creator>
  <cp:lastModifiedBy>柴鸡蛋</cp:lastModifiedBy>
  <dcterms:modified xsi:type="dcterms:W3CDTF">2024-03-18T06:06:22Z</dcterms:modified>
  <cp:revision>334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67658958AF5943068400148F0FD17759_12</vt:lpwstr>
  </property>
</Properties>
</file>