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olor w:val="000000" w:themeColor="text1"/>
          <w:sz w:val="44"/>
          <w:szCs w:val="44"/>
        </w:rPr>
      </w:pPr>
      <w:bookmarkStart w:id="0" w:name="_GoBack"/>
      <w:bookmarkEnd w:id="0"/>
      <w:r>
        <w:rPr>
          <w:rFonts w:hint="eastAsia" w:ascii="方正小标宋简体" w:hAnsi="宋体" w:eastAsia="方正小标宋简体"/>
          <w:color w:val="000000" w:themeColor="text1"/>
          <w:sz w:val="44"/>
          <w:szCs w:val="44"/>
        </w:rPr>
        <w:t>项目支出绩效评价报告</w:t>
      </w:r>
    </w:p>
    <w:p>
      <w:pPr>
        <w:rPr>
          <w:rFonts w:ascii="楷体" w:hAnsi="楷体" w:eastAsia="楷体"/>
          <w:color w:val="000000" w:themeColor="text1"/>
          <w:sz w:val="32"/>
          <w:szCs w:val="32"/>
        </w:rPr>
      </w:pPr>
    </w:p>
    <w:p>
      <w:pPr>
        <w:rPr>
          <w:rFonts w:ascii="楷体" w:hAnsi="楷体" w:eastAsia="楷体"/>
          <w:color w:val="000000" w:themeColor="text1"/>
          <w:sz w:val="32"/>
          <w:szCs w:val="32"/>
        </w:rPr>
      </w:pPr>
    </w:p>
    <w:p>
      <w:pPr>
        <w:rPr>
          <w:rFonts w:ascii="楷体" w:hAnsi="楷体" w:eastAsia="楷体"/>
          <w:color w:val="000000" w:themeColor="text1"/>
          <w:sz w:val="32"/>
          <w:szCs w:val="32"/>
        </w:rPr>
      </w:pPr>
    </w:p>
    <w:p>
      <w:pPr>
        <w:jc w:val="center"/>
        <w:rPr>
          <w:rFonts w:ascii="方正小标宋简体" w:eastAsia="方正小标宋简体" w:hAnsiTheme="majorEastAsia" w:cstheme="majorEastAsia"/>
          <w:bCs/>
          <w:color w:val="000000" w:themeColor="text1"/>
          <w:sz w:val="44"/>
          <w:szCs w:val="44"/>
        </w:rPr>
      </w:pPr>
      <w:r>
        <w:rPr>
          <w:rFonts w:hint="eastAsia" w:ascii="方正小标宋简体" w:eastAsia="方正小标宋简体" w:hAnsiTheme="majorEastAsia" w:cstheme="majorEastAsia"/>
          <w:bCs/>
          <w:color w:val="000000" w:themeColor="text1"/>
          <w:sz w:val="44"/>
          <w:szCs w:val="44"/>
          <w:lang w:eastAsia="zh-CN"/>
        </w:rPr>
        <w:t>平阿山非煤矿山生态修复专项生态管护</w:t>
      </w:r>
      <w:r>
        <w:rPr>
          <w:rFonts w:hint="eastAsia" w:ascii="方正小标宋简体" w:eastAsia="方正小标宋简体" w:hAnsiTheme="majorEastAsia" w:cstheme="majorEastAsia"/>
          <w:bCs/>
          <w:color w:val="000000" w:themeColor="text1"/>
          <w:sz w:val="44"/>
          <w:szCs w:val="44"/>
        </w:rPr>
        <w:t>项目支出绩效评价报告</w:t>
      </w: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黑体" w:hAnsi="Arial" w:eastAsia="黑体" w:cs="Arial"/>
          <w:color w:val="000000" w:themeColor="text1"/>
          <w:sz w:val="32"/>
          <w:szCs w:val="32"/>
        </w:rPr>
      </w:pPr>
      <w:r>
        <w:rPr>
          <w:rFonts w:hint="eastAsia" w:ascii="黑体" w:hAnsi="楷体" w:eastAsia="黑体" w:cs="楷体"/>
          <w:color w:val="000000" w:themeColor="text1"/>
          <w:sz w:val="32"/>
          <w:szCs w:val="32"/>
        </w:rPr>
        <w:t>20</w:t>
      </w:r>
      <w:r>
        <w:rPr>
          <w:rFonts w:hint="eastAsia" w:ascii="黑体" w:hAnsi="Arial" w:eastAsia="黑体" w:cs="Arial"/>
          <w:color w:val="000000" w:themeColor="text1"/>
          <w:sz w:val="32"/>
          <w:szCs w:val="32"/>
          <w:lang w:val="en-US" w:eastAsia="zh-CN"/>
        </w:rPr>
        <w:t>23</w:t>
      </w:r>
      <w:r>
        <w:rPr>
          <w:rFonts w:hint="eastAsia" w:ascii="黑体" w:hAnsi="Arial" w:eastAsia="黑体" w:cs="Arial"/>
          <w:color w:val="000000" w:themeColor="text1"/>
          <w:sz w:val="32"/>
          <w:szCs w:val="32"/>
        </w:rPr>
        <w:t>年</w:t>
      </w:r>
      <w:r>
        <w:rPr>
          <w:rFonts w:hint="eastAsia" w:ascii="黑体" w:hAnsi="Arial" w:eastAsia="黑体" w:cs="Arial"/>
          <w:color w:val="000000" w:themeColor="text1"/>
          <w:sz w:val="32"/>
          <w:szCs w:val="32"/>
          <w:lang w:val="en-US" w:eastAsia="zh-CN"/>
        </w:rPr>
        <w:t>4</w:t>
      </w:r>
      <w:r>
        <w:rPr>
          <w:rFonts w:hint="eastAsia" w:ascii="黑体" w:hAnsi="Arial" w:eastAsia="黑体" w:cs="Arial"/>
          <w:color w:val="000000" w:themeColor="text1"/>
          <w:sz w:val="32"/>
          <w:szCs w:val="32"/>
        </w:rPr>
        <w:t>月</w:t>
      </w:r>
    </w:p>
    <w:p>
      <w:pPr>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仿宋_GB2312" w:hAnsi="仿宋" w:cs="仿宋"/>
          <w:color w:val="000000" w:themeColor="text1"/>
          <w:sz w:val="32"/>
          <w:szCs w:val="32"/>
        </w:rPr>
      </w:pPr>
      <w:r>
        <w:rPr>
          <w:rFonts w:hint="eastAsia" w:ascii="方正小标宋简体" w:eastAsia="方正小标宋简体" w:hAnsiTheme="majorEastAsia" w:cstheme="majorEastAsia"/>
          <w:bCs/>
          <w:color w:val="000000" w:themeColor="text1"/>
          <w:sz w:val="44"/>
          <w:szCs w:val="44"/>
        </w:rPr>
        <w:t>目  录</w:t>
      </w:r>
    </w:p>
    <w:p>
      <w:pPr>
        <w:keepNext w:val="0"/>
        <w:keepLines w:val="0"/>
        <w:pageBreakBefore w:val="0"/>
        <w:widowControl w:val="0"/>
        <w:numPr>
          <w:ilvl w:val="0"/>
          <w:numId w:val="1"/>
        </w:numPr>
        <w:kinsoku/>
        <w:wordWrap/>
        <w:overflowPunct/>
        <w:topLinePunct w:val="0"/>
        <w:autoSpaceDE/>
        <w:autoSpaceDN/>
        <w:bidi w:val="0"/>
        <w:adjustRightInd/>
        <w:snapToGrid/>
        <w:spacing w:before="120" w:after="120" w:line="440" w:lineRule="exact"/>
        <w:ind w:firstLine="0" w:firstLineChars="0"/>
        <w:jc w:val="left"/>
        <w:textAlignment w:val="auto"/>
        <w:rPr>
          <w:rFonts w:hint="eastAsia" w:ascii="黑体" w:hAnsi="黑体" w:eastAsia="黑体" w:cs="黑体"/>
          <w:color w:val="000000" w:themeColor="text1"/>
          <w:sz w:val="32"/>
          <w:szCs w:val="32"/>
          <w:lang w:eastAsia="zh-CN"/>
        </w:rPr>
      </w:pPr>
      <w:r>
        <w:rPr>
          <w:rFonts w:hint="eastAsia" w:ascii="黑体" w:hAnsi="黑体" w:eastAsia="黑体" w:cs="黑体"/>
          <w:color w:val="000000" w:themeColor="text1"/>
          <w:sz w:val="32"/>
          <w:szCs w:val="32"/>
          <w:lang w:eastAsia="zh-CN"/>
        </w:rPr>
        <w:t>项目基本情况</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300" w:leftChars="100" w:firstLine="0" w:firstLineChars="0"/>
        <w:textAlignment w:val="auto"/>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项目概况</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300" w:leftChars="100" w:firstLine="0" w:firstLineChars="0"/>
        <w:textAlignment w:val="auto"/>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项目绩效目标</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textAlignment w:val="auto"/>
        <w:rPr>
          <w:rFonts w:hint="eastAsia" w:ascii="黑体" w:hAnsi="黑体" w:eastAsia="黑体" w:cs="黑体"/>
          <w:color w:val="000000" w:themeColor="text1"/>
          <w:sz w:val="32"/>
          <w:szCs w:val="32"/>
          <w:lang w:eastAsia="zh-CN"/>
        </w:rPr>
      </w:pPr>
      <w:r>
        <w:rPr>
          <w:rFonts w:hint="eastAsia" w:ascii="黑体" w:hAnsi="黑体" w:eastAsia="黑体" w:cs="黑体"/>
          <w:color w:val="000000" w:themeColor="text1"/>
          <w:sz w:val="32"/>
          <w:szCs w:val="32"/>
          <w:lang w:eastAsia="zh-CN"/>
        </w:rPr>
        <w:t>二、绩效评价工作开展情况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100"/>
        <w:textAlignment w:val="auto"/>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（一）绩效评价目的、对象和范围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100"/>
        <w:textAlignment w:val="auto"/>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（二）绩效评价原则、评价指标体系（附表说明）、评价方法、评价标准等。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100"/>
        <w:textAlignment w:val="auto"/>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（三）绩效评价工作过程。</w:t>
      </w:r>
    </w:p>
    <w:p>
      <w:pPr>
        <w:keepNext w:val="0"/>
        <w:keepLines w:val="0"/>
        <w:pageBreakBefore w:val="0"/>
        <w:widowControl w:val="0"/>
        <w:numPr>
          <w:ilvl w:val="0"/>
          <w:numId w:val="3"/>
        </w:numPr>
        <w:tabs>
          <w:tab w:val="left" w:pos="500"/>
        </w:tabs>
        <w:kinsoku/>
        <w:wordWrap/>
        <w:overflowPunct/>
        <w:topLinePunct w:val="0"/>
        <w:autoSpaceDE/>
        <w:autoSpaceDN/>
        <w:bidi w:val="0"/>
        <w:adjustRightInd/>
        <w:snapToGrid/>
        <w:spacing w:before="120" w:after="120" w:line="440" w:lineRule="exact"/>
        <w:ind w:firstLine="0" w:firstLineChars="0"/>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综合评价情况及评价结论</w:t>
      </w:r>
    </w:p>
    <w:p>
      <w:pPr>
        <w:keepNext w:val="0"/>
        <w:keepLines w:val="0"/>
        <w:pageBreakBefore w:val="0"/>
        <w:widowControl w:val="0"/>
        <w:tabs>
          <w:tab w:val="left" w:pos="500"/>
        </w:tabs>
        <w:kinsoku/>
        <w:wordWrap/>
        <w:overflowPunct/>
        <w:topLinePunct w:val="0"/>
        <w:autoSpaceDE/>
        <w:autoSpaceDN/>
        <w:bidi w:val="0"/>
        <w:adjustRightInd/>
        <w:snapToGrid/>
        <w:spacing w:before="120" w:after="120" w:line="440" w:lineRule="exact"/>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lang w:eastAsia="zh-CN"/>
        </w:rPr>
        <w:t>四、</w:t>
      </w:r>
      <w:r>
        <w:rPr>
          <w:rFonts w:hint="eastAsia" w:ascii="黑体" w:hAnsi="黑体" w:eastAsia="黑体" w:cs="黑体"/>
          <w:color w:val="000000" w:themeColor="text1"/>
          <w:sz w:val="32"/>
          <w:szCs w:val="32"/>
        </w:rPr>
        <w:t>绩效评价指标分析（可附表进行分析）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100"/>
        <w:textAlignment w:val="auto"/>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（一）项目决策情况。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100"/>
        <w:textAlignment w:val="auto"/>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（二）项目过程情况。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100"/>
        <w:textAlignment w:val="auto"/>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（三）项目产出情况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100"/>
        <w:textAlignment w:val="auto"/>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（四）项目效益情况</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before="120" w:after="120" w:line="440" w:lineRule="exact"/>
        <w:textAlignment w:val="auto"/>
        <w:rPr>
          <w:rFonts w:ascii="黑体" w:hAnsi="黑体" w:eastAsia="黑体"/>
          <w:color w:val="000000" w:themeColor="text1"/>
          <w:sz w:val="32"/>
          <w:szCs w:val="32"/>
        </w:rPr>
      </w:pPr>
      <w:r>
        <w:rPr>
          <w:rFonts w:hint="eastAsia" w:ascii="黑体" w:hAnsi="黑体" w:eastAsia="黑体"/>
          <w:color w:val="000000" w:themeColor="text1"/>
          <w:sz w:val="32"/>
          <w:szCs w:val="32"/>
          <w:lang w:eastAsia="zh-CN"/>
        </w:rPr>
        <w:t>五、</w:t>
      </w:r>
      <w:r>
        <w:rPr>
          <w:rFonts w:ascii="黑体" w:hAnsi="黑体" w:eastAsia="黑体"/>
          <w:color w:val="000000" w:themeColor="text1"/>
          <w:sz w:val="32"/>
          <w:szCs w:val="32"/>
        </w:rPr>
        <w:t>主要经验及做法</w:t>
      </w:r>
    </w:p>
    <w:p>
      <w:pPr>
        <w:keepNext w:val="0"/>
        <w:keepLines w:val="0"/>
        <w:pageBreakBefore w:val="0"/>
        <w:widowControl w:val="0"/>
        <w:tabs>
          <w:tab w:val="left" w:pos="500"/>
        </w:tabs>
        <w:kinsoku/>
        <w:wordWrap/>
        <w:overflowPunct/>
        <w:topLinePunct w:val="0"/>
        <w:autoSpaceDE/>
        <w:autoSpaceDN/>
        <w:bidi w:val="0"/>
        <w:adjustRightInd/>
        <w:snapToGrid/>
        <w:spacing w:before="120" w:after="120" w:line="440" w:lineRule="exact"/>
        <w:textAlignment w:val="auto"/>
        <w:rPr>
          <w:rFonts w:hint="eastAsia" w:ascii="仿宋_GB2312" w:hAnsi="仿宋_GB2312" w:eastAsia="仿宋_GB2312" w:cs="仿宋_GB2312"/>
          <w:color w:val="000000" w:themeColor="text1"/>
          <w:sz w:val="32"/>
          <w:szCs w:val="32"/>
          <w:lang w:val="en-US" w:eastAsia="zh-CN"/>
        </w:rPr>
      </w:pPr>
      <w:r>
        <w:rPr>
          <w:rFonts w:hint="eastAsia" w:ascii="黑体" w:hAnsi="黑体" w:eastAsia="黑体"/>
          <w:color w:val="000000" w:themeColor="text1"/>
          <w:sz w:val="32"/>
          <w:szCs w:val="32"/>
        </w:rPr>
        <w:t>六</w:t>
      </w:r>
      <w:r>
        <w:rPr>
          <w:rFonts w:ascii="黑体" w:hAnsi="黑体" w:eastAsia="黑体"/>
          <w:color w:val="000000" w:themeColor="text1"/>
          <w:sz w:val="32"/>
          <w:szCs w:val="32"/>
        </w:rPr>
        <w:t>、存在问题及</w:t>
      </w:r>
      <w:r>
        <w:rPr>
          <w:rFonts w:hint="eastAsia" w:ascii="黑体" w:hAnsi="黑体" w:eastAsia="黑体"/>
          <w:color w:val="000000" w:themeColor="text1"/>
          <w:sz w:val="32"/>
          <w:szCs w:val="32"/>
        </w:rPr>
        <w:t>原因</w:t>
      </w:r>
      <w:r>
        <w:rPr>
          <w:rFonts w:ascii="黑体" w:hAnsi="黑体" w:eastAsia="黑体"/>
          <w:color w:val="000000" w:themeColor="text1"/>
          <w:sz w:val="32"/>
          <w:szCs w:val="32"/>
        </w:rPr>
        <w:t>分析</w:t>
      </w:r>
    </w:p>
    <w:p>
      <w:pPr>
        <w:keepNext w:val="0"/>
        <w:keepLines w:val="0"/>
        <w:pageBreakBefore w:val="0"/>
        <w:widowControl w:val="0"/>
        <w:tabs>
          <w:tab w:val="left" w:pos="500"/>
        </w:tabs>
        <w:kinsoku/>
        <w:wordWrap/>
        <w:overflowPunct/>
        <w:topLinePunct w:val="0"/>
        <w:autoSpaceDE/>
        <w:autoSpaceDN/>
        <w:bidi w:val="0"/>
        <w:adjustRightInd/>
        <w:snapToGrid/>
        <w:spacing w:before="120" w:after="120" w:line="440" w:lineRule="exact"/>
        <w:textAlignment w:val="auto"/>
        <w:rPr>
          <w:rFonts w:ascii="黑体" w:hAnsi="黑体" w:eastAsia="黑体"/>
          <w:color w:val="000000" w:themeColor="text1"/>
          <w:sz w:val="32"/>
          <w:szCs w:val="32"/>
        </w:rPr>
      </w:pPr>
      <w:r>
        <w:rPr>
          <w:rFonts w:hint="eastAsia" w:ascii="黑体" w:hAnsi="黑体" w:eastAsia="黑体"/>
          <w:color w:val="000000" w:themeColor="text1"/>
          <w:sz w:val="32"/>
          <w:szCs w:val="32"/>
        </w:rPr>
        <w:t>七</w:t>
      </w:r>
      <w:r>
        <w:rPr>
          <w:rFonts w:ascii="黑体" w:hAnsi="黑体" w:eastAsia="黑体"/>
          <w:color w:val="000000" w:themeColor="text1"/>
          <w:sz w:val="32"/>
          <w:szCs w:val="32"/>
        </w:rPr>
        <w:t>、</w:t>
      </w:r>
      <w:r>
        <w:rPr>
          <w:rFonts w:hint="eastAsia" w:ascii="黑体" w:hAnsi="黑体" w:eastAsia="黑体"/>
          <w:color w:val="000000" w:themeColor="text1"/>
          <w:sz w:val="32"/>
          <w:szCs w:val="32"/>
        </w:rPr>
        <w:t>有关</w:t>
      </w:r>
      <w:r>
        <w:rPr>
          <w:rFonts w:ascii="黑体" w:hAnsi="黑体" w:eastAsia="黑体"/>
          <w:color w:val="000000" w:themeColor="text1"/>
          <w:sz w:val="32"/>
          <w:szCs w:val="32"/>
        </w:rPr>
        <w:t>建议</w:t>
      </w:r>
    </w:p>
    <w:p>
      <w:pPr>
        <w:keepNext w:val="0"/>
        <w:keepLines w:val="0"/>
        <w:pageBreakBefore w:val="0"/>
        <w:widowControl w:val="0"/>
        <w:tabs>
          <w:tab w:val="left" w:pos="500"/>
        </w:tabs>
        <w:kinsoku/>
        <w:wordWrap/>
        <w:overflowPunct/>
        <w:topLinePunct w:val="0"/>
        <w:autoSpaceDE/>
        <w:autoSpaceDN/>
        <w:bidi w:val="0"/>
        <w:adjustRightInd/>
        <w:snapToGrid/>
        <w:spacing w:before="120" w:after="120" w:line="440" w:lineRule="exact"/>
        <w:textAlignment w:val="auto"/>
        <w:rPr>
          <w:rFonts w:ascii="黑体" w:hAnsi="黑体" w:eastAsia="黑体"/>
          <w:color w:val="000000" w:themeColor="text1"/>
          <w:sz w:val="32"/>
          <w:szCs w:val="32"/>
        </w:rPr>
      </w:pPr>
      <w:r>
        <w:rPr>
          <w:rFonts w:hint="eastAsia" w:ascii="黑体" w:hAnsi="黑体" w:eastAsia="黑体"/>
          <w:color w:val="000000" w:themeColor="text1"/>
          <w:sz w:val="32"/>
          <w:szCs w:val="32"/>
        </w:rPr>
        <w:t>八</w:t>
      </w:r>
      <w:r>
        <w:rPr>
          <w:rFonts w:ascii="黑体" w:hAnsi="黑体" w:eastAsia="黑体"/>
          <w:color w:val="000000" w:themeColor="text1"/>
          <w:sz w:val="32"/>
          <w:szCs w:val="32"/>
        </w:rPr>
        <w:t>、其他需要说明的问题</w:t>
      </w:r>
    </w:p>
    <w:p>
      <w:pPr>
        <w:tabs>
          <w:tab w:val="left" w:pos="500"/>
        </w:tabs>
        <w:spacing w:line="560" w:lineRule="exact"/>
        <w:ind w:firstLine="645"/>
        <w:rPr>
          <w:rFonts w:hint="eastAsia" w:ascii="仿宋" w:hAnsi="仿宋" w:eastAsia="仿宋" w:cs="仿宋"/>
          <w:color w:val="000000" w:themeColor="text1"/>
          <w:sz w:val="32"/>
          <w:szCs w:val="32"/>
          <w:lang w:eastAsia="zh-CN"/>
        </w:rPr>
      </w:pPr>
    </w:p>
    <w:p>
      <w:pPr>
        <w:numPr>
          <w:ilvl w:val="0"/>
          <w:numId w:val="0"/>
        </w:numPr>
        <w:tabs>
          <w:tab w:val="left" w:pos="500"/>
        </w:tabs>
        <w:spacing w:line="560" w:lineRule="exact"/>
        <w:rPr>
          <w:rFonts w:ascii="黑体" w:hAnsi="黑体" w:eastAsia="黑体"/>
          <w:color w:val="000000" w:themeColor="text1"/>
          <w:sz w:val="32"/>
          <w:szCs w:val="32"/>
        </w:rPr>
      </w:pPr>
    </w:p>
    <w:p>
      <w:pPr>
        <w:numPr>
          <w:ilvl w:val="0"/>
          <w:numId w:val="0"/>
        </w:numPr>
        <w:tabs>
          <w:tab w:val="left" w:pos="500"/>
        </w:tabs>
        <w:spacing w:line="560" w:lineRule="exact"/>
        <w:rPr>
          <w:rFonts w:ascii="黑体" w:hAnsi="黑体" w:eastAsia="黑体"/>
          <w:color w:val="000000" w:themeColor="text1"/>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textAlignment w:val="auto"/>
        <w:rPr>
          <w:rFonts w:hint="eastAsia" w:ascii="宋体" w:hAnsi="宋体" w:eastAsia="宋体" w:cs="宋体"/>
          <w:color w:val="000000" w:themeColor="text1"/>
          <w:sz w:val="24"/>
          <w:szCs w:val="24"/>
          <w:lang w:eastAsia="zh-CN"/>
        </w:rPr>
      </w:pPr>
    </w:p>
    <w:p>
      <w:pPr>
        <w:spacing w:line="560" w:lineRule="exact"/>
        <w:rPr>
          <w:rFonts w:hint="eastAsia" w:ascii="黑体" w:hAnsi="黑体" w:eastAsia="黑体"/>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before="240" w:after="240" w:line="560" w:lineRule="exact"/>
        <w:ind w:firstLine="320" w:firstLineChars="100"/>
        <w:textAlignment w:val="auto"/>
        <w:rPr>
          <w:rFonts w:hint="eastAsia" w:ascii="黑体" w:hAnsi="黑体" w:eastAsia="黑体"/>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before="240" w:after="240" w:line="560" w:lineRule="exact"/>
        <w:ind w:firstLine="320" w:firstLineChars="100"/>
        <w:textAlignment w:val="auto"/>
        <w:rPr>
          <w:rFonts w:ascii="黑体" w:hAnsi="黑体" w:eastAsia="黑体"/>
          <w:color w:val="000000" w:themeColor="text1"/>
          <w:sz w:val="32"/>
          <w:szCs w:val="32"/>
        </w:rPr>
      </w:pPr>
      <w:r>
        <w:rPr>
          <w:rFonts w:hint="eastAsia" w:ascii="黑体" w:hAnsi="黑体" w:eastAsia="黑体"/>
          <w:color w:val="000000" w:themeColor="text1"/>
          <w:sz w:val="32"/>
          <w:szCs w:val="32"/>
        </w:rPr>
        <w:t>一</w:t>
      </w:r>
      <w:r>
        <w:rPr>
          <w:rFonts w:ascii="黑体" w:hAnsi="黑体" w:eastAsia="黑体"/>
          <w:color w:val="000000" w:themeColor="text1"/>
          <w:sz w:val="32"/>
          <w:szCs w:val="32"/>
        </w:rPr>
        <w:t>、项目基本情况</w:t>
      </w:r>
    </w:p>
    <w:p>
      <w:pPr>
        <w:spacing w:line="560" w:lineRule="exact"/>
        <w:ind w:firstLine="645"/>
        <w:rPr>
          <w:rFonts w:hint="eastAsia" w:ascii="仿宋_GB2312" w:hAnsi="仿宋"/>
          <w:color w:val="000000" w:themeColor="text1"/>
          <w:sz w:val="32"/>
          <w:szCs w:val="32"/>
        </w:rPr>
      </w:pPr>
      <w:r>
        <w:rPr>
          <w:rFonts w:hint="eastAsia" w:ascii="仿宋_GB2312" w:hAnsi="仿宋"/>
          <w:color w:val="000000" w:themeColor="text1"/>
          <w:sz w:val="32"/>
          <w:szCs w:val="32"/>
        </w:rPr>
        <w:t>（一）项目概况。</w:t>
      </w:r>
    </w:p>
    <w:p>
      <w:pPr>
        <w:widowControl/>
        <w:shd w:val="clear" w:color="auto" w:fill="FFFFFF"/>
        <w:spacing w:line="600" w:lineRule="atLeast"/>
        <w:ind w:firstLine="628"/>
        <w:rPr>
          <w:rFonts w:hint="eastAsia" w:ascii="仿宋_GB2312" w:hAnsi="微软雅黑" w:eastAsia="仿宋_GB2312" w:cs="宋体"/>
          <w:color w:val="333333"/>
          <w:kern w:val="0"/>
          <w:sz w:val="32"/>
          <w:szCs w:val="32"/>
          <w:lang w:eastAsia="zh-CN"/>
        </w:rPr>
      </w:pPr>
      <w:r>
        <w:rPr>
          <w:rFonts w:hint="eastAsia" w:ascii="仿宋_GB2312" w:hAnsi="仿宋"/>
          <w:color w:val="000000" w:themeColor="text1"/>
          <w:sz w:val="32"/>
          <w:szCs w:val="32"/>
          <w:lang w:val="en-US" w:eastAsia="zh-CN"/>
        </w:rPr>
        <w:t>1、</w:t>
      </w:r>
      <w:r>
        <w:rPr>
          <w:rFonts w:hint="eastAsia" w:ascii="仿宋_GB2312" w:hAnsi="微软雅黑" w:eastAsia="仿宋_GB2312" w:cs="宋体"/>
          <w:color w:val="333333"/>
          <w:kern w:val="0"/>
          <w:sz w:val="32"/>
          <w:szCs w:val="32"/>
          <w:lang w:eastAsia="zh-CN"/>
        </w:rPr>
        <w:t>项目背景。为改善平阿山营林区生态环境，加强矿山地质环境保护与恢复治理工作，有效防止资源开发利用造成的地质环境破坏和诱发的地质灾害，实现资源的可持续利用与生态环境的协调发展。</w:t>
      </w:r>
    </w:p>
    <w:p>
      <w:pPr>
        <w:widowControl/>
        <w:shd w:val="clear" w:color="auto" w:fill="FFFFFF"/>
        <w:spacing w:line="600" w:lineRule="atLeast"/>
        <w:ind w:firstLine="628"/>
        <w:rPr>
          <w:rFonts w:hint="eastAsia" w:ascii="仿宋_GB2312" w:hAnsi="微软雅黑" w:eastAsia="仿宋_GB2312" w:cs="宋体"/>
          <w:color w:val="333333"/>
          <w:kern w:val="0"/>
          <w:sz w:val="32"/>
          <w:szCs w:val="32"/>
          <w:lang w:eastAsia="zh-CN"/>
        </w:rPr>
      </w:pPr>
      <w:r>
        <w:rPr>
          <w:rFonts w:hint="eastAsia" w:ascii="仿宋_GB2312" w:hAnsi="微软雅黑" w:eastAsia="仿宋_GB2312" w:cs="宋体"/>
          <w:color w:val="333333"/>
          <w:kern w:val="0"/>
          <w:sz w:val="32"/>
          <w:szCs w:val="32"/>
          <w:lang w:eastAsia="zh-CN"/>
        </w:rPr>
        <w:t>2、项目内容。采取24小时轮流值守方式，集中力量完成上级分配的生态管护、保护工作，确保国有资产不流失。</w:t>
      </w:r>
    </w:p>
    <w:p>
      <w:pPr>
        <w:widowControl/>
        <w:shd w:val="clear" w:color="auto" w:fill="FFFFFF"/>
        <w:spacing w:line="600" w:lineRule="atLeast"/>
        <w:ind w:firstLine="628"/>
        <w:rPr>
          <w:rFonts w:hint="eastAsia" w:ascii="仿宋_GB2312" w:hAnsi="微软雅黑" w:eastAsia="仿宋_GB2312" w:cs="宋体"/>
          <w:color w:val="333333"/>
          <w:kern w:val="0"/>
          <w:sz w:val="32"/>
          <w:szCs w:val="32"/>
          <w:lang w:eastAsia="zh-CN"/>
        </w:rPr>
      </w:pPr>
      <w:r>
        <w:rPr>
          <w:rFonts w:hint="eastAsia" w:ascii="仿宋_GB2312" w:hAnsi="微软雅黑" w:eastAsia="仿宋_GB2312" w:cs="宋体"/>
          <w:color w:val="333333"/>
          <w:kern w:val="0"/>
          <w:sz w:val="32"/>
          <w:szCs w:val="32"/>
          <w:lang w:eastAsia="zh-CN"/>
        </w:rPr>
        <w:t>3</w:t>
      </w:r>
      <w:r>
        <w:rPr>
          <w:rFonts w:hint="eastAsia" w:ascii="仿宋_GB2312" w:hAnsi="微软雅黑" w:cs="宋体"/>
          <w:color w:val="333333"/>
          <w:kern w:val="0"/>
          <w:sz w:val="32"/>
          <w:szCs w:val="32"/>
          <w:lang w:eastAsia="zh-CN"/>
        </w:rPr>
        <w:t>、</w:t>
      </w:r>
      <w:r>
        <w:rPr>
          <w:rFonts w:hint="eastAsia" w:ascii="仿宋_GB2312" w:hAnsi="微软雅黑" w:eastAsia="仿宋_GB2312" w:cs="宋体"/>
          <w:color w:val="333333"/>
          <w:kern w:val="0"/>
          <w:sz w:val="32"/>
          <w:szCs w:val="32"/>
          <w:lang w:eastAsia="zh-CN"/>
        </w:rPr>
        <w:t>项目实施情况。在各级领导的指导下，我场严格按照工作的安排和要求，加强巡护山场，较好地完成了各项工作。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
          <w:color w:val="000000" w:themeColor="text1"/>
          <w:sz w:val="32"/>
          <w:szCs w:val="32"/>
          <w:lang w:val="en-US" w:eastAsia="zh-CN"/>
        </w:rPr>
      </w:pPr>
      <w:r>
        <w:rPr>
          <w:rFonts w:hint="eastAsia" w:ascii="仿宋_GB2312" w:hAnsi="微软雅黑" w:eastAsia="仿宋_GB2312" w:cs="宋体"/>
          <w:color w:val="333333"/>
          <w:kern w:val="0"/>
          <w:sz w:val="32"/>
          <w:szCs w:val="32"/>
          <w:lang w:val="en-US" w:eastAsia="zh-CN"/>
        </w:rPr>
        <w:t>4、</w:t>
      </w:r>
      <w:r>
        <w:rPr>
          <w:rFonts w:hint="eastAsia" w:ascii="仿宋_GB2312" w:hAnsi="微软雅黑" w:eastAsia="仿宋_GB2312" w:cs="宋体"/>
          <w:color w:val="333333"/>
          <w:kern w:val="0"/>
          <w:sz w:val="32"/>
          <w:szCs w:val="32"/>
          <w:lang w:eastAsia="zh-CN"/>
        </w:rPr>
        <w:t>资金投入和使用情况。县级预算批复平阿山林场专项资金</w:t>
      </w:r>
      <w:r>
        <w:rPr>
          <w:rFonts w:hint="eastAsia" w:ascii="仿宋_GB2312" w:hAnsi="微软雅黑" w:cs="宋体"/>
          <w:color w:val="333333"/>
          <w:kern w:val="0"/>
          <w:sz w:val="32"/>
          <w:szCs w:val="32"/>
          <w:lang w:val="en-US" w:eastAsia="zh-CN"/>
        </w:rPr>
        <w:t>3</w:t>
      </w:r>
      <w:r>
        <w:rPr>
          <w:rFonts w:hint="eastAsia" w:ascii="仿宋_GB2312" w:hAnsi="微软雅黑" w:eastAsia="仿宋_GB2312" w:cs="宋体"/>
          <w:color w:val="333333"/>
          <w:kern w:val="0"/>
          <w:sz w:val="32"/>
          <w:szCs w:val="32"/>
          <w:lang w:val="en-US" w:eastAsia="zh-CN"/>
        </w:rPr>
        <w:t>万元。资金到位后，在使用上有完整的手续并严格执行财务会计制度，符合国家财经和财务管理制度以及项目资金管理等规定，专款专用。202</w:t>
      </w:r>
      <w:r>
        <w:rPr>
          <w:rFonts w:hint="eastAsia" w:ascii="仿宋_GB2312" w:hAnsi="微软雅黑" w:cs="宋体"/>
          <w:color w:val="333333"/>
          <w:kern w:val="0"/>
          <w:sz w:val="32"/>
          <w:szCs w:val="32"/>
          <w:lang w:val="en-US" w:eastAsia="zh-CN"/>
        </w:rPr>
        <w:t>2</w:t>
      </w:r>
      <w:r>
        <w:rPr>
          <w:rFonts w:hint="eastAsia" w:ascii="仿宋_GB2312" w:hAnsi="微软雅黑" w:eastAsia="仿宋_GB2312" w:cs="宋体"/>
          <w:color w:val="333333"/>
          <w:kern w:val="0"/>
          <w:sz w:val="32"/>
          <w:szCs w:val="32"/>
          <w:lang w:val="en-US" w:eastAsia="zh-CN"/>
        </w:rPr>
        <w:t>年</w:t>
      </w:r>
      <w:r>
        <w:rPr>
          <w:rFonts w:hint="eastAsia" w:ascii="仿宋_GB2312" w:hAnsi="微软雅黑" w:cs="宋体"/>
          <w:color w:val="333333"/>
          <w:kern w:val="0"/>
          <w:sz w:val="32"/>
          <w:szCs w:val="32"/>
          <w:lang w:val="en-US" w:eastAsia="zh-CN"/>
        </w:rPr>
        <w:t>12</w:t>
      </w:r>
      <w:r>
        <w:rPr>
          <w:rFonts w:hint="eastAsia" w:ascii="仿宋_GB2312" w:hAnsi="微软雅黑" w:eastAsia="仿宋_GB2312" w:cs="宋体"/>
          <w:color w:val="333333"/>
          <w:kern w:val="0"/>
          <w:sz w:val="32"/>
          <w:szCs w:val="32"/>
          <w:lang w:val="en-US" w:eastAsia="zh-CN"/>
        </w:rPr>
        <w:t>月</w:t>
      </w:r>
      <w:r>
        <w:rPr>
          <w:rFonts w:hint="eastAsia" w:ascii="仿宋_GB2312" w:hAnsi="微软雅黑" w:cs="宋体"/>
          <w:color w:val="333333"/>
          <w:kern w:val="0"/>
          <w:sz w:val="32"/>
          <w:szCs w:val="32"/>
          <w:lang w:val="en-US" w:eastAsia="zh-CN"/>
        </w:rPr>
        <w:t>已全部兑现</w:t>
      </w:r>
      <w:r>
        <w:rPr>
          <w:rFonts w:hint="eastAsia" w:ascii="仿宋_GB2312" w:hAnsi="微软雅黑" w:eastAsia="仿宋_GB2312" w:cs="宋体"/>
          <w:color w:val="333333"/>
          <w:kern w:val="0"/>
          <w:sz w:val="32"/>
          <w:szCs w:val="32"/>
          <w:lang w:val="en-US" w:eastAsia="zh-CN"/>
        </w:rPr>
        <w:t>。</w:t>
      </w:r>
    </w:p>
    <w:p>
      <w:pPr>
        <w:keepNext w:val="0"/>
        <w:keepLines w:val="0"/>
        <w:pageBreakBefore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color w:val="000000" w:themeColor="text1"/>
          <w:sz w:val="32"/>
          <w:szCs w:val="32"/>
        </w:rPr>
      </w:pPr>
      <w:r>
        <w:rPr>
          <w:rFonts w:hint="eastAsia" w:ascii="仿宋_GB2312" w:hAnsi="仿宋"/>
          <w:color w:val="000000" w:themeColor="text1"/>
          <w:sz w:val="32"/>
          <w:szCs w:val="32"/>
        </w:rPr>
        <w:t>（二）项目绩效目标。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1、年度总体目标：</w:t>
      </w:r>
      <w:r>
        <w:rPr>
          <w:rFonts w:hint="eastAsia" w:ascii="仿宋_GB2312" w:hAnsi="微软雅黑" w:eastAsia="仿宋_GB2312" w:cs="宋体"/>
          <w:color w:val="333333"/>
          <w:kern w:val="0"/>
          <w:sz w:val="32"/>
          <w:szCs w:val="32"/>
          <w:lang w:eastAsia="zh-CN"/>
        </w:rPr>
        <w:t>采取24小时轮流值守方式，集中力量完成上级分配的生态管护、保护工作，确保国有资产不流失。</w:t>
      </w:r>
    </w:p>
    <w:p>
      <w:pPr>
        <w:widowControl/>
        <w:shd w:val="clear" w:color="auto" w:fill="FFFFFF"/>
        <w:spacing w:line="600" w:lineRule="atLeast"/>
        <w:ind w:firstLine="628"/>
        <w:rPr>
          <w:rFonts w:hint="default"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2、阶段性目标：</w:t>
      </w:r>
      <w:r>
        <w:rPr>
          <w:rFonts w:hint="eastAsia" w:ascii="仿宋_GB2312" w:hAnsi="微软雅黑" w:eastAsia="仿宋_GB2312" w:cs="宋体"/>
          <w:color w:val="333333"/>
          <w:kern w:val="0"/>
          <w:sz w:val="32"/>
          <w:szCs w:val="32"/>
          <w:lang w:eastAsia="zh-CN"/>
        </w:rPr>
        <w:t>采取24小时轮流值守方式，集中力量完成上级分配的生态管护、保护工作，确保国有资产不流失。</w:t>
      </w:r>
    </w:p>
    <w:p>
      <w:pPr>
        <w:tabs>
          <w:tab w:val="left" w:pos="500"/>
        </w:tabs>
        <w:spacing w:line="560" w:lineRule="exact"/>
        <w:ind w:firstLine="645"/>
        <w:rPr>
          <w:rFonts w:ascii="黑体" w:hAnsi="黑体" w:eastAsia="黑体"/>
          <w:color w:val="000000" w:themeColor="text1"/>
          <w:sz w:val="32"/>
          <w:szCs w:val="32"/>
        </w:rPr>
      </w:pPr>
      <w:r>
        <w:rPr>
          <w:rFonts w:hint="eastAsia" w:ascii="黑体" w:hAnsi="黑体" w:eastAsia="黑体"/>
          <w:color w:val="000000" w:themeColor="text1"/>
          <w:sz w:val="32"/>
          <w:szCs w:val="32"/>
        </w:rPr>
        <w:t>二</w:t>
      </w:r>
      <w:r>
        <w:rPr>
          <w:rFonts w:ascii="黑体" w:hAnsi="黑体" w:eastAsia="黑体"/>
          <w:color w:val="000000" w:themeColor="text1"/>
          <w:sz w:val="32"/>
          <w:szCs w:val="32"/>
        </w:rPr>
        <w:t>、绩效评价工作开展情况</w:t>
      </w:r>
    </w:p>
    <w:p>
      <w:pPr>
        <w:keepNext w:val="0"/>
        <w:keepLines w:val="0"/>
        <w:pageBreakBefore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color w:val="000000" w:themeColor="text1"/>
          <w:sz w:val="32"/>
          <w:szCs w:val="32"/>
        </w:rPr>
      </w:pPr>
      <w:r>
        <w:rPr>
          <w:rFonts w:hint="eastAsia" w:ascii="仿宋_GB2312" w:hAnsi="仿宋"/>
          <w:color w:val="000000" w:themeColor="text1"/>
          <w:sz w:val="32"/>
          <w:szCs w:val="32"/>
        </w:rPr>
        <w:t>（一）绩效评价目的、对象和范围。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333333"/>
          <w:kern w:val="0"/>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eastAsia" w:ascii="仿宋_GB2312" w:hAnsi="微软雅黑" w:eastAsia="仿宋_GB2312" w:cs="宋体"/>
          <w:color w:val="333333"/>
          <w:kern w:val="0"/>
          <w:sz w:val="32"/>
          <w:szCs w:val="32"/>
          <w:lang w:val="en-US" w:eastAsia="zh-CN"/>
        </w:rPr>
        <w:t>目的。确保项目保质保量完成，满足项目进展情况的需求，尽早发现项目实施的问题，以便提前采取措施。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2、对象。非煤矿山面积5018亩。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3、范围。从项目立项依据、目标、组织实施、预算需求、执行效果等方面入手，以“预算管理为主线”对项目实施情况和效果进行全面分析评价，涉及金额</w:t>
      </w:r>
      <w:r>
        <w:rPr>
          <w:rFonts w:hint="eastAsia" w:ascii="仿宋_GB2312" w:hAnsi="微软雅黑" w:cs="宋体"/>
          <w:color w:val="333333"/>
          <w:kern w:val="0"/>
          <w:sz w:val="32"/>
          <w:szCs w:val="32"/>
          <w:lang w:val="en-US" w:eastAsia="zh-CN"/>
        </w:rPr>
        <w:t>3</w:t>
      </w:r>
      <w:r>
        <w:rPr>
          <w:rFonts w:hint="eastAsia" w:ascii="仿宋_GB2312" w:hAnsi="微软雅黑" w:eastAsia="仿宋_GB2312" w:cs="宋体"/>
          <w:color w:val="333333"/>
          <w:kern w:val="0"/>
          <w:sz w:val="32"/>
          <w:szCs w:val="32"/>
          <w:lang w:val="en-US" w:eastAsia="zh-CN"/>
        </w:rPr>
        <w:t>万元。通过绩效评价，全面了解项目管理、完成情况，分析评价财政资金的执行情况和实施效果，总结经验及存在的问题，为政资金的安排提供决策依据。</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color w:val="000000" w:themeColor="text1"/>
          <w:sz w:val="32"/>
          <w:szCs w:val="32"/>
        </w:rPr>
      </w:pPr>
      <w:r>
        <w:rPr>
          <w:rFonts w:hint="eastAsia" w:ascii="仿宋_GB2312" w:hAnsi="仿宋"/>
          <w:color w:val="000000" w:themeColor="text1"/>
          <w:sz w:val="32"/>
          <w:szCs w:val="32"/>
        </w:rPr>
        <w:t>（二）绩效评价原则、评价指标体系（附表说明）、评价方法、评价标准等。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333333"/>
          <w:kern w:val="0"/>
          <w:sz w:val="32"/>
          <w:szCs w:val="32"/>
          <w:lang w:val="en-US" w:eastAsia="zh-CN"/>
        </w:rPr>
      </w:pPr>
      <w:r>
        <w:rPr>
          <w:rFonts w:hint="eastAsia" w:ascii="仿宋_GB2312" w:hAnsi="仿宋"/>
          <w:color w:val="000000" w:themeColor="text1"/>
          <w:sz w:val="32"/>
          <w:szCs w:val="32"/>
          <w:lang w:val="en-US" w:eastAsia="zh-CN"/>
        </w:rPr>
        <w:t>1、</w:t>
      </w:r>
      <w:r>
        <w:rPr>
          <w:rFonts w:hint="eastAsia" w:ascii="仿宋_GB2312" w:hAnsi="微软雅黑" w:eastAsia="仿宋_GB2312" w:cs="宋体"/>
          <w:color w:val="333333"/>
          <w:kern w:val="0"/>
          <w:sz w:val="32"/>
          <w:szCs w:val="32"/>
          <w:lang w:val="en-US" w:eastAsia="zh-CN"/>
        </w:rPr>
        <w:t>绩效评价原则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根据预算法的相关规定，在预算编制时我单位建立事前绩效目标编制工作，构建事中绩效跟踪和绩效评价机制。为确保绩效目标如期实现、我单位根据确定的部门整体支出绩效目标和项目支出绩效目标，对绩效目标完成的情况进行跟踪和绩效自评。绩效评价遵循科学规范、全面系统、客观公正和绩效相关的工作原则，对绩效评价指标体系进行综合评分，从定量和定性两方面对项目实施绩效进行评价。</w:t>
      </w:r>
    </w:p>
    <w:p>
      <w:pPr>
        <w:widowControl/>
        <w:shd w:val="clear" w:color="auto" w:fill="FFFFFF"/>
        <w:spacing w:line="600" w:lineRule="atLeast"/>
        <w:ind w:firstLine="628"/>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2、绩效评价体系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评价指标体系主要包括决策、过程、产出、效果四个方面，满分为100分。一是决策(20分)。主要评价立项依据充分性、立项程序规范性、绩效目标的明确性、绩效指标的合理性、实施内容的明确性、实施方案的可行性、预算编制合理性等。二是管理过程(25分)。主要评价组织管理健全性、管理制度健全性、制度执行有效性、项目监督执行有效性、资金管理制度的健全性和资金使用规范性等。三是产出(30分)。主要评价年度目标完成情况、总体规划完成情况、质量达标率和完成及时率等情况。四是效果(25分)。主要评价该项目是否可以有效减少环境的污染，预防多种传染性疾病。</w:t>
      </w:r>
    </w:p>
    <w:tbl>
      <w:tblPr>
        <w:tblStyle w:val="5"/>
        <w:tblW w:w="9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962"/>
        <w:gridCol w:w="1399"/>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0" w:type="dxa"/>
            <w:noWrap w:val="0"/>
            <w:vAlign w:val="center"/>
          </w:tcPr>
          <w:p>
            <w:pPr>
              <w:spacing w:line="52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项目</w:t>
            </w:r>
          </w:p>
        </w:tc>
        <w:tc>
          <w:tcPr>
            <w:tcW w:w="1420" w:type="dxa"/>
            <w:noWrap w:val="0"/>
            <w:vAlign w:val="center"/>
          </w:tcPr>
          <w:p>
            <w:pPr>
              <w:spacing w:line="520" w:lineRule="exact"/>
              <w:jc w:val="center"/>
              <w:rPr>
                <w:rFonts w:ascii="仿宋_GB2312" w:hAnsi="Calibri" w:eastAsia="仿宋_GB2312" w:cs="Times New Roman"/>
                <w:sz w:val="28"/>
                <w:szCs w:val="28"/>
              </w:rPr>
            </w:pPr>
            <w:r>
              <w:rPr>
                <w:rFonts w:hint="eastAsia" w:ascii="仿宋_GB2312" w:eastAsia="仿宋_GB2312"/>
                <w:sz w:val="28"/>
                <w:szCs w:val="28"/>
              </w:rPr>
              <w:t>决策情况</w:t>
            </w:r>
          </w:p>
        </w:tc>
        <w:tc>
          <w:tcPr>
            <w:tcW w:w="1420" w:type="dxa"/>
            <w:noWrap w:val="0"/>
            <w:vAlign w:val="center"/>
          </w:tcPr>
          <w:p>
            <w:pPr>
              <w:spacing w:line="520" w:lineRule="exact"/>
              <w:jc w:val="center"/>
              <w:rPr>
                <w:rFonts w:ascii="仿宋_GB2312" w:hAnsi="Calibri" w:eastAsia="仿宋_GB2312" w:cs="Times New Roman"/>
                <w:sz w:val="28"/>
                <w:szCs w:val="28"/>
              </w:rPr>
            </w:pPr>
            <w:r>
              <w:rPr>
                <w:rFonts w:hint="eastAsia" w:ascii="仿宋_GB2312" w:eastAsia="仿宋_GB2312"/>
                <w:sz w:val="28"/>
                <w:szCs w:val="28"/>
              </w:rPr>
              <w:t>过程情况</w:t>
            </w:r>
          </w:p>
        </w:tc>
        <w:tc>
          <w:tcPr>
            <w:tcW w:w="1962" w:type="dxa"/>
            <w:noWrap w:val="0"/>
            <w:vAlign w:val="center"/>
          </w:tcPr>
          <w:p>
            <w:pPr>
              <w:spacing w:line="520" w:lineRule="exact"/>
              <w:jc w:val="center"/>
              <w:rPr>
                <w:rFonts w:ascii="仿宋_GB2312" w:hAnsi="Calibri" w:eastAsia="仿宋_GB2312" w:cs="Times New Roman"/>
                <w:sz w:val="28"/>
                <w:szCs w:val="28"/>
              </w:rPr>
            </w:pPr>
            <w:r>
              <w:rPr>
                <w:rFonts w:hint="eastAsia" w:ascii="仿宋_GB2312" w:eastAsia="仿宋_GB2312"/>
                <w:sz w:val="28"/>
                <w:szCs w:val="28"/>
              </w:rPr>
              <w:t>产出情况</w:t>
            </w:r>
          </w:p>
        </w:tc>
        <w:tc>
          <w:tcPr>
            <w:tcW w:w="1399" w:type="dxa"/>
            <w:noWrap w:val="0"/>
            <w:vAlign w:val="center"/>
          </w:tcPr>
          <w:p>
            <w:pPr>
              <w:spacing w:line="520" w:lineRule="exact"/>
              <w:jc w:val="center"/>
              <w:rPr>
                <w:rFonts w:ascii="仿宋_GB2312" w:hAnsi="Calibri" w:eastAsia="仿宋_GB2312" w:cs="Times New Roman"/>
                <w:sz w:val="28"/>
                <w:szCs w:val="28"/>
              </w:rPr>
            </w:pPr>
            <w:r>
              <w:rPr>
                <w:rFonts w:hint="eastAsia" w:ascii="仿宋_GB2312" w:eastAsia="仿宋_GB2312"/>
                <w:sz w:val="28"/>
                <w:szCs w:val="28"/>
              </w:rPr>
              <w:t>效</w:t>
            </w:r>
            <w:r>
              <w:rPr>
                <w:rFonts w:hint="eastAsia" w:ascii="仿宋_GB2312" w:hAnsi="Calibri" w:eastAsia="仿宋_GB2312" w:cs="Times New Roman"/>
                <w:sz w:val="28"/>
                <w:szCs w:val="28"/>
              </w:rPr>
              <w:t>益</w:t>
            </w:r>
            <w:r>
              <w:rPr>
                <w:rFonts w:hint="eastAsia" w:ascii="仿宋_GB2312" w:eastAsia="仿宋_GB2312"/>
                <w:sz w:val="28"/>
                <w:szCs w:val="28"/>
              </w:rPr>
              <w:t>情况</w:t>
            </w:r>
          </w:p>
        </w:tc>
        <w:tc>
          <w:tcPr>
            <w:tcW w:w="1421" w:type="dxa"/>
            <w:noWrap w:val="0"/>
            <w:vAlign w:val="center"/>
          </w:tcPr>
          <w:p>
            <w:pPr>
              <w:spacing w:line="52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得分合计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0" w:type="dxa"/>
            <w:noWrap w:val="0"/>
            <w:vAlign w:val="center"/>
          </w:tcPr>
          <w:p>
            <w:pPr>
              <w:spacing w:line="52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标准分值</w:t>
            </w:r>
          </w:p>
        </w:tc>
        <w:tc>
          <w:tcPr>
            <w:tcW w:w="1420"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sz w:val="28"/>
                <w:szCs w:val="28"/>
                <w:lang w:val="en-US" w:eastAsia="zh-CN"/>
              </w:rPr>
              <w:t>20</w:t>
            </w:r>
          </w:p>
        </w:tc>
        <w:tc>
          <w:tcPr>
            <w:tcW w:w="1420" w:type="dxa"/>
            <w:noWrap w:val="0"/>
            <w:vAlign w:val="center"/>
          </w:tcPr>
          <w:p>
            <w:pPr>
              <w:spacing w:line="52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25</w:t>
            </w:r>
          </w:p>
        </w:tc>
        <w:tc>
          <w:tcPr>
            <w:tcW w:w="1962"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30</w:t>
            </w:r>
          </w:p>
        </w:tc>
        <w:tc>
          <w:tcPr>
            <w:tcW w:w="1399"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25</w:t>
            </w:r>
          </w:p>
        </w:tc>
        <w:tc>
          <w:tcPr>
            <w:tcW w:w="1421" w:type="dxa"/>
            <w:noWrap w:val="0"/>
            <w:vAlign w:val="center"/>
          </w:tcPr>
          <w:p>
            <w:pPr>
              <w:spacing w:line="52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0" w:type="dxa"/>
            <w:noWrap w:val="0"/>
            <w:vAlign w:val="center"/>
          </w:tcPr>
          <w:p>
            <w:pPr>
              <w:spacing w:line="52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评价得分</w:t>
            </w:r>
          </w:p>
        </w:tc>
        <w:tc>
          <w:tcPr>
            <w:tcW w:w="1420"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sz w:val="28"/>
                <w:szCs w:val="28"/>
                <w:lang w:val="en-US" w:eastAsia="zh-CN"/>
              </w:rPr>
              <w:t>20</w:t>
            </w:r>
          </w:p>
        </w:tc>
        <w:tc>
          <w:tcPr>
            <w:tcW w:w="1420"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sz w:val="28"/>
                <w:szCs w:val="28"/>
                <w:lang w:val="en-US" w:eastAsia="zh-CN"/>
              </w:rPr>
              <w:t>25</w:t>
            </w:r>
          </w:p>
        </w:tc>
        <w:tc>
          <w:tcPr>
            <w:tcW w:w="1962"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sz w:val="28"/>
                <w:szCs w:val="28"/>
                <w:lang w:val="en-US" w:eastAsia="zh-CN"/>
              </w:rPr>
              <w:t>30</w:t>
            </w:r>
          </w:p>
        </w:tc>
        <w:tc>
          <w:tcPr>
            <w:tcW w:w="1399"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sz w:val="28"/>
                <w:szCs w:val="28"/>
                <w:lang w:val="en-US" w:eastAsia="zh-CN"/>
              </w:rPr>
              <w:t>25</w:t>
            </w:r>
          </w:p>
        </w:tc>
        <w:tc>
          <w:tcPr>
            <w:tcW w:w="1421"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sz w:val="28"/>
                <w:szCs w:val="28"/>
                <w:lang w:val="en-US" w:eastAsia="zh-CN"/>
              </w:rPr>
              <w:t>100</w:t>
            </w:r>
          </w:p>
        </w:tc>
      </w:tr>
    </w:tbl>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textAlignment w:val="auto"/>
        <w:rPr>
          <w:rFonts w:hint="default" w:ascii="仿宋_GB2312" w:hAnsi="仿宋"/>
          <w:color w:val="000000" w:themeColor="text1"/>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3、评价方法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本着科学、规范、独立、客观、公正的原则，工作小组采用公众评判法和比较法对“新建公厕”项目进行绩效评价，对投入、过程、产出和效果四个方面进行评价。工作小组根据现场审核情况，汇总计算出各项指标的平均得分，汇总后得出项目综合评价得分，同时形成综合评价结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333333"/>
          <w:kern w:val="0"/>
          <w:sz w:val="32"/>
          <w:szCs w:val="32"/>
          <w:lang w:val="en-US" w:eastAsia="zh-CN"/>
        </w:rPr>
      </w:pPr>
      <w:r>
        <w:rPr>
          <w:rFonts w:hint="eastAsia" w:ascii="仿宋_GB2312" w:hAnsi="微软雅黑" w:cs="宋体"/>
          <w:color w:val="333333"/>
          <w:kern w:val="0"/>
          <w:sz w:val="32"/>
          <w:szCs w:val="32"/>
          <w:lang w:val="en-US" w:eastAsia="zh-CN"/>
        </w:rPr>
        <w:t>4、</w:t>
      </w:r>
      <w:r>
        <w:rPr>
          <w:rFonts w:hint="eastAsia" w:ascii="仿宋_GB2312" w:hAnsi="微软雅黑" w:eastAsia="仿宋_GB2312" w:cs="宋体"/>
          <w:color w:val="333333"/>
          <w:kern w:val="0"/>
          <w:sz w:val="32"/>
          <w:szCs w:val="32"/>
          <w:lang w:val="en-US" w:eastAsia="zh-CN"/>
        </w:rPr>
        <w:t>评价标准</w:t>
      </w:r>
    </w:p>
    <w:tbl>
      <w:tblPr>
        <w:tblStyle w:val="5"/>
        <w:tblpPr w:leftFromText="180" w:rightFromText="180" w:vertAnchor="text" w:horzAnchor="page" w:tblpX="305" w:tblpY="677"/>
        <w:tblOverlap w:val="never"/>
        <w:tblW w:w="1142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25"/>
        <w:gridCol w:w="772"/>
        <w:gridCol w:w="1350"/>
        <w:gridCol w:w="3128"/>
        <w:gridCol w:w="55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92" w:hRule="atLeast"/>
          <w:tblHeader/>
        </w:trPr>
        <w:tc>
          <w:tcPr>
            <w:tcW w:w="6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b/>
                <w:bCs/>
                <w:color w:val="000000" w:themeColor="text1"/>
                <w:kern w:val="0"/>
                <w:sz w:val="22"/>
                <w:szCs w:val="22"/>
              </w:rPr>
            </w:pPr>
            <w:r>
              <w:rPr>
                <w:rFonts w:hint="eastAsia" w:ascii="宋体" w:hAnsi="宋体" w:eastAsia="宋体" w:cs="宋体"/>
                <w:b/>
                <w:bCs/>
                <w:color w:val="000000" w:themeColor="text1"/>
                <w:kern w:val="0"/>
                <w:sz w:val="22"/>
                <w:szCs w:val="22"/>
              </w:rPr>
              <w:t>一级指标</w:t>
            </w:r>
          </w:p>
        </w:tc>
        <w:tc>
          <w:tcPr>
            <w:tcW w:w="7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b/>
                <w:bCs/>
                <w:color w:val="000000" w:themeColor="text1"/>
                <w:kern w:val="0"/>
                <w:sz w:val="22"/>
                <w:szCs w:val="22"/>
              </w:rPr>
            </w:pPr>
            <w:r>
              <w:rPr>
                <w:rFonts w:hint="eastAsia" w:ascii="宋体" w:hAnsi="宋体" w:eastAsia="宋体" w:cs="宋体"/>
                <w:b/>
                <w:bCs/>
                <w:color w:val="000000" w:themeColor="text1"/>
                <w:kern w:val="0"/>
                <w:sz w:val="22"/>
                <w:szCs w:val="22"/>
              </w:rPr>
              <w:t>二级指标</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b/>
                <w:bCs/>
                <w:color w:val="000000" w:themeColor="text1"/>
                <w:kern w:val="0"/>
                <w:sz w:val="22"/>
                <w:szCs w:val="22"/>
              </w:rPr>
            </w:pPr>
            <w:r>
              <w:rPr>
                <w:rFonts w:hint="eastAsia" w:ascii="宋体" w:hAnsi="宋体" w:eastAsia="宋体" w:cs="宋体"/>
                <w:b/>
                <w:bCs/>
                <w:color w:val="000000" w:themeColor="text1"/>
                <w:kern w:val="0"/>
                <w:sz w:val="22"/>
                <w:szCs w:val="22"/>
              </w:rPr>
              <w:t>三级指标</w:t>
            </w:r>
          </w:p>
        </w:tc>
        <w:tc>
          <w:tcPr>
            <w:tcW w:w="31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b/>
                <w:bCs/>
                <w:color w:val="000000" w:themeColor="text1"/>
                <w:kern w:val="0"/>
                <w:sz w:val="22"/>
                <w:szCs w:val="22"/>
              </w:rPr>
            </w:pPr>
            <w:r>
              <w:rPr>
                <w:rFonts w:hint="eastAsia" w:ascii="宋体" w:hAnsi="宋体" w:eastAsia="宋体" w:cs="宋体"/>
                <w:b/>
                <w:bCs/>
                <w:color w:val="000000" w:themeColor="text1"/>
                <w:kern w:val="0"/>
                <w:sz w:val="22"/>
                <w:szCs w:val="22"/>
              </w:rPr>
              <w:t>指标解释</w:t>
            </w:r>
          </w:p>
        </w:tc>
        <w:tc>
          <w:tcPr>
            <w:tcW w:w="5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ind w:right="237" w:rightChars="79"/>
              <w:jc w:val="center"/>
              <w:rPr>
                <w:rFonts w:ascii="宋体" w:hAnsi="宋体" w:eastAsia="宋体" w:cs="宋体"/>
                <w:b/>
                <w:bCs/>
                <w:color w:val="000000" w:themeColor="text1"/>
                <w:kern w:val="0"/>
                <w:sz w:val="22"/>
                <w:szCs w:val="22"/>
              </w:rPr>
            </w:pPr>
            <w:r>
              <w:rPr>
                <w:rFonts w:hint="eastAsia" w:ascii="宋体" w:hAnsi="宋体" w:eastAsia="宋体" w:cs="宋体"/>
                <w:b/>
                <w:bCs/>
                <w:color w:val="000000" w:themeColor="text1"/>
                <w:kern w:val="0"/>
                <w:sz w:val="22"/>
                <w:szCs w:val="22"/>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trPr>
        <w:tc>
          <w:tcPr>
            <w:tcW w:w="6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决策　</w:t>
            </w:r>
          </w:p>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　</w:t>
            </w:r>
          </w:p>
          <w:p>
            <w:pPr>
              <w:spacing w:line="0" w:lineRule="atLeast"/>
              <w:ind w:right="-255" w:rightChars="-85"/>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　</w:t>
            </w:r>
          </w:p>
        </w:tc>
        <w:tc>
          <w:tcPr>
            <w:tcW w:w="77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项目立项　</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立项依据</w:t>
            </w:r>
          </w:p>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充分性</w:t>
            </w:r>
          </w:p>
        </w:tc>
        <w:tc>
          <w:tcPr>
            <w:tcW w:w="31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项目立项（主体</w:t>
            </w:r>
            <w:r>
              <w:rPr>
                <w:rFonts w:ascii="宋体" w:hAnsi="宋体" w:eastAsia="宋体" w:cs="宋体"/>
                <w:color w:val="000000" w:themeColor="text1"/>
                <w:kern w:val="0"/>
                <w:sz w:val="22"/>
                <w:szCs w:val="22"/>
              </w:rPr>
              <w:t>是</w:t>
            </w:r>
            <w:r>
              <w:rPr>
                <w:rFonts w:hint="eastAsia" w:ascii="宋体" w:hAnsi="宋体" w:eastAsia="宋体" w:cs="宋体"/>
                <w:color w:val="000000" w:themeColor="text1"/>
                <w:kern w:val="0"/>
                <w:sz w:val="22"/>
                <w:szCs w:val="22"/>
              </w:rPr>
              <w:t>指</w:t>
            </w:r>
            <w:r>
              <w:rPr>
                <w:rFonts w:ascii="宋体" w:hAnsi="宋体" w:eastAsia="宋体" w:cs="宋体"/>
                <w:color w:val="000000" w:themeColor="text1"/>
                <w:kern w:val="0"/>
                <w:sz w:val="22"/>
                <w:szCs w:val="22"/>
              </w:rPr>
              <w:t>项目主管部门</w:t>
            </w:r>
            <w:r>
              <w:rPr>
                <w:rFonts w:hint="eastAsia" w:ascii="宋体" w:hAnsi="宋体" w:eastAsia="宋体" w:cs="宋体"/>
                <w:color w:val="000000" w:themeColor="text1"/>
                <w:kern w:val="0"/>
                <w:sz w:val="22"/>
                <w:szCs w:val="22"/>
              </w:rPr>
              <w:t>，</w:t>
            </w:r>
            <w:r>
              <w:rPr>
                <w:rFonts w:ascii="宋体" w:hAnsi="宋体" w:eastAsia="宋体" w:cs="宋体"/>
                <w:color w:val="000000" w:themeColor="text1"/>
                <w:kern w:val="0"/>
                <w:sz w:val="22"/>
                <w:szCs w:val="22"/>
              </w:rPr>
              <w:t>下同</w:t>
            </w:r>
            <w:r>
              <w:rPr>
                <w:rFonts w:hint="eastAsia" w:ascii="宋体" w:hAnsi="宋体" w:eastAsia="宋体" w:cs="宋体"/>
                <w:color w:val="000000" w:themeColor="text1"/>
                <w:kern w:val="0"/>
                <w:sz w:val="22"/>
                <w:szCs w:val="22"/>
              </w:rPr>
              <w:t>）是否符合法律法规、相关政策、发展规划以及部门职责，用以反映和考核项目立项依据情况。</w:t>
            </w:r>
          </w:p>
        </w:tc>
        <w:tc>
          <w:tcPr>
            <w:tcW w:w="5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lef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评价要点：</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①项目立项是否符合国家法律法规、国民经济发展规划和相关政策；</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②项目立项是否符合行业发展规划和政策要求；</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③项目立项是否与部门职责范围相符，属于部门履职所需；</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④项目是否属于公共财政支持范围，是否符合市</w:t>
            </w:r>
            <w:r>
              <w:rPr>
                <w:rFonts w:ascii="宋体" w:hAnsi="宋体" w:eastAsia="宋体" w:cs="宋体"/>
                <w:color w:val="000000" w:themeColor="text1"/>
                <w:kern w:val="0"/>
                <w:sz w:val="22"/>
                <w:szCs w:val="22"/>
              </w:rPr>
              <w:t>与</w:t>
            </w:r>
            <w:r>
              <w:rPr>
                <w:rFonts w:hint="eastAsia" w:ascii="宋体" w:hAnsi="宋体" w:eastAsia="宋体" w:cs="宋体"/>
                <w:color w:val="000000" w:themeColor="text1"/>
                <w:kern w:val="0"/>
                <w:sz w:val="22"/>
                <w:szCs w:val="22"/>
              </w:rPr>
              <w:t>县区财政事权与支出责任相适应原则；</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trPr>
        <w:tc>
          <w:tcPr>
            <w:tcW w:w="6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rPr>
            </w:pPr>
          </w:p>
        </w:tc>
        <w:tc>
          <w:tcPr>
            <w:tcW w:w="77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rPr>
            </w:pP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立项程序</w:t>
            </w:r>
          </w:p>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规范性</w:t>
            </w:r>
          </w:p>
        </w:tc>
        <w:tc>
          <w:tcPr>
            <w:tcW w:w="31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项目申请、设立过程是否符合相关要求，用以反映和考核项目立项的规范情况。</w:t>
            </w:r>
          </w:p>
        </w:tc>
        <w:tc>
          <w:tcPr>
            <w:tcW w:w="5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lef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评价要点：</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①项目是否按照规定的程序申请设立；</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②审批文件、材料是否符合相关要求；</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trPr>
        <w:tc>
          <w:tcPr>
            <w:tcW w:w="6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rPr>
            </w:pPr>
          </w:p>
        </w:tc>
        <w:tc>
          <w:tcPr>
            <w:tcW w:w="7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绩效目标　</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绩效目标</w:t>
            </w:r>
          </w:p>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合理性</w:t>
            </w:r>
          </w:p>
        </w:tc>
        <w:tc>
          <w:tcPr>
            <w:tcW w:w="31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项目所设定的绩效目标是否依据充分，是否符合客观实际，用以反映和考核项目绩效目标与项目实施的相符情况。</w:t>
            </w:r>
          </w:p>
        </w:tc>
        <w:tc>
          <w:tcPr>
            <w:tcW w:w="5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lef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评价要点：</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（如未设定预算绩效目标，也可考核其他工作任务目标）</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①项目是否有绩效目标；</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②项目绩效目标与实际工作内容是否具有相关性；</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③项目预期产出效益和效果是否符合正常的业绩水平；</w:t>
            </w:r>
          </w:p>
          <w:p>
            <w:pPr>
              <w:widowControl/>
              <w:spacing w:line="0" w:lineRule="atLeast"/>
              <w:jc w:val="lef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trPr>
        <w:tc>
          <w:tcPr>
            <w:tcW w:w="6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决策　</w:t>
            </w:r>
          </w:p>
        </w:tc>
        <w:tc>
          <w:tcPr>
            <w:tcW w:w="7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绩效目标</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绩效指标</w:t>
            </w:r>
          </w:p>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明确性</w:t>
            </w:r>
          </w:p>
        </w:tc>
        <w:tc>
          <w:tcPr>
            <w:tcW w:w="31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依据绩效目标设定的绩效指标是否清晰、细化、可衡量等，用以反映和考核项目绩效目标的明细化情况。</w:t>
            </w:r>
          </w:p>
        </w:tc>
        <w:tc>
          <w:tcPr>
            <w:tcW w:w="5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评价要点：</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①是否将项目绩效目标细化分解为具体的绩效指标；</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②是否通过清晰、可衡量的指标值予以体现；</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③是否与项目目标任务数或计划数相对应。</w:t>
            </w:r>
            <w:r>
              <w:rPr>
                <w:rFonts w:hint="eastAsia" w:ascii="宋体" w:hAnsi="宋体" w:eastAsia="宋体" w:cs="宋体"/>
                <w:color w:val="000000" w:themeColor="text1"/>
                <w:kern w:val="0"/>
                <w:sz w:val="22"/>
                <w:szCs w:val="22"/>
              </w:rPr>
              <w:br w:type="textWrapp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9" w:hRule="atLeast"/>
        </w:trPr>
        <w:tc>
          <w:tcPr>
            <w:tcW w:w="6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rPr>
            </w:pPr>
          </w:p>
        </w:tc>
        <w:tc>
          <w:tcPr>
            <w:tcW w:w="77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资金投入</w:t>
            </w:r>
          </w:p>
          <w:p>
            <w:pPr>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　</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预算编制</w:t>
            </w:r>
          </w:p>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科学性</w:t>
            </w:r>
          </w:p>
        </w:tc>
        <w:tc>
          <w:tcPr>
            <w:tcW w:w="31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项目预算编制（主体</w:t>
            </w:r>
            <w:r>
              <w:rPr>
                <w:rFonts w:ascii="宋体" w:hAnsi="宋体" w:eastAsia="宋体" w:cs="宋体"/>
                <w:color w:val="000000" w:themeColor="text1"/>
                <w:kern w:val="0"/>
                <w:sz w:val="22"/>
                <w:szCs w:val="22"/>
              </w:rPr>
              <w:t>是</w:t>
            </w:r>
            <w:r>
              <w:rPr>
                <w:rFonts w:hint="eastAsia" w:ascii="宋体" w:hAnsi="宋体" w:eastAsia="宋体" w:cs="宋体"/>
                <w:color w:val="000000" w:themeColor="text1"/>
                <w:kern w:val="0"/>
                <w:sz w:val="22"/>
                <w:szCs w:val="22"/>
              </w:rPr>
              <w:t>指</w:t>
            </w:r>
            <w:r>
              <w:rPr>
                <w:rFonts w:ascii="宋体" w:hAnsi="宋体" w:eastAsia="宋体" w:cs="宋体"/>
                <w:color w:val="000000" w:themeColor="text1"/>
                <w:kern w:val="0"/>
                <w:sz w:val="22"/>
                <w:szCs w:val="22"/>
              </w:rPr>
              <w:t>项目资金管理使用单位，下同</w:t>
            </w:r>
            <w:r>
              <w:rPr>
                <w:rFonts w:hint="eastAsia" w:ascii="宋体" w:hAnsi="宋体" w:eastAsia="宋体" w:cs="宋体"/>
                <w:color w:val="000000" w:themeColor="text1"/>
                <w:kern w:val="0"/>
                <w:sz w:val="22"/>
                <w:szCs w:val="22"/>
              </w:rPr>
              <w:t>）是否经过科学论证、有明确标准，资金额度与年度目标是否相适应，用以反映和考核项目预算编制的科学性、合理性情况。</w:t>
            </w:r>
          </w:p>
        </w:tc>
        <w:tc>
          <w:tcPr>
            <w:tcW w:w="5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评价要点：</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①预算编制是否经过科学论证；</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②预算内容与项目内容是否匹配；</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③预算额度测算依据是否充分，是否按照标准编制；</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trPr>
        <w:tc>
          <w:tcPr>
            <w:tcW w:w="6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rPr>
            </w:pPr>
          </w:p>
        </w:tc>
        <w:tc>
          <w:tcPr>
            <w:tcW w:w="77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rPr>
            </w:pP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资金分配</w:t>
            </w:r>
          </w:p>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合理性</w:t>
            </w:r>
          </w:p>
        </w:tc>
        <w:tc>
          <w:tcPr>
            <w:tcW w:w="31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项目预算资金分配是否有测算依据，与补助单位或地方实际是否相适应，用以反映和考核项目预算资金分配的科学性、合理性情况。</w:t>
            </w:r>
          </w:p>
        </w:tc>
        <w:tc>
          <w:tcPr>
            <w:tcW w:w="5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评价要点：</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①预算资金分配依据是否充分；</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②预算资金分配额度是否合理，与项目单位或地方实际是否相适应。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trPr>
        <w:tc>
          <w:tcPr>
            <w:tcW w:w="6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过程</w:t>
            </w:r>
          </w:p>
        </w:tc>
        <w:tc>
          <w:tcPr>
            <w:tcW w:w="77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资金管理</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资金到位率</w:t>
            </w:r>
          </w:p>
        </w:tc>
        <w:tc>
          <w:tcPr>
            <w:tcW w:w="31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实际到位资金与预算资金的比率，用以反映和考核资金落实情况对项目实施的总体保障程度。</w:t>
            </w:r>
          </w:p>
        </w:tc>
        <w:tc>
          <w:tcPr>
            <w:tcW w:w="5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资金到位率=（实际到位资金/预算资金）×100%。</w:t>
            </w:r>
          </w:p>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实际到位资金：一定时期（本年度或项目期）内落实到具体项目的资金。</w:t>
            </w:r>
          </w:p>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trPr>
        <w:tc>
          <w:tcPr>
            <w:tcW w:w="6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rPr>
            </w:pPr>
          </w:p>
        </w:tc>
        <w:tc>
          <w:tcPr>
            <w:tcW w:w="77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rPr>
            </w:pP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资金</w:t>
            </w:r>
            <w:r>
              <w:rPr>
                <w:rFonts w:ascii="宋体" w:hAnsi="宋体" w:eastAsia="宋体" w:cs="宋体"/>
                <w:color w:val="000000" w:themeColor="text1"/>
                <w:kern w:val="0"/>
                <w:sz w:val="22"/>
                <w:szCs w:val="22"/>
              </w:rPr>
              <w:t>拨付及时性</w:t>
            </w:r>
          </w:p>
        </w:tc>
        <w:tc>
          <w:tcPr>
            <w:tcW w:w="31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项目资金是否按照依法依规及时拨付，用以反映和考核项目资金</w:t>
            </w:r>
            <w:r>
              <w:rPr>
                <w:rFonts w:ascii="宋体" w:hAnsi="宋体" w:eastAsia="宋体" w:cs="宋体"/>
                <w:color w:val="000000" w:themeColor="text1"/>
                <w:kern w:val="0"/>
                <w:sz w:val="22"/>
                <w:szCs w:val="22"/>
              </w:rPr>
              <w:t>拨付</w:t>
            </w:r>
            <w:r>
              <w:rPr>
                <w:rFonts w:hint="eastAsia" w:ascii="宋体" w:hAnsi="宋体" w:eastAsia="宋体" w:cs="宋体"/>
                <w:color w:val="000000" w:themeColor="text1"/>
                <w:kern w:val="0"/>
                <w:sz w:val="22"/>
                <w:szCs w:val="22"/>
              </w:rPr>
              <w:t>时效情况。</w:t>
            </w:r>
          </w:p>
        </w:tc>
        <w:tc>
          <w:tcPr>
            <w:tcW w:w="5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lef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项目资金是否按照《</w:t>
            </w:r>
            <w:r>
              <w:rPr>
                <w:rFonts w:ascii="宋体" w:hAnsi="宋体" w:eastAsia="宋体" w:cs="宋体"/>
                <w:color w:val="000000" w:themeColor="text1"/>
                <w:kern w:val="0"/>
                <w:sz w:val="22"/>
                <w:szCs w:val="22"/>
              </w:rPr>
              <w:t>预算法</w:t>
            </w:r>
            <w:r>
              <w:rPr>
                <w:rFonts w:hint="eastAsia" w:ascii="宋体" w:hAnsi="宋体" w:eastAsia="宋体" w:cs="宋体"/>
                <w:color w:val="000000" w:themeColor="text1"/>
                <w:kern w:val="0"/>
                <w:sz w:val="22"/>
                <w:szCs w:val="22"/>
              </w:rPr>
              <w:t>》等</w:t>
            </w:r>
            <w:r>
              <w:rPr>
                <w:rFonts w:ascii="宋体" w:hAnsi="宋体" w:eastAsia="宋体" w:cs="宋体"/>
                <w:color w:val="000000" w:themeColor="text1"/>
                <w:kern w:val="0"/>
                <w:sz w:val="22"/>
                <w:szCs w:val="22"/>
              </w:rPr>
              <w:t>法律法规</w:t>
            </w:r>
            <w:r>
              <w:rPr>
                <w:rFonts w:hint="eastAsia" w:ascii="宋体" w:hAnsi="宋体" w:eastAsia="宋体" w:cs="宋体"/>
                <w:color w:val="000000" w:themeColor="text1"/>
                <w:kern w:val="0"/>
                <w:sz w:val="22"/>
                <w:szCs w:val="22"/>
              </w:rPr>
              <w:t>规定的期限内</w:t>
            </w:r>
            <w:r>
              <w:rPr>
                <w:rFonts w:ascii="宋体" w:hAnsi="宋体" w:eastAsia="宋体" w:cs="宋体"/>
                <w:color w:val="000000" w:themeColor="text1"/>
                <w:kern w:val="0"/>
                <w:sz w:val="22"/>
                <w:szCs w:val="22"/>
              </w:rPr>
              <w:t>分配下达，</w:t>
            </w:r>
            <w:r>
              <w:rPr>
                <w:rFonts w:hint="eastAsia" w:ascii="宋体" w:hAnsi="宋体" w:eastAsia="宋体" w:cs="宋体"/>
                <w:color w:val="000000" w:themeColor="text1"/>
                <w:kern w:val="0"/>
                <w:sz w:val="22"/>
                <w:szCs w:val="22"/>
              </w:rPr>
              <w:t>是否符合</w:t>
            </w:r>
            <w:r>
              <w:rPr>
                <w:rFonts w:ascii="宋体" w:hAnsi="宋体" w:eastAsia="宋体" w:cs="宋体"/>
                <w:color w:val="000000" w:themeColor="text1"/>
                <w:kern w:val="0"/>
                <w:sz w:val="22"/>
                <w:szCs w:val="22"/>
              </w:rPr>
              <w:t>项目</w:t>
            </w:r>
            <w:r>
              <w:rPr>
                <w:rFonts w:hint="eastAsia" w:ascii="宋体" w:hAnsi="宋体" w:eastAsia="宋体" w:cs="宋体"/>
                <w:color w:val="000000" w:themeColor="text1"/>
                <w:kern w:val="0"/>
                <w:sz w:val="22"/>
                <w:szCs w:val="22"/>
              </w:rPr>
              <w:t>资金</w:t>
            </w:r>
            <w:r>
              <w:rPr>
                <w:rFonts w:ascii="宋体" w:hAnsi="宋体" w:eastAsia="宋体" w:cs="宋体"/>
                <w:color w:val="000000" w:themeColor="text1"/>
                <w:kern w:val="0"/>
                <w:sz w:val="22"/>
                <w:szCs w:val="22"/>
              </w:rPr>
              <w:t>管理办法</w:t>
            </w:r>
            <w:r>
              <w:rPr>
                <w:rFonts w:hint="eastAsia" w:ascii="宋体" w:hAnsi="宋体" w:eastAsia="宋体" w:cs="宋体"/>
                <w:color w:val="000000" w:themeColor="text1"/>
                <w:kern w:val="0"/>
                <w:sz w:val="22"/>
                <w:szCs w:val="22"/>
              </w:rPr>
              <w:t>、</w:t>
            </w:r>
            <w:r>
              <w:rPr>
                <w:rFonts w:ascii="宋体" w:hAnsi="宋体" w:eastAsia="宋体" w:cs="宋体"/>
                <w:color w:val="000000" w:themeColor="text1"/>
                <w:kern w:val="0"/>
                <w:sz w:val="22"/>
                <w:szCs w:val="22"/>
              </w:rPr>
              <w:t>工作实施方案等明确的时限要求</w:t>
            </w:r>
            <w:r>
              <w:rPr>
                <w:rFonts w:hint="eastAsia" w:ascii="宋体" w:hAnsi="宋体" w:eastAsia="宋体" w:cs="宋体"/>
                <w:color w:val="000000" w:themeColor="text1"/>
                <w:kern w:val="0"/>
                <w:sz w:val="22"/>
                <w:szCs w:val="22"/>
              </w:rPr>
              <w:t>及时拨付。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2" w:hRule="atLeast"/>
        </w:trPr>
        <w:tc>
          <w:tcPr>
            <w:tcW w:w="625" w:type="dxa"/>
            <w:vMerge w:val="restart"/>
            <w:tcBorders>
              <w:top w:val="single" w:color="000000" w:sz="8" w:space="0"/>
              <w:left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过程</w:t>
            </w:r>
          </w:p>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　</w:t>
            </w:r>
          </w:p>
          <w:p>
            <w:pPr>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　</w:t>
            </w:r>
          </w:p>
        </w:tc>
        <w:tc>
          <w:tcPr>
            <w:tcW w:w="772" w:type="dxa"/>
            <w:vMerge w:val="restart"/>
            <w:tcBorders>
              <w:top w:val="single" w:color="000000" w:sz="8" w:space="0"/>
              <w:left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资金</w:t>
            </w:r>
            <w:r>
              <w:rPr>
                <w:rFonts w:ascii="宋体" w:hAnsi="宋体" w:eastAsia="宋体" w:cs="宋体"/>
                <w:color w:val="000000" w:themeColor="text1"/>
                <w:kern w:val="0"/>
                <w:sz w:val="22"/>
                <w:szCs w:val="22"/>
              </w:rPr>
              <w:t>管理</w:t>
            </w:r>
          </w:p>
          <w:p>
            <w:pPr>
              <w:spacing w:line="0" w:lineRule="atLeast"/>
              <w:jc w:val="center"/>
              <w:rPr>
                <w:rFonts w:ascii="宋体" w:hAnsi="宋体" w:eastAsia="宋体" w:cs="宋体"/>
                <w:color w:val="000000" w:themeColor="text1"/>
                <w:kern w:val="0"/>
                <w:sz w:val="22"/>
                <w:szCs w:val="22"/>
              </w:rPr>
            </w:pP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预算执行率</w:t>
            </w:r>
          </w:p>
        </w:tc>
        <w:tc>
          <w:tcPr>
            <w:tcW w:w="31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项目预算资金是否按照计划执行，用以反映或考核项目预算执行情况。</w:t>
            </w:r>
          </w:p>
        </w:tc>
        <w:tc>
          <w:tcPr>
            <w:tcW w:w="5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预算执行率=（实际支出资金/实际到位资金）×100%。</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5" w:hRule="atLeast"/>
        </w:trPr>
        <w:tc>
          <w:tcPr>
            <w:tcW w:w="625" w:type="dxa"/>
            <w:vMerge w:val="continue"/>
            <w:tcBorders>
              <w:left w:val="single" w:color="000000" w:sz="8" w:space="0"/>
              <w:right w:val="single" w:color="000000" w:sz="8" w:space="0"/>
            </w:tcBorders>
            <w:shd w:val="clear" w:color="auto" w:fill="FFFFFF"/>
            <w:vAlign w:val="center"/>
          </w:tcPr>
          <w:p>
            <w:pPr>
              <w:spacing w:line="0" w:lineRule="atLeast"/>
              <w:jc w:val="center"/>
              <w:rPr>
                <w:rFonts w:ascii="宋体" w:hAnsi="宋体" w:eastAsia="宋体" w:cs="宋体"/>
                <w:color w:val="000000" w:themeColor="text1"/>
                <w:kern w:val="0"/>
                <w:sz w:val="22"/>
                <w:szCs w:val="22"/>
              </w:rPr>
            </w:pPr>
          </w:p>
        </w:tc>
        <w:tc>
          <w:tcPr>
            <w:tcW w:w="772" w:type="dxa"/>
            <w:vMerge w:val="continue"/>
            <w:tcBorders>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资金使用</w:t>
            </w:r>
          </w:p>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合规性</w:t>
            </w:r>
          </w:p>
        </w:tc>
        <w:tc>
          <w:tcPr>
            <w:tcW w:w="31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项目资金使用是否符合相关的财务管理制度规定，用以反映和考核项目资金的规范运行情况。</w:t>
            </w:r>
          </w:p>
        </w:tc>
        <w:tc>
          <w:tcPr>
            <w:tcW w:w="5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评价要点：</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①是否符合国家财经法规和财务管理制度以及有关专项资金管理办法的规定；</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②资金的拨付是否有完整的审批程序和手续；</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③是否符合项目预算批复或合同规定的用途；</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0" w:hRule="atLeast"/>
        </w:trPr>
        <w:tc>
          <w:tcPr>
            <w:tcW w:w="625" w:type="dxa"/>
            <w:vMerge w:val="continue"/>
            <w:tcBorders>
              <w:left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rPr>
            </w:pPr>
          </w:p>
        </w:tc>
        <w:tc>
          <w:tcPr>
            <w:tcW w:w="77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组织实施</w:t>
            </w:r>
          </w:p>
          <w:p>
            <w:pPr>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　</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管理制度</w:t>
            </w:r>
          </w:p>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健全性</w:t>
            </w:r>
          </w:p>
        </w:tc>
        <w:tc>
          <w:tcPr>
            <w:tcW w:w="31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项目实施单位的财务和业务管理制度是否健全，用以反映和考核财务和业务管理制度对项目顺利实施的保障情况。</w:t>
            </w:r>
          </w:p>
        </w:tc>
        <w:tc>
          <w:tcPr>
            <w:tcW w:w="5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评价要点：</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①是否已制定或具有相应的财务和业务管理制度；</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32" w:hRule="atLeast"/>
        </w:trPr>
        <w:tc>
          <w:tcPr>
            <w:tcW w:w="625" w:type="dxa"/>
            <w:vMerge w:val="continue"/>
            <w:tcBorders>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rPr>
            </w:pPr>
          </w:p>
        </w:tc>
        <w:tc>
          <w:tcPr>
            <w:tcW w:w="77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rPr>
            </w:pP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制度执行</w:t>
            </w:r>
          </w:p>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有效性</w:t>
            </w:r>
          </w:p>
        </w:tc>
        <w:tc>
          <w:tcPr>
            <w:tcW w:w="31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项目实施是否符合相关管理规定，用以反映和考核相关管理制度的有效执行情况。</w:t>
            </w:r>
          </w:p>
        </w:tc>
        <w:tc>
          <w:tcPr>
            <w:tcW w:w="5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评价要点：</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①是否遵守相关法律法规和相关管理规定；</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②项目调整及支出调整手续是否完备；</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③项目合同书、验收报告、技术鉴定等资料是否齐全并及时归档；</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trPr>
        <w:tc>
          <w:tcPr>
            <w:tcW w:w="6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产出</w:t>
            </w:r>
          </w:p>
        </w:tc>
        <w:tc>
          <w:tcPr>
            <w:tcW w:w="7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产出数量</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hint="eastAsia" w:ascii="宋体" w:hAnsi="宋体" w:eastAsia="宋体" w:cs="宋体"/>
                <w:color w:val="000000" w:themeColor="text1"/>
                <w:kern w:val="0"/>
                <w:sz w:val="22"/>
                <w:szCs w:val="22"/>
                <w:lang w:eastAsia="zh-CN"/>
              </w:rPr>
            </w:pPr>
            <w:r>
              <w:rPr>
                <w:rFonts w:hint="eastAsia" w:ascii="宋体" w:hAnsi="宋体" w:eastAsia="宋体" w:cs="宋体"/>
                <w:color w:val="000000" w:themeColor="text1"/>
                <w:kern w:val="0"/>
                <w:sz w:val="22"/>
                <w:szCs w:val="22"/>
                <w:lang w:eastAsia="zh-CN"/>
              </w:rPr>
              <w:t>非煤矿山面积</w:t>
            </w:r>
          </w:p>
        </w:tc>
        <w:tc>
          <w:tcPr>
            <w:tcW w:w="31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项目实施的实际产出数与计划产出数的比率，用以反映和考核项目产出数量目标的实现程度。</w:t>
            </w:r>
          </w:p>
        </w:tc>
        <w:tc>
          <w:tcPr>
            <w:tcW w:w="5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实际完成率=（实际产出数/计划产出数）×100%。</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实际产出数：一定时期（本年度或项目期）内项目实际</w:t>
            </w:r>
            <w:r>
              <w:rPr>
                <w:rFonts w:hint="eastAsia" w:ascii="宋体" w:hAnsi="宋体" w:eastAsia="宋体" w:cs="宋体"/>
                <w:color w:val="000000" w:themeColor="text1"/>
                <w:kern w:val="0"/>
                <w:sz w:val="22"/>
                <w:szCs w:val="22"/>
                <w:lang w:eastAsia="zh-CN"/>
              </w:rPr>
              <w:t>看护的面积</w:t>
            </w:r>
            <w:r>
              <w:rPr>
                <w:rFonts w:hint="eastAsia" w:ascii="宋体" w:hAnsi="宋体" w:eastAsia="宋体" w:cs="宋体"/>
                <w:color w:val="000000" w:themeColor="text1"/>
                <w:kern w:val="0"/>
                <w:sz w:val="22"/>
                <w:szCs w:val="22"/>
              </w:rPr>
              <w:t>。</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计划产出数：项目绩效目标确定的在一定时期（本年度或项目期）内计划</w:t>
            </w:r>
            <w:r>
              <w:rPr>
                <w:rFonts w:hint="eastAsia" w:ascii="宋体" w:hAnsi="宋体" w:eastAsia="宋体" w:cs="宋体"/>
                <w:color w:val="000000" w:themeColor="text1"/>
                <w:kern w:val="0"/>
                <w:sz w:val="22"/>
                <w:szCs w:val="22"/>
                <w:lang w:eastAsia="zh-CN"/>
              </w:rPr>
              <w:t>看护的面积</w:t>
            </w:r>
            <w:r>
              <w:rPr>
                <w:rFonts w:hint="eastAsia" w:ascii="宋体" w:hAnsi="宋体" w:eastAsia="宋体" w:cs="宋体"/>
                <w:color w:val="000000" w:themeColor="text1"/>
                <w:kern w:val="0"/>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trPr>
        <w:tc>
          <w:tcPr>
            <w:tcW w:w="6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产出</w:t>
            </w:r>
          </w:p>
        </w:tc>
        <w:tc>
          <w:tcPr>
            <w:tcW w:w="772" w:type="dxa"/>
            <w:vMerge w:val="restart"/>
            <w:tcBorders>
              <w:top w:val="single" w:color="000000" w:sz="8" w:space="0"/>
              <w:left w:val="single" w:color="000000" w:sz="8" w:space="0"/>
              <w:right w:val="single" w:color="000000" w:sz="8" w:space="0"/>
            </w:tcBorders>
            <w:shd w:val="clear" w:color="auto" w:fill="FFFFFF"/>
            <w:vAlign w:val="center"/>
          </w:tcPr>
          <w:p>
            <w:pPr>
              <w:widowControl/>
              <w:spacing w:line="0" w:lineRule="atLeast"/>
              <w:ind w:firstLine="220" w:firstLineChars="100"/>
              <w:jc w:val="center"/>
              <w:rPr>
                <w:rFonts w:hint="eastAsia"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产</w:t>
            </w:r>
          </w:p>
          <w:p>
            <w:pPr>
              <w:spacing w:line="0" w:lineRule="atLeast"/>
              <w:jc w:val="center"/>
              <w:rPr>
                <w:rFonts w:hint="eastAsia"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出质量</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杜绝非法采挖山（皮）土石、破坏生态现象</w:t>
            </w:r>
          </w:p>
        </w:tc>
        <w:tc>
          <w:tcPr>
            <w:tcW w:w="31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项目完成的质量达标产出数与实际产出数的比率，用以反映和考核项目产出质量目标的实现程度。</w:t>
            </w:r>
          </w:p>
        </w:tc>
        <w:tc>
          <w:tcPr>
            <w:tcW w:w="5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实际完成率=（实际产出数/计划产出数）×100%。</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实际产出数：一定时期（本年度或项目期）内项目实际</w:t>
            </w:r>
            <w:r>
              <w:rPr>
                <w:rFonts w:hint="eastAsia" w:ascii="宋体" w:hAnsi="宋体" w:eastAsia="宋体" w:cs="宋体"/>
                <w:color w:val="000000" w:themeColor="text1"/>
                <w:kern w:val="0"/>
                <w:sz w:val="22"/>
                <w:szCs w:val="22"/>
                <w:lang w:eastAsia="zh-CN"/>
              </w:rPr>
              <w:t>发生的数量</w:t>
            </w:r>
            <w:r>
              <w:rPr>
                <w:rFonts w:hint="eastAsia" w:ascii="宋体" w:hAnsi="宋体" w:eastAsia="宋体" w:cs="宋体"/>
                <w:color w:val="000000" w:themeColor="text1"/>
                <w:kern w:val="0"/>
                <w:sz w:val="22"/>
                <w:szCs w:val="22"/>
              </w:rPr>
              <w:t>。</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计划产出数：项目绩效目标确定的在一定时期（本年度或项目期）内计划</w:t>
            </w:r>
            <w:r>
              <w:rPr>
                <w:rFonts w:hint="eastAsia" w:ascii="宋体" w:hAnsi="宋体" w:eastAsia="宋体" w:cs="宋体"/>
                <w:color w:val="000000" w:themeColor="text1"/>
                <w:kern w:val="0"/>
                <w:sz w:val="22"/>
                <w:szCs w:val="22"/>
                <w:lang w:eastAsia="zh-CN"/>
              </w:rPr>
              <w:t>发生的数量</w:t>
            </w:r>
            <w:r>
              <w:rPr>
                <w:rFonts w:hint="eastAsia" w:ascii="宋体" w:hAnsi="宋体" w:eastAsia="宋体" w:cs="宋体"/>
                <w:color w:val="000000" w:themeColor="text1"/>
                <w:kern w:val="0"/>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trPr>
        <w:tc>
          <w:tcPr>
            <w:tcW w:w="6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rPr>
            </w:pPr>
          </w:p>
        </w:tc>
        <w:tc>
          <w:tcPr>
            <w:tcW w:w="772" w:type="dxa"/>
            <w:vMerge w:val="continue"/>
            <w:tcBorders>
              <w:left w:val="single" w:color="000000" w:sz="8" w:space="0"/>
              <w:bottom w:val="single" w:color="000000" w:sz="8" w:space="0"/>
              <w:right w:val="single" w:color="000000" w:sz="8" w:space="0"/>
            </w:tcBorders>
            <w:shd w:val="clear" w:color="auto" w:fill="FFFFFF"/>
            <w:vAlign w:val="center"/>
          </w:tcPr>
          <w:p>
            <w:pPr>
              <w:spacing w:line="0" w:lineRule="atLeast"/>
              <w:jc w:val="center"/>
              <w:rPr>
                <w:rFonts w:hint="eastAsia" w:ascii="宋体" w:hAnsi="宋体" w:eastAsia="宋体" w:cs="宋体"/>
                <w:color w:val="000000" w:themeColor="text1"/>
                <w:kern w:val="0"/>
                <w:sz w:val="22"/>
                <w:szCs w:val="22"/>
              </w:rPr>
            </w:pP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hint="eastAsia" w:ascii="宋体" w:hAnsi="宋体" w:eastAsia="宋体" w:cs="宋体"/>
                <w:color w:val="000000" w:themeColor="text1"/>
                <w:kern w:val="0"/>
                <w:sz w:val="22"/>
                <w:szCs w:val="22"/>
                <w:lang w:eastAsia="zh-CN"/>
              </w:rPr>
            </w:pPr>
            <w:r>
              <w:rPr>
                <w:rFonts w:hint="eastAsia" w:ascii="宋体" w:hAnsi="宋体" w:eastAsia="宋体" w:cs="宋体"/>
                <w:color w:val="000000" w:themeColor="text1"/>
                <w:kern w:val="0"/>
                <w:sz w:val="22"/>
                <w:szCs w:val="22"/>
                <w:lang w:eastAsia="zh-CN"/>
              </w:rPr>
              <w:t>日常巡查覆盖率</w:t>
            </w:r>
          </w:p>
        </w:tc>
        <w:tc>
          <w:tcPr>
            <w:tcW w:w="31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hint="eastAsia"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项目实施的实际产出数与计划产出数的比率，用以反映和考核项目产出数量目标的实现程度。</w:t>
            </w:r>
          </w:p>
        </w:tc>
        <w:tc>
          <w:tcPr>
            <w:tcW w:w="5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hint="eastAsia"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实际完成率=（实际产出数/计划产出数）×100%。</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实际产出数：一定时期（本年度或项目期）内项目实际</w:t>
            </w:r>
            <w:r>
              <w:rPr>
                <w:rFonts w:hint="eastAsia" w:ascii="宋体" w:hAnsi="宋体" w:eastAsia="宋体" w:cs="宋体"/>
                <w:color w:val="000000" w:themeColor="text1"/>
                <w:kern w:val="0"/>
                <w:sz w:val="22"/>
                <w:szCs w:val="22"/>
                <w:lang w:eastAsia="zh-CN"/>
              </w:rPr>
              <w:t>巡查覆盖率</w:t>
            </w:r>
            <w:r>
              <w:rPr>
                <w:rFonts w:hint="eastAsia" w:ascii="宋体" w:hAnsi="宋体" w:eastAsia="宋体" w:cs="宋体"/>
                <w:color w:val="000000" w:themeColor="text1"/>
                <w:kern w:val="0"/>
                <w:sz w:val="22"/>
                <w:szCs w:val="22"/>
              </w:rPr>
              <w:t>。</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计划产出数：项目绩效目标确定的在一定时期（本年度或项目期）内计划</w:t>
            </w:r>
            <w:r>
              <w:rPr>
                <w:rFonts w:hint="eastAsia" w:ascii="宋体" w:hAnsi="宋体" w:eastAsia="宋体" w:cs="宋体"/>
                <w:color w:val="000000" w:themeColor="text1"/>
                <w:kern w:val="0"/>
                <w:sz w:val="22"/>
                <w:szCs w:val="22"/>
                <w:lang w:eastAsia="zh-CN"/>
              </w:rPr>
              <w:t>巡查覆盖率</w:t>
            </w:r>
            <w:r>
              <w:rPr>
                <w:rFonts w:hint="eastAsia" w:ascii="宋体" w:hAnsi="宋体" w:eastAsia="宋体" w:cs="宋体"/>
                <w:color w:val="000000" w:themeColor="text1"/>
                <w:kern w:val="0"/>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trPr>
        <w:tc>
          <w:tcPr>
            <w:tcW w:w="6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rPr>
            </w:pPr>
          </w:p>
        </w:tc>
        <w:tc>
          <w:tcPr>
            <w:tcW w:w="7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产出时效</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lang w:eastAsia="zh-CN"/>
              </w:rPr>
              <w:t>资金在规定时间内下达</w:t>
            </w:r>
          </w:p>
        </w:tc>
        <w:tc>
          <w:tcPr>
            <w:tcW w:w="31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项目资金是否按照《</w:t>
            </w:r>
            <w:r>
              <w:rPr>
                <w:rFonts w:ascii="宋体" w:hAnsi="宋体" w:eastAsia="宋体" w:cs="宋体"/>
                <w:color w:val="000000" w:themeColor="text1"/>
                <w:kern w:val="0"/>
                <w:sz w:val="22"/>
                <w:szCs w:val="22"/>
              </w:rPr>
              <w:t>预算法</w:t>
            </w:r>
            <w:r>
              <w:rPr>
                <w:rFonts w:hint="eastAsia" w:ascii="宋体" w:hAnsi="宋体" w:eastAsia="宋体" w:cs="宋体"/>
                <w:color w:val="000000" w:themeColor="text1"/>
                <w:kern w:val="0"/>
                <w:sz w:val="22"/>
                <w:szCs w:val="22"/>
              </w:rPr>
              <w:t>》等</w:t>
            </w:r>
            <w:r>
              <w:rPr>
                <w:rFonts w:ascii="宋体" w:hAnsi="宋体" w:eastAsia="宋体" w:cs="宋体"/>
                <w:color w:val="000000" w:themeColor="text1"/>
                <w:kern w:val="0"/>
                <w:sz w:val="22"/>
                <w:szCs w:val="22"/>
              </w:rPr>
              <w:t>法律法规</w:t>
            </w:r>
            <w:r>
              <w:rPr>
                <w:rFonts w:hint="eastAsia" w:ascii="宋体" w:hAnsi="宋体" w:eastAsia="宋体" w:cs="宋体"/>
                <w:color w:val="000000" w:themeColor="text1"/>
                <w:kern w:val="0"/>
                <w:sz w:val="22"/>
                <w:szCs w:val="22"/>
              </w:rPr>
              <w:t>规定的期限内</w:t>
            </w:r>
            <w:r>
              <w:rPr>
                <w:rFonts w:ascii="宋体" w:hAnsi="宋体" w:eastAsia="宋体" w:cs="宋体"/>
                <w:color w:val="000000" w:themeColor="text1"/>
                <w:kern w:val="0"/>
                <w:sz w:val="22"/>
                <w:szCs w:val="22"/>
              </w:rPr>
              <w:t>分配下达，</w:t>
            </w:r>
          </w:p>
        </w:tc>
        <w:tc>
          <w:tcPr>
            <w:tcW w:w="5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项目资金是否按照《</w:t>
            </w:r>
            <w:r>
              <w:rPr>
                <w:rFonts w:ascii="宋体" w:hAnsi="宋体" w:eastAsia="宋体" w:cs="宋体"/>
                <w:color w:val="000000" w:themeColor="text1"/>
                <w:kern w:val="0"/>
                <w:sz w:val="22"/>
                <w:szCs w:val="22"/>
              </w:rPr>
              <w:t>预算法</w:t>
            </w:r>
            <w:r>
              <w:rPr>
                <w:rFonts w:hint="eastAsia" w:ascii="宋体" w:hAnsi="宋体" w:eastAsia="宋体" w:cs="宋体"/>
                <w:color w:val="000000" w:themeColor="text1"/>
                <w:kern w:val="0"/>
                <w:sz w:val="22"/>
                <w:szCs w:val="22"/>
              </w:rPr>
              <w:t>》等</w:t>
            </w:r>
            <w:r>
              <w:rPr>
                <w:rFonts w:ascii="宋体" w:hAnsi="宋体" w:eastAsia="宋体" w:cs="宋体"/>
                <w:color w:val="000000" w:themeColor="text1"/>
                <w:kern w:val="0"/>
                <w:sz w:val="22"/>
                <w:szCs w:val="22"/>
              </w:rPr>
              <w:t>法律法规</w:t>
            </w:r>
            <w:r>
              <w:rPr>
                <w:rFonts w:hint="eastAsia" w:ascii="宋体" w:hAnsi="宋体" w:eastAsia="宋体" w:cs="宋体"/>
                <w:color w:val="000000" w:themeColor="text1"/>
                <w:kern w:val="0"/>
                <w:sz w:val="22"/>
                <w:szCs w:val="22"/>
              </w:rPr>
              <w:t>规定的期限内</w:t>
            </w:r>
            <w:r>
              <w:rPr>
                <w:rFonts w:ascii="宋体" w:hAnsi="宋体" w:eastAsia="宋体" w:cs="宋体"/>
                <w:color w:val="000000" w:themeColor="text1"/>
                <w:kern w:val="0"/>
                <w:sz w:val="22"/>
                <w:szCs w:val="22"/>
              </w:rPr>
              <w:t>分配下达，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trPr>
        <w:tc>
          <w:tcPr>
            <w:tcW w:w="6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rPr>
            </w:pPr>
          </w:p>
        </w:tc>
        <w:tc>
          <w:tcPr>
            <w:tcW w:w="7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产出成本</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lang w:eastAsia="zh-CN"/>
              </w:rPr>
              <w:t>预算控制</w:t>
            </w:r>
            <w:r>
              <w:rPr>
                <w:rFonts w:hint="eastAsia" w:ascii="宋体" w:hAnsi="宋体" w:eastAsia="宋体" w:cs="宋体"/>
                <w:color w:val="000000" w:themeColor="text1"/>
                <w:kern w:val="0"/>
                <w:sz w:val="22"/>
                <w:szCs w:val="22"/>
              </w:rPr>
              <w:t>率</w:t>
            </w:r>
          </w:p>
        </w:tc>
        <w:tc>
          <w:tcPr>
            <w:tcW w:w="31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完成项目计划工作目标的实际节约成本与计划成本的比率，用以反映和考核项目的成本节约程度。</w:t>
            </w:r>
          </w:p>
        </w:tc>
        <w:tc>
          <w:tcPr>
            <w:tcW w:w="5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成本节约率=[（计划成本-实际成本）/计划成本]×100%。</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实际成本：项目实施单位如期、保质、保量完成既定工作目标实际所耗费的支出。</w:t>
            </w:r>
            <w:r>
              <w:rPr>
                <w:rFonts w:hint="eastAsia" w:ascii="宋体" w:hAnsi="宋体" w:eastAsia="宋体" w:cs="宋体"/>
                <w:color w:val="000000" w:themeColor="text1"/>
                <w:kern w:val="0"/>
                <w:sz w:val="22"/>
                <w:szCs w:val="22"/>
              </w:rPr>
              <w:br w:type="textWrapping"/>
            </w:r>
            <w:r>
              <w:rPr>
                <w:rFonts w:hint="eastAsia" w:ascii="宋体" w:hAnsi="宋体" w:eastAsia="宋体" w:cs="宋体"/>
                <w:color w:val="000000" w:themeColor="text1"/>
                <w:kern w:val="0"/>
                <w:sz w:val="22"/>
                <w:szCs w:val="22"/>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trPr>
        <w:tc>
          <w:tcPr>
            <w:tcW w:w="6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效益　</w:t>
            </w:r>
          </w:p>
        </w:tc>
        <w:tc>
          <w:tcPr>
            <w:tcW w:w="77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项目效益　</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实施效益</w:t>
            </w:r>
          </w:p>
        </w:tc>
        <w:tc>
          <w:tcPr>
            <w:tcW w:w="31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lef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项目实施所产生的效益。</w:t>
            </w:r>
          </w:p>
        </w:tc>
        <w:tc>
          <w:tcPr>
            <w:tcW w:w="5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trPr>
        <w:tc>
          <w:tcPr>
            <w:tcW w:w="62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rPr>
            </w:pPr>
          </w:p>
        </w:tc>
        <w:tc>
          <w:tcPr>
            <w:tcW w:w="77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rPr>
            </w:pP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lang w:eastAsia="zh-CN"/>
              </w:rPr>
              <w:t>群众</w:t>
            </w:r>
            <w:r>
              <w:rPr>
                <w:rFonts w:hint="eastAsia" w:ascii="宋体" w:hAnsi="宋体" w:eastAsia="宋体" w:cs="宋体"/>
                <w:color w:val="000000" w:themeColor="text1"/>
                <w:kern w:val="0"/>
                <w:sz w:val="22"/>
                <w:szCs w:val="22"/>
              </w:rPr>
              <w:t>满意度</w:t>
            </w:r>
          </w:p>
        </w:tc>
        <w:tc>
          <w:tcPr>
            <w:tcW w:w="31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社会公众或服务对象对项目实施效果的满意程度。</w:t>
            </w:r>
          </w:p>
        </w:tc>
        <w:tc>
          <w:tcPr>
            <w:tcW w:w="5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社会公众或服务对象是指因该项目实施而受到影响的部门（单位）、群体或个人。一般采取社会调查的方式。</w:t>
            </w:r>
          </w:p>
        </w:tc>
      </w:tr>
    </w:tbl>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textAlignment w:val="auto"/>
        <w:rPr>
          <w:rFonts w:hint="default" w:ascii="仿宋_GB2312" w:hAnsi="仿宋"/>
          <w:color w:val="000000" w:themeColor="text1"/>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（三）绩效评价工作过程。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333333"/>
          <w:kern w:val="0"/>
          <w:sz w:val="32"/>
          <w:szCs w:val="32"/>
          <w:lang w:val="en-US" w:eastAsia="zh-CN"/>
        </w:rPr>
      </w:pPr>
      <w:r>
        <w:rPr>
          <w:rFonts w:hint="eastAsia" w:ascii="仿宋_GB2312" w:hAnsi="微软雅黑" w:cs="宋体"/>
          <w:color w:val="333333"/>
          <w:kern w:val="0"/>
          <w:sz w:val="32"/>
          <w:szCs w:val="32"/>
          <w:lang w:val="en-US" w:eastAsia="zh-CN"/>
        </w:rPr>
        <w:t>1、</w:t>
      </w:r>
      <w:r>
        <w:rPr>
          <w:rFonts w:hint="eastAsia" w:ascii="仿宋_GB2312" w:hAnsi="微软雅黑" w:eastAsia="仿宋_GB2312" w:cs="宋体"/>
          <w:color w:val="333333"/>
          <w:kern w:val="0"/>
          <w:sz w:val="32"/>
          <w:szCs w:val="32"/>
          <w:lang w:val="en-US" w:eastAsia="zh-CN"/>
        </w:rPr>
        <w:t>绩效评价组织实施情况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为了完成此次项目绩效评价工作，我单位成立了绩效评价工作小组负责绩效评价组织管理工作，办公室认真准备项目实施各个环节的文件资料，为绩效评价提供依据。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333333"/>
          <w:kern w:val="0"/>
          <w:sz w:val="32"/>
          <w:szCs w:val="32"/>
          <w:lang w:val="en-US" w:eastAsia="zh-CN"/>
        </w:rPr>
      </w:pPr>
      <w:r>
        <w:rPr>
          <w:rFonts w:hint="eastAsia" w:ascii="仿宋_GB2312" w:hAnsi="微软雅黑" w:cs="宋体"/>
          <w:color w:val="333333"/>
          <w:kern w:val="0"/>
          <w:sz w:val="32"/>
          <w:szCs w:val="32"/>
          <w:lang w:val="en-US" w:eastAsia="zh-CN"/>
        </w:rPr>
        <w:t>2、</w:t>
      </w:r>
      <w:r>
        <w:rPr>
          <w:rFonts w:hint="eastAsia" w:ascii="仿宋_GB2312" w:hAnsi="微软雅黑" w:eastAsia="仿宋_GB2312" w:cs="宋体"/>
          <w:color w:val="333333"/>
          <w:kern w:val="0"/>
          <w:sz w:val="32"/>
          <w:szCs w:val="32"/>
          <w:lang w:val="en-US" w:eastAsia="zh-CN"/>
        </w:rPr>
        <w:t>项目资金预算及实际到位情况分析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 xml:space="preserve"> 项目预算</w:t>
      </w:r>
      <w:r>
        <w:rPr>
          <w:rFonts w:hint="eastAsia" w:ascii="仿宋_GB2312" w:hAnsi="微软雅黑" w:cs="宋体"/>
          <w:color w:val="333333"/>
          <w:kern w:val="0"/>
          <w:sz w:val="32"/>
          <w:szCs w:val="32"/>
          <w:lang w:val="en-US" w:eastAsia="zh-CN"/>
        </w:rPr>
        <w:t>3</w:t>
      </w:r>
      <w:r>
        <w:rPr>
          <w:rFonts w:hint="eastAsia" w:ascii="仿宋_GB2312" w:hAnsi="微软雅黑" w:eastAsia="仿宋_GB2312" w:cs="宋体"/>
          <w:color w:val="333333"/>
          <w:kern w:val="0"/>
          <w:sz w:val="32"/>
          <w:szCs w:val="32"/>
          <w:lang w:val="en-US" w:eastAsia="zh-CN"/>
        </w:rPr>
        <w:t>万元，项目据实支出</w:t>
      </w:r>
      <w:r>
        <w:rPr>
          <w:rFonts w:hint="eastAsia" w:ascii="仿宋_GB2312" w:hAnsi="微软雅黑" w:cs="宋体"/>
          <w:color w:val="333333"/>
          <w:kern w:val="0"/>
          <w:sz w:val="32"/>
          <w:szCs w:val="32"/>
          <w:lang w:val="en-US" w:eastAsia="zh-CN"/>
        </w:rPr>
        <w:t>3</w:t>
      </w:r>
      <w:r>
        <w:rPr>
          <w:rFonts w:hint="eastAsia" w:ascii="仿宋_GB2312" w:hAnsi="微软雅黑" w:eastAsia="仿宋_GB2312" w:cs="宋体"/>
          <w:color w:val="333333"/>
          <w:kern w:val="0"/>
          <w:sz w:val="32"/>
          <w:szCs w:val="32"/>
          <w:lang w:val="en-US" w:eastAsia="zh-CN"/>
        </w:rPr>
        <w:t>万元，资金拨付率</w:t>
      </w:r>
      <w:r>
        <w:rPr>
          <w:rFonts w:hint="eastAsia" w:ascii="仿宋_GB2312" w:hAnsi="微软雅黑" w:cs="宋体"/>
          <w:color w:val="333333"/>
          <w:kern w:val="0"/>
          <w:sz w:val="32"/>
          <w:szCs w:val="32"/>
          <w:lang w:val="en-US" w:eastAsia="zh-CN"/>
        </w:rPr>
        <w:t>100</w:t>
      </w:r>
      <w:r>
        <w:rPr>
          <w:rFonts w:hint="eastAsia" w:ascii="仿宋_GB2312" w:hAnsi="微软雅黑" w:eastAsia="仿宋_GB2312" w:cs="宋体"/>
          <w:color w:val="333333"/>
          <w:kern w:val="0"/>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333333"/>
          <w:kern w:val="0"/>
          <w:sz w:val="32"/>
          <w:szCs w:val="32"/>
          <w:lang w:val="en-US" w:eastAsia="zh-CN"/>
        </w:rPr>
      </w:pPr>
      <w:r>
        <w:rPr>
          <w:rFonts w:hint="eastAsia" w:ascii="仿宋_GB2312" w:hAnsi="微软雅黑" w:cs="宋体"/>
          <w:color w:val="333333"/>
          <w:kern w:val="0"/>
          <w:sz w:val="32"/>
          <w:szCs w:val="32"/>
          <w:lang w:val="en-US" w:eastAsia="zh-CN"/>
        </w:rPr>
        <w:t>3、</w:t>
      </w:r>
      <w:r>
        <w:rPr>
          <w:rFonts w:hint="eastAsia" w:ascii="仿宋_GB2312" w:hAnsi="微软雅黑" w:eastAsia="仿宋_GB2312" w:cs="宋体"/>
          <w:color w:val="333333"/>
          <w:kern w:val="0"/>
          <w:sz w:val="32"/>
          <w:szCs w:val="32"/>
          <w:lang w:val="en-US" w:eastAsia="zh-CN"/>
        </w:rPr>
        <w:t>项目资金管理情况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 xml:space="preserve"> 严格按照财务制度执行专项经费的管理和使用，项目资金使用合规、专款专用，专账核算，不存在截留、挪用、虚列等违规情况。</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lang w:eastAsia="zh-CN"/>
        </w:rPr>
        <w:t>三、</w:t>
      </w:r>
      <w:r>
        <w:rPr>
          <w:rFonts w:hint="eastAsia" w:ascii="黑体" w:hAnsi="黑体" w:eastAsia="黑体" w:cs="黑体"/>
          <w:color w:val="000000" w:themeColor="text1"/>
          <w:sz w:val="32"/>
          <w:szCs w:val="32"/>
        </w:rPr>
        <w:t>综合评价情况及评价结论（附相关评分表）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000000"/>
          <w:sz w:val="32"/>
          <w:szCs w:val="32"/>
          <w:lang w:eastAsia="zh-CN"/>
        </w:rPr>
      </w:pPr>
      <w:r>
        <w:rPr>
          <w:rFonts w:hint="eastAsia" w:ascii="仿宋_GB2312" w:hAnsi="仿宋_GB2312" w:eastAsia="仿宋_GB2312" w:cs="仿宋_GB2312"/>
          <w:color w:val="000000"/>
          <w:sz w:val="32"/>
          <w:szCs w:val="32"/>
        </w:rPr>
        <w:t>该项目绩效评价得分为</w:t>
      </w:r>
      <w:r>
        <w:rPr>
          <w:rFonts w:hint="eastAsia" w:ascii="仿宋_GB2312" w:hAnsi="仿宋_GB2312" w:cs="仿宋_GB2312"/>
          <w:color w:val="000000"/>
          <w:sz w:val="32"/>
          <w:szCs w:val="32"/>
          <w:lang w:val="en-US" w:eastAsia="zh-CN"/>
        </w:rPr>
        <w:t>100</w:t>
      </w:r>
      <w:r>
        <w:rPr>
          <w:rFonts w:hint="eastAsia" w:ascii="仿宋_GB2312" w:hAnsi="仿宋_GB2312" w:eastAsia="仿宋_GB2312" w:cs="仿宋_GB2312"/>
          <w:color w:val="000000"/>
          <w:sz w:val="32"/>
          <w:szCs w:val="32"/>
        </w:rPr>
        <w:t>分，综合评价等级为“优”。评价认为，该项目的设立依据较充分，立项程序规范。该项目业务管理和财务管理制度较为健全，执行较为有效。产出指标的实现程度较好，项目预期产出目标达成。项目的实施产生了良好的社会效益和可持续影响</w:t>
      </w:r>
      <w:r>
        <w:rPr>
          <w:rFonts w:hint="eastAsia" w:ascii="仿宋_GB2312" w:hAnsi="仿宋_GB2312" w:cs="仿宋_GB2312"/>
          <w:color w:val="000000"/>
          <w:sz w:val="32"/>
          <w:szCs w:val="32"/>
          <w:lang w:eastAsia="zh-CN"/>
        </w:rPr>
        <w:t>。</w:t>
      </w:r>
    </w:p>
    <w:tbl>
      <w:tblPr>
        <w:tblStyle w:val="5"/>
        <w:tblpPr w:leftFromText="180" w:rightFromText="180" w:vertAnchor="text" w:horzAnchor="page" w:tblpX="630" w:tblpY="-37"/>
        <w:tblOverlap w:val="never"/>
        <w:tblW w:w="9796" w:type="dxa"/>
        <w:tblInd w:w="0" w:type="dxa"/>
        <w:tblLayout w:type="autofit"/>
        <w:tblCellMar>
          <w:top w:w="0" w:type="dxa"/>
          <w:left w:w="108" w:type="dxa"/>
          <w:bottom w:w="0" w:type="dxa"/>
          <w:right w:w="108" w:type="dxa"/>
        </w:tblCellMar>
      </w:tblPr>
      <w:tblGrid>
        <w:gridCol w:w="515"/>
        <w:gridCol w:w="688"/>
        <w:gridCol w:w="1368"/>
        <w:gridCol w:w="2009"/>
        <w:gridCol w:w="884"/>
        <w:gridCol w:w="2988"/>
        <w:gridCol w:w="723"/>
        <w:gridCol w:w="621"/>
      </w:tblGrid>
      <w:tr>
        <w:tblPrEx>
          <w:tblCellMar>
            <w:top w:w="0" w:type="dxa"/>
            <w:left w:w="108" w:type="dxa"/>
            <w:bottom w:w="0" w:type="dxa"/>
            <w:right w:w="108" w:type="dxa"/>
          </w:tblCellMar>
        </w:tblPrEx>
        <w:trPr>
          <w:trHeight w:val="600" w:hRule="atLeast"/>
        </w:trPr>
        <w:tc>
          <w:tcPr>
            <w:tcW w:w="9796" w:type="dxa"/>
            <w:gridSpan w:val="8"/>
            <w:tcBorders>
              <w:top w:val="nil"/>
              <w:left w:val="nil"/>
              <w:bottom w:val="single" w:color="auto" w:sz="4" w:space="0"/>
              <w:right w:val="nil"/>
            </w:tcBorders>
            <w:noWrap/>
            <w:vAlign w:val="center"/>
          </w:tcPr>
          <w:p>
            <w:pPr>
              <w:widowControl/>
              <w:jc w:val="left"/>
              <w:rPr>
                <w:rFonts w:ascii="仿宋" w:hAnsi="仿宋" w:eastAsia="仿宋" w:cs="宋体"/>
                <w:b/>
                <w:bCs/>
                <w:kern w:val="0"/>
                <w:sz w:val="24"/>
                <w:szCs w:val="24"/>
              </w:rPr>
            </w:pPr>
            <w:r>
              <w:rPr>
                <w:rFonts w:hint="eastAsia" w:ascii="仿宋" w:hAnsi="仿宋" w:eastAsia="仿宋" w:cs="宋体"/>
                <w:b/>
                <w:bCs/>
                <w:kern w:val="0"/>
                <w:sz w:val="24"/>
                <w:szCs w:val="24"/>
              </w:rPr>
              <w:t xml:space="preserve">    </w:t>
            </w:r>
          </w:p>
          <w:p>
            <w:pPr>
              <w:widowControl/>
              <w:jc w:val="left"/>
              <w:rPr>
                <w:rFonts w:ascii="仿宋" w:hAnsi="仿宋" w:eastAsia="仿宋" w:cs="宋体"/>
                <w:b/>
                <w:bCs/>
                <w:kern w:val="0"/>
                <w:sz w:val="24"/>
                <w:szCs w:val="24"/>
              </w:rPr>
            </w:pPr>
          </w:p>
          <w:p>
            <w:pPr>
              <w:jc w:val="center"/>
              <w:rPr>
                <w:rFonts w:ascii="方正小标宋简体" w:eastAsia="方正小标宋简体" w:hAnsiTheme="majorEastAsia" w:cstheme="majorEastAsia"/>
                <w:bCs/>
                <w:color w:val="000000" w:themeColor="text1"/>
                <w:sz w:val="44"/>
                <w:szCs w:val="44"/>
              </w:rPr>
            </w:pPr>
            <w:r>
              <w:rPr>
                <w:rFonts w:hint="eastAsia" w:ascii="仿宋" w:hAnsi="仿宋" w:eastAsia="仿宋" w:cs="宋体"/>
                <w:b/>
                <w:bCs/>
                <w:kern w:val="0"/>
                <w:sz w:val="24"/>
                <w:szCs w:val="24"/>
              </w:rPr>
              <w:t xml:space="preserve">   </w:t>
            </w:r>
            <w:r>
              <w:rPr>
                <w:rFonts w:hint="eastAsia" w:ascii="仿宋" w:hAnsi="仿宋" w:eastAsia="仿宋" w:cs="宋体"/>
                <w:b/>
                <w:bCs/>
                <w:kern w:val="0"/>
                <w:sz w:val="24"/>
                <w:szCs w:val="24"/>
                <w:lang w:val="en-US" w:eastAsia="zh-CN"/>
              </w:rPr>
              <w:t xml:space="preserve">        </w:t>
            </w:r>
            <w:r>
              <w:rPr>
                <w:rFonts w:hint="eastAsia" w:ascii="仿宋" w:hAnsi="仿宋" w:eastAsia="仿宋" w:cs="宋体"/>
                <w:b/>
                <w:bCs/>
                <w:kern w:val="0"/>
                <w:sz w:val="24"/>
                <w:szCs w:val="24"/>
                <w:lang w:eastAsia="zh-CN"/>
              </w:rPr>
              <w:t>平阿山非煤矿山生态修复专项生态管护项目</w:t>
            </w:r>
            <w:r>
              <w:rPr>
                <w:rFonts w:hint="eastAsia" w:ascii="仿宋" w:hAnsi="仿宋" w:eastAsia="仿宋" w:cs="宋体"/>
                <w:b/>
                <w:bCs/>
                <w:kern w:val="0"/>
                <w:sz w:val="24"/>
                <w:szCs w:val="24"/>
              </w:rPr>
              <w:t>绩效评价评分情况表</w:t>
            </w:r>
          </w:p>
          <w:p>
            <w:pPr>
              <w:widowControl/>
              <w:jc w:val="left"/>
              <w:rPr>
                <w:rFonts w:ascii="仿宋" w:hAnsi="仿宋" w:eastAsia="仿宋" w:cs="宋体"/>
                <w:b/>
                <w:bCs/>
                <w:kern w:val="0"/>
                <w:sz w:val="24"/>
                <w:szCs w:val="24"/>
              </w:rPr>
            </w:pPr>
          </w:p>
        </w:tc>
      </w:tr>
      <w:tr>
        <w:tblPrEx>
          <w:tblCellMar>
            <w:top w:w="0" w:type="dxa"/>
            <w:left w:w="108" w:type="dxa"/>
            <w:bottom w:w="0" w:type="dxa"/>
            <w:right w:w="108" w:type="dxa"/>
          </w:tblCellMar>
        </w:tblPrEx>
        <w:trPr>
          <w:trHeight w:val="90" w:hRule="atLeast"/>
        </w:trPr>
        <w:tc>
          <w:tcPr>
            <w:tcW w:w="51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68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一级</w:t>
            </w:r>
            <w:r>
              <w:rPr>
                <w:rFonts w:hint="eastAsia" w:ascii="仿宋" w:hAnsi="仿宋" w:eastAsia="仿宋" w:cs="宋体"/>
                <w:b/>
                <w:bCs/>
                <w:kern w:val="0"/>
                <w:sz w:val="18"/>
                <w:szCs w:val="18"/>
              </w:rPr>
              <w:br w:type="textWrapping"/>
            </w:r>
            <w:r>
              <w:rPr>
                <w:rFonts w:hint="eastAsia" w:ascii="仿宋" w:hAnsi="仿宋" w:eastAsia="仿宋" w:cs="宋体"/>
                <w:b/>
                <w:bCs/>
                <w:kern w:val="0"/>
                <w:sz w:val="18"/>
                <w:szCs w:val="18"/>
              </w:rPr>
              <w:t>指标</w:t>
            </w:r>
          </w:p>
        </w:tc>
        <w:tc>
          <w:tcPr>
            <w:tcW w:w="136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二级</w:t>
            </w:r>
            <w:r>
              <w:rPr>
                <w:rFonts w:hint="eastAsia" w:ascii="仿宋" w:hAnsi="仿宋" w:eastAsia="仿宋" w:cs="宋体"/>
                <w:b/>
                <w:bCs/>
                <w:kern w:val="0"/>
                <w:sz w:val="18"/>
                <w:szCs w:val="18"/>
              </w:rPr>
              <w:br w:type="textWrapping"/>
            </w:r>
            <w:r>
              <w:rPr>
                <w:rFonts w:hint="eastAsia" w:ascii="仿宋" w:hAnsi="仿宋" w:eastAsia="仿宋" w:cs="宋体"/>
                <w:b/>
                <w:bCs/>
                <w:kern w:val="0"/>
                <w:sz w:val="18"/>
                <w:szCs w:val="18"/>
              </w:rPr>
              <w:t>指标</w:t>
            </w:r>
          </w:p>
        </w:tc>
        <w:tc>
          <w:tcPr>
            <w:tcW w:w="2009"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三级</w:t>
            </w:r>
            <w:r>
              <w:rPr>
                <w:rFonts w:hint="eastAsia" w:ascii="仿宋" w:hAnsi="仿宋" w:eastAsia="仿宋" w:cs="宋体"/>
                <w:b/>
                <w:bCs/>
                <w:kern w:val="0"/>
                <w:sz w:val="18"/>
                <w:szCs w:val="18"/>
              </w:rPr>
              <w:br w:type="textWrapping"/>
            </w:r>
            <w:r>
              <w:rPr>
                <w:rFonts w:hint="eastAsia" w:ascii="仿宋" w:hAnsi="仿宋" w:eastAsia="仿宋" w:cs="宋体"/>
                <w:b/>
                <w:bCs/>
                <w:kern w:val="0"/>
                <w:sz w:val="18"/>
                <w:szCs w:val="18"/>
              </w:rPr>
              <w:t>指标</w:t>
            </w:r>
          </w:p>
        </w:tc>
        <w:tc>
          <w:tcPr>
            <w:tcW w:w="88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标准分值</w:t>
            </w:r>
          </w:p>
        </w:tc>
        <w:tc>
          <w:tcPr>
            <w:tcW w:w="298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评分情况</w:t>
            </w:r>
          </w:p>
        </w:tc>
        <w:tc>
          <w:tcPr>
            <w:tcW w:w="72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得分</w:t>
            </w:r>
          </w:p>
        </w:tc>
        <w:tc>
          <w:tcPr>
            <w:tcW w:w="62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扣分</w:t>
            </w:r>
          </w:p>
        </w:tc>
      </w:tr>
      <w:tr>
        <w:tblPrEx>
          <w:tblCellMar>
            <w:top w:w="0" w:type="dxa"/>
            <w:left w:w="108" w:type="dxa"/>
            <w:bottom w:w="0" w:type="dxa"/>
            <w:right w:w="108" w:type="dxa"/>
          </w:tblCellMar>
        </w:tblPrEx>
        <w:trPr>
          <w:trHeight w:val="1890" w:hRule="atLeast"/>
        </w:trPr>
        <w:tc>
          <w:tcPr>
            <w:tcW w:w="51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w:t>
            </w:r>
          </w:p>
        </w:tc>
        <w:tc>
          <w:tcPr>
            <w:tcW w:w="68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决策（</w:t>
            </w:r>
            <w:r>
              <w:rPr>
                <w:rFonts w:hint="eastAsia" w:ascii="仿宋" w:hAnsi="仿宋" w:eastAsia="仿宋" w:cs="宋体"/>
                <w:kern w:val="0"/>
                <w:sz w:val="16"/>
                <w:szCs w:val="16"/>
                <w:lang w:val="en-US" w:eastAsia="zh-CN"/>
              </w:rPr>
              <w:t>20</w:t>
            </w:r>
            <w:r>
              <w:rPr>
                <w:rFonts w:hint="eastAsia" w:ascii="仿宋" w:hAnsi="仿宋" w:eastAsia="仿宋" w:cs="宋体"/>
                <w:kern w:val="0"/>
                <w:sz w:val="16"/>
                <w:szCs w:val="16"/>
              </w:rPr>
              <w:t>分）</w:t>
            </w:r>
          </w:p>
        </w:tc>
        <w:tc>
          <w:tcPr>
            <w:tcW w:w="136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项目立项（</w:t>
            </w:r>
            <w:r>
              <w:rPr>
                <w:rFonts w:hint="eastAsia" w:ascii="仿宋" w:hAnsi="仿宋" w:eastAsia="仿宋" w:cs="宋体"/>
                <w:kern w:val="0"/>
                <w:sz w:val="16"/>
                <w:szCs w:val="16"/>
                <w:lang w:val="en-US" w:eastAsia="zh-CN"/>
              </w:rPr>
              <w:t>10</w:t>
            </w:r>
            <w:r>
              <w:rPr>
                <w:rFonts w:hint="eastAsia" w:ascii="仿宋" w:hAnsi="仿宋" w:eastAsia="仿宋" w:cs="宋体"/>
                <w:kern w:val="0"/>
                <w:sz w:val="16"/>
                <w:szCs w:val="16"/>
              </w:rPr>
              <w:t>分）</w:t>
            </w:r>
          </w:p>
        </w:tc>
        <w:tc>
          <w:tcPr>
            <w:tcW w:w="200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立项依据充分性</w:t>
            </w:r>
          </w:p>
        </w:tc>
        <w:tc>
          <w:tcPr>
            <w:tcW w:w="88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5</w:t>
            </w:r>
          </w:p>
        </w:tc>
        <w:tc>
          <w:tcPr>
            <w:tcW w:w="298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该项目</w:t>
            </w:r>
            <w:r>
              <w:rPr>
                <w:rFonts w:hint="eastAsia" w:ascii="仿宋" w:hAnsi="仿宋" w:eastAsia="仿宋" w:cs="宋体"/>
                <w:kern w:val="0"/>
                <w:sz w:val="16"/>
                <w:szCs w:val="16"/>
                <w:lang w:eastAsia="zh-CN"/>
              </w:rPr>
              <w:t>根据</w:t>
            </w:r>
            <w:r>
              <w:rPr>
                <w:rFonts w:hint="eastAsia" w:ascii="仿宋" w:hAnsi="仿宋" w:eastAsia="仿宋" w:cs="宋体"/>
                <w:kern w:val="0"/>
                <w:sz w:val="16"/>
                <w:szCs w:val="16"/>
              </w:rPr>
              <w:t>《</w:t>
            </w:r>
            <w:r>
              <w:rPr>
                <w:rFonts w:hint="eastAsia" w:ascii="仿宋" w:hAnsi="仿宋" w:eastAsia="仿宋" w:cs="宋体"/>
                <w:kern w:val="0"/>
                <w:sz w:val="16"/>
                <w:szCs w:val="16"/>
                <w:lang w:eastAsia="zh-CN"/>
              </w:rPr>
              <w:t>中共中央、国务院《关于印发〈国有林场改革方案〉和〈国有林区改革指导意见〉的通知》（中发[2015]6号）</w:t>
            </w:r>
            <w:r>
              <w:rPr>
                <w:rFonts w:hint="eastAsia" w:ascii="仿宋" w:hAnsi="仿宋" w:eastAsia="仿宋" w:cs="宋体"/>
                <w:kern w:val="0"/>
                <w:sz w:val="16"/>
                <w:szCs w:val="16"/>
              </w:rPr>
              <w:t>的相关规定，不与相关部门同类项目或部门内部相关项目重复，得分。</w:t>
            </w:r>
          </w:p>
        </w:tc>
        <w:tc>
          <w:tcPr>
            <w:tcW w:w="72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lang w:val="en-US" w:eastAsia="zh-CN"/>
              </w:rPr>
              <w:t>5</w:t>
            </w:r>
            <w:r>
              <w:rPr>
                <w:rFonts w:hint="eastAsia" w:ascii="仿宋" w:hAnsi="仿宋" w:eastAsia="仿宋" w:cs="宋体"/>
                <w:kern w:val="0"/>
                <w:sz w:val="16"/>
                <w:szCs w:val="16"/>
              </w:rPr>
              <w:t xml:space="preserve"> </w:t>
            </w:r>
          </w:p>
        </w:tc>
        <w:tc>
          <w:tcPr>
            <w:tcW w:w="62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420" w:hRule="atLeast"/>
        </w:trPr>
        <w:tc>
          <w:tcPr>
            <w:tcW w:w="51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w:t>
            </w:r>
          </w:p>
        </w:tc>
        <w:tc>
          <w:tcPr>
            <w:tcW w:w="68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16"/>
                <w:szCs w:val="16"/>
              </w:rPr>
            </w:pPr>
          </w:p>
        </w:tc>
        <w:tc>
          <w:tcPr>
            <w:tcW w:w="136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16"/>
                <w:szCs w:val="16"/>
              </w:rPr>
            </w:pPr>
          </w:p>
        </w:tc>
        <w:tc>
          <w:tcPr>
            <w:tcW w:w="200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立项程序规范性</w:t>
            </w:r>
          </w:p>
        </w:tc>
        <w:tc>
          <w:tcPr>
            <w:tcW w:w="88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5</w:t>
            </w:r>
          </w:p>
        </w:tc>
        <w:tc>
          <w:tcPr>
            <w:tcW w:w="298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该项目按照规定的程序申请设立，审批文件、材料符合相关要求得分</w:t>
            </w:r>
          </w:p>
        </w:tc>
        <w:tc>
          <w:tcPr>
            <w:tcW w:w="72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5</w:t>
            </w:r>
          </w:p>
        </w:tc>
        <w:tc>
          <w:tcPr>
            <w:tcW w:w="62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840" w:hRule="atLeast"/>
        </w:trPr>
        <w:tc>
          <w:tcPr>
            <w:tcW w:w="51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3</w:t>
            </w:r>
          </w:p>
        </w:tc>
        <w:tc>
          <w:tcPr>
            <w:tcW w:w="68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16"/>
                <w:szCs w:val="16"/>
              </w:rPr>
            </w:pPr>
          </w:p>
        </w:tc>
        <w:tc>
          <w:tcPr>
            <w:tcW w:w="136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绩效目标（6分）</w:t>
            </w:r>
          </w:p>
        </w:tc>
        <w:tc>
          <w:tcPr>
            <w:tcW w:w="200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绩效目标合理性</w:t>
            </w:r>
          </w:p>
        </w:tc>
        <w:tc>
          <w:tcPr>
            <w:tcW w:w="88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3</w:t>
            </w:r>
          </w:p>
        </w:tc>
        <w:tc>
          <w:tcPr>
            <w:tcW w:w="298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该项目绩效目标与实际工作内容有相关性得分，预期产出效益和效果符合正常的业绩水平得分。</w:t>
            </w:r>
          </w:p>
        </w:tc>
        <w:tc>
          <w:tcPr>
            <w:tcW w:w="72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3 </w:t>
            </w:r>
          </w:p>
        </w:tc>
        <w:tc>
          <w:tcPr>
            <w:tcW w:w="62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630" w:hRule="atLeast"/>
        </w:trPr>
        <w:tc>
          <w:tcPr>
            <w:tcW w:w="51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4</w:t>
            </w:r>
          </w:p>
        </w:tc>
        <w:tc>
          <w:tcPr>
            <w:tcW w:w="68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16"/>
                <w:szCs w:val="16"/>
              </w:rPr>
            </w:pPr>
          </w:p>
        </w:tc>
        <w:tc>
          <w:tcPr>
            <w:tcW w:w="136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16"/>
                <w:szCs w:val="16"/>
              </w:rPr>
            </w:pPr>
          </w:p>
        </w:tc>
        <w:tc>
          <w:tcPr>
            <w:tcW w:w="200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绩效指标明确性</w:t>
            </w:r>
          </w:p>
        </w:tc>
        <w:tc>
          <w:tcPr>
            <w:tcW w:w="88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3</w:t>
            </w:r>
          </w:p>
        </w:tc>
        <w:tc>
          <w:tcPr>
            <w:tcW w:w="298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该项目绩效目标已按奖励标准细化分解为具体的绩效指标，可以通过清晰、可衡量的指标值予以体现得分。</w:t>
            </w:r>
          </w:p>
        </w:tc>
        <w:tc>
          <w:tcPr>
            <w:tcW w:w="72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3 </w:t>
            </w:r>
          </w:p>
        </w:tc>
        <w:tc>
          <w:tcPr>
            <w:tcW w:w="62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420" w:hRule="atLeast"/>
        </w:trPr>
        <w:tc>
          <w:tcPr>
            <w:tcW w:w="51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5</w:t>
            </w:r>
          </w:p>
        </w:tc>
        <w:tc>
          <w:tcPr>
            <w:tcW w:w="68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16"/>
                <w:szCs w:val="16"/>
              </w:rPr>
            </w:pPr>
          </w:p>
        </w:tc>
        <w:tc>
          <w:tcPr>
            <w:tcW w:w="136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资金投入（4分）</w:t>
            </w:r>
          </w:p>
        </w:tc>
        <w:tc>
          <w:tcPr>
            <w:tcW w:w="200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预算编制科学性</w:t>
            </w:r>
          </w:p>
        </w:tc>
        <w:tc>
          <w:tcPr>
            <w:tcW w:w="88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2</w:t>
            </w:r>
          </w:p>
        </w:tc>
        <w:tc>
          <w:tcPr>
            <w:tcW w:w="298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该项目支出已纳入年度预算，预算内容与项目内容相匹配得分。</w:t>
            </w:r>
          </w:p>
        </w:tc>
        <w:tc>
          <w:tcPr>
            <w:tcW w:w="72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2 </w:t>
            </w:r>
          </w:p>
        </w:tc>
        <w:tc>
          <w:tcPr>
            <w:tcW w:w="62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420" w:hRule="atLeast"/>
        </w:trPr>
        <w:tc>
          <w:tcPr>
            <w:tcW w:w="51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6</w:t>
            </w:r>
          </w:p>
        </w:tc>
        <w:tc>
          <w:tcPr>
            <w:tcW w:w="68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16"/>
                <w:szCs w:val="16"/>
              </w:rPr>
            </w:pPr>
          </w:p>
        </w:tc>
        <w:tc>
          <w:tcPr>
            <w:tcW w:w="136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16"/>
                <w:szCs w:val="16"/>
              </w:rPr>
            </w:pPr>
          </w:p>
        </w:tc>
        <w:tc>
          <w:tcPr>
            <w:tcW w:w="200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资金分配合理性</w:t>
            </w:r>
          </w:p>
        </w:tc>
        <w:tc>
          <w:tcPr>
            <w:tcW w:w="88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2</w:t>
            </w:r>
          </w:p>
        </w:tc>
        <w:tc>
          <w:tcPr>
            <w:tcW w:w="298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该项目预算资金分配依据充分，资金分配合理得分。</w:t>
            </w:r>
          </w:p>
        </w:tc>
        <w:tc>
          <w:tcPr>
            <w:tcW w:w="72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2 </w:t>
            </w:r>
          </w:p>
        </w:tc>
        <w:tc>
          <w:tcPr>
            <w:tcW w:w="62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270" w:hRule="atLeast"/>
        </w:trPr>
        <w:tc>
          <w:tcPr>
            <w:tcW w:w="51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7</w:t>
            </w:r>
          </w:p>
        </w:tc>
        <w:tc>
          <w:tcPr>
            <w:tcW w:w="68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过程（25分）</w:t>
            </w:r>
          </w:p>
        </w:tc>
        <w:tc>
          <w:tcPr>
            <w:tcW w:w="136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资金管理（2</w:t>
            </w:r>
            <w:r>
              <w:rPr>
                <w:rFonts w:hint="eastAsia" w:ascii="仿宋" w:hAnsi="仿宋" w:eastAsia="仿宋" w:cs="宋体"/>
                <w:kern w:val="0"/>
                <w:sz w:val="16"/>
                <w:szCs w:val="16"/>
                <w:lang w:val="en-US" w:eastAsia="zh-CN"/>
              </w:rPr>
              <w:t>1</w:t>
            </w:r>
            <w:r>
              <w:rPr>
                <w:rFonts w:hint="eastAsia" w:ascii="仿宋" w:hAnsi="仿宋" w:eastAsia="仿宋" w:cs="宋体"/>
                <w:kern w:val="0"/>
                <w:sz w:val="16"/>
                <w:szCs w:val="16"/>
              </w:rPr>
              <w:t>分）</w:t>
            </w:r>
          </w:p>
        </w:tc>
        <w:tc>
          <w:tcPr>
            <w:tcW w:w="200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资金到位率</w:t>
            </w:r>
          </w:p>
        </w:tc>
        <w:tc>
          <w:tcPr>
            <w:tcW w:w="88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2</w:t>
            </w:r>
          </w:p>
        </w:tc>
        <w:tc>
          <w:tcPr>
            <w:tcW w:w="298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该项目资金到位率为100%，</w:t>
            </w:r>
            <w:r>
              <w:rPr>
                <w:rFonts w:hint="eastAsia" w:ascii="仿宋" w:hAnsi="仿宋" w:eastAsia="仿宋" w:cs="宋体"/>
                <w:kern w:val="0"/>
                <w:sz w:val="16"/>
                <w:szCs w:val="16"/>
                <w:lang w:eastAsia="zh-CN"/>
              </w:rPr>
              <w:t>合理得分</w:t>
            </w:r>
            <w:r>
              <w:rPr>
                <w:rFonts w:hint="eastAsia" w:ascii="仿宋" w:hAnsi="仿宋" w:eastAsia="仿宋" w:cs="宋体"/>
                <w:kern w:val="0"/>
                <w:sz w:val="16"/>
                <w:szCs w:val="16"/>
              </w:rPr>
              <w:t>。</w:t>
            </w:r>
          </w:p>
        </w:tc>
        <w:tc>
          <w:tcPr>
            <w:tcW w:w="72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2</w:t>
            </w:r>
          </w:p>
        </w:tc>
        <w:tc>
          <w:tcPr>
            <w:tcW w:w="62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w:t>
            </w:r>
          </w:p>
        </w:tc>
      </w:tr>
      <w:tr>
        <w:tblPrEx>
          <w:tblCellMar>
            <w:top w:w="0" w:type="dxa"/>
            <w:left w:w="108" w:type="dxa"/>
            <w:bottom w:w="0" w:type="dxa"/>
            <w:right w:w="108" w:type="dxa"/>
          </w:tblCellMar>
        </w:tblPrEx>
        <w:trPr>
          <w:trHeight w:val="270" w:hRule="atLeast"/>
        </w:trPr>
        <w:tc>
          <w:tcPr>
            <w:tcW w:w="51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8</w:t>
            </w:r>
          </w:p>
        </w:tc>
        <w:tc>
          <w:tcPr>
            <w:tcW w:w="68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16"/>
                <w:szCs w:val="16"/>
              </w:rPr>
            </w:pPr>
          </w:p>
        </w:tc>
        <w:tc>
          <w:tcPr>
            <w:tcW w:w="136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16"/>
                <w:szCs w:val="16"/>
              </w:rPr>
            </w:pPr>
          </w:p>
        </w:tc>
        <w:tc>
          <w:tcPr>
            <w:tcW w:w="200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预算执行率</w:t>
            </w:r>
          </w:p>
        </w:tc>
        <w:tc>
          <w:tcPr>
            <w:tcW w:w="884"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10</w:t>
            </w:r>
          </w:p>
        </w:tc>
        <w:tc>
          <w:tcPr>
            <w:tcW w:w="298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项目预算执行率为</w:t>
            </w:r>
            <w:r>
              <w:rPr>
                <w:rFonts w:hint="eastAsia" w:ascii="仿宋" w:hAnsi="仿宋" w:eastAsia="仿宋" w:cs="宋体"/>
                <w:kern w:val="0"/>
                <w:sz w:val="16"/>
                <w:szCs w:val="16"/>
                <w:lang w:val="en-US" w:eastAsia="zh-CN"/>
              </w:rPr>
              <w:t>100</w:t>
            </w:r>
            <w:r>
              <w:rPr>
                <w:rFonts w:hint="eastAsia" w:ascii="仿宋" w:hAnsi="仿宋" w:eastAsia="仿宋" w:cs="宋体"/>
                <w:kern w:val="0"/>
                <w:sz w:val="16"/>
                <w:szCs w:val="16"/>
              </w:rPr>
              <w:t>%，</w:t>
            </w:r>
            <w:r>
              <w:rPr>
                <w:rFonts w:hint="eastAsia" w:ascii="仿宋" w:hAnsi="仿宋" w:eastAsia="仿宋" w:cs="宋体"/>
                <w:kern w:val="0"/>
                <w:sz w:val="16"/>
                <w:szCs w:val="16"/>
                <w:lang w:eastAsia="zh-CN"/>
              </w:rPr>
              <w:t>合理得分</w:t>
            </w:r>
            <w:r>
              <w:rPr>
                <w:rFonts w:hint="eastAsia" w:ascii="仿宋" w:hAnsi="仿宋" w:eastAsia="仿宋" w:cs="宋体"/>
                <w:kern w:val="0"/>
                <w:sz w:val="16"/>
                <w:szCs w:val="16"/>
              </w:rPr>
              <w:t>。</w:t>
            </w:r>
          </w:p>
        </w:tc>
        <w:tc>
          <w:tcPr>
            <w:tcW w:w="723"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10</w:t>
            </w:r>
          </w:p>
        </w:tc>
        <w:tc>
          <w:tcPr>
            <w:tcW w:w="621"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0</w:t>
            </w:r>
          </w:p>
        </w:tc>
      </w:tr>
      <w:tr>
        <w:tblPrEx>
          <w:tblCellMar>
            <w:top w:w="0" w:type="dxa"/>
            <w:left w:w="108" w:type="dxa"/>
            <w:bottom w:w="0" w:type="dxa"/>
            <w:right w:w="108" w:type="dxa"/>
          </w:tblCellMar>
        </w:tblPrEx>
        <w:trPr>
          <w:trHeight w:val="630" w:hRule="atLeast"/>
        </w:trPr>
        <w:tc>
          <w:tcPr>
            <w:tcW w:w="51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9</w:t>
            </w:r>
          </w:p>
        </w:tc>
        <w:tc>
          <w:tcPr>
            <w:tcW w:w="68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16"/>
                <w:szCs w:val="16"/>
              </w:rPr>
            </w:pPr>
          </w:p>
        </w:tc>
        <w:tc>
          <w:tcPr>
            <w:tcW w:w="136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16"/>
                <w:szCs w:val="16"/>
              </w:rPr>
            </w:pPr>
          </w:p>
        </w:tc>
        <w:tc>
          <w:tcPr>
            <w:tcW w:w="200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资金使用合规性</w:t>
            </w:r>
          </w:p>
        </w:tc>
        <w:tc>
          <w:tcPr>
            <w:tcW w:w="88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3</w:t>
            </w:r>
          </w:p>
        </w:tc>
        <w:tc>
          <w:tcPr>
            <w:tcW w:w="298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该项目已制定财务管理办法，资金的拨付有完整的审批程序和手续，符合文件规定的用途，得分。</w:t>
            </w:r>
          </w:p>
        </w:tc>
        <w:tc>
          <w:tcPr>
            <w:tcW w:w="72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3 </w:t>
            </w:r>
          </w:p>
        </w:tc>
        <w:tc>
          <w:tcPr>
            <w:tcW w:w="62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1260" w:hRule="atLeast"/>
        </w:trPr>
        <w:tc>
          <w:tcPr>
            <w:tcW w:w="51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10</w:t>
            </w:r>
          </w:p>
        </w:tc>
        <w:tc>
          <w:tcPr>
            <w:tcW w:w="68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16"/>
                <w:szCs w:val="16"/>
              </w:rPr>
            </w:pPr>
          </w:p>
        </w:tc>
        <w:tc>
          <w:tcPr>
            <w:tcW w:w="136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16"/>
                <w:szCs w:val="16"/>
              </w:rPr>
            </w:pPr>
          </w:p>
        </w:tc>
        <w:tc>
          <w:tcPr>
            <w:tcW w:w="200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绩效自评内容准确、完整性</w:t>
            </w:r>
          </w:p>
        </w:tc>
        <w:tc>
          <w:tcPr>
            <w:tcW w:w="88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3</w:t>
            </w:r>
          </w:p>
        </w:tc>
        <w:tc>
          <w:tcPr>
            <w:tcW w:w="298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该项目自评表中各项内容已按要求填写完整，财政资金执行进度符合当年财政大平台指标执行进度数据，绩效目标已完成，得</w:t>
            </w:r>
            <w:r>
              <w:rPr>
                <w:rFonts w:hint="eastAsia" w:ascii="仿宋" w:hAnsi="仿宋" w:eastAsia="仿宋" w:cs="宋体"/>
                <w:kern w:val="0"/>
                <w:sz w:val="16"/>
                <w:szCs w:val="16"/>
                <w:lang w:val="en-US" w:eastAsia="zh-CN"/>
              </w:rPr>
              <w:t>4</w:t>
            </w:r>
            <w:r>
              <w:rPr>
                <w:rFonts w:hint="eastAsia" w:ascii="仿宋" w:hAnsi="仿宋" w:eastAsia="仿宋" w:cs="宋体"/>
                <w:kern w:val="0"/>
                <w:sz w:val="16"/>
                <w:szCs w:val="16"/>
              </w:rPr>
              <w:t>分。</w:t>
            </w:r>
          </w:p>
        </w:tc>
        <w:tc>
          <w:tcPr>
            <w:tcW w:w="72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3</w:t>
            </w:r>
          </w:p>
        </w:tc>
        <w:tc>
          <w:tcPr>
            <w:tcW w:w="6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0</w:t>
            </w:r>
          </w:p>
        </w:tc>
      </w:tr>
      <w:tr>
        <w:tblPrEx>
          <w:tblCellMar>
            <w:top w:w="0" w:type="dxa"/>
            <w:left w:w="108" w:type="dxa"/>
            <w:bottom w:w="0" w:type="dxa"/>
            <w:right w:w="108" w:type="dxa"/>
          </w:tblCellMar>
        </w:tblPrEx>
        <w:trPr>
          <w:trHeight w:val="420" w:hRule="atLeast"/>
        </w:trPr>
        <w:tc>
          <w:tcPr>
            <w:tcW w:w="51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11</w:t>
            </w:r>
          </w:p>
        </w:tc>
        <w:tc>
          <w:tcPr>
            <w:tcW w:w="68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16"/>
                <w:szCs w:val="16"/>
              </w:rPr>
            </w:pPr>
          </w:p>
        </w:tc>
        <w:tc>
          <w:tcPr>
            <w:tcW w:w="136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16"/>
                <w:szCs w:val="16"/>
              </w:rPr>
            </w:pPr>
          </w:p>
        </w:tc>
        <w:tc>
          <w:tcPr>
            <w:tcW w:w="200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绩效自评结论真实性</w:t>
            </w:r>
          </w:p>
        </w:tc>
        <w:tc>
          <w:tcPr>
            <w:tcW w:w="88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3</w:t>
            </w:r>
          </w:p>
        </w:tc>
        <w:tc>
          <w:tcPr>
            <w:tcW w:w="298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该项目实际绩效复评结论与单位自评结论相比一致，得分。</w:t>
            </w:r>
          </w:p>
        </w:tc>
        <w:tc>
          <w:tcPr>
            <w:tcW w:w="72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3</w:t>
            </w:r>
          </w:p>
        </w:tc>
        <w:tc>
          <w:tcPr>
            <w:tcW w:w="62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420" w:hRule="atLeast"/>
        </w:trPr>
        <w:tc>
          <w:tcPr>
            <w:tcW w:w="51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12</w:t>
            </w:r>
          </w:p>
        </w:tc>
        <w:tc>
          <w:tcPr>
            <w:tcW w:w="68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16"/>
                <w:szCs w:val="16"/>
              </w:rPr>
            </w:pPr>
          </w:p>
        </w:tc>
        <w:tc>
          <w:tcPr>
            <w:tcW w:w="136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组织实施（</w:t>
            </w:r>
            <w:r>
              <w:rPr>
                <w:rFonts w:hint="eastAsia" w:ascii="仿宋" w:hAnsi="仿宋" w:eastAsia="仿宋" w:cs="宋体"/>
                <w:kern w:val="0"/>
                <w:sz w:val="16"/>
                <w:szCs w:val="16"/>
                <w:lang w:val="en-US" w:eastAsia="zh-CN"/>
              </w:rPr>
              <w:t>4</w:t>
            </w:r>
            <w:r>
              <w:rPr>
                <w:rFonts w:hint="eastAsia" w:ascii="仿宋" w:hAnsi="仿宋" w:eastAsia="仿宋" w:cs="宋体"/>
                <w:kern w:val="0"/>
                <w:sz w:val="16"/>
                <w:szCs w:val="16"/>
              </w:rPr>
              <w:t>分）</w:t>
            </w:r>
          </w:p>
        </w:tc>
        <w:tc>
          <w:tcPr>
            <w:tcW w:w="200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管理制度健全性</w:t>
            </w:r>
          </w:p>
        </w:tc>
        <w:tc>
          <w:tcPr>
            <w:tcW w:w="88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2</w:t>
            </w:r>
          </w:p>
        </w:tc>
        <w:tc>
          <w:tcPr>
            <w:tcW w:w="298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该项目已制定相应的财务和业务管理制度,财务和业务管理制度合规、完整,得分。</w:t>
            </w:r>
          </w:p>
        </w:tc>
        <w:tc>
          <w:tcPr>
            <w:tcW w:w="72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2</w:t>
            </w:r>
          </w:p>
        </w:tc>
        <w:tc>
          <w:tcPr>
            <w:tcW w:w="62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420" w:hRule="atLeast"/>
        </w:trPr>
        <w:tc>
          <w:tcPr>
            <w:tcW w:w="51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13</w:t>
            </w:r>
          </w:p>
        </w:tc>
        <w:tc>
          <w:tcPr>
            <w:tcW w:w="68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16"/>
                <w:szCs w:val="16"/>
              </w:rPr>
            </w:pPr>
          </w:p>
        </w:tc>
        <w:tc>
          <w:tcPr>
            <w:tcW w:w="136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16"/>
                <w:szCs w:val="16"/>
              </w:rPr>
            </w:pPr>
          </w:p>
        </w:tc>
        <w:tc>
          <w:tcPr>
            <w:tcW w:w="200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制度执行有效性</w:t>
            </w:r>
          </w:p>
        </w:tc>
        <w:tc>
          <w:tcPr>
            <w:tcW w:w="88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2</w:t>
            </w:r>
          </w:p>
        </w:tc>
        <w:tc>
          <w:tcPr>
            <w:tcW w:w="298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该项目申报、总结资料齐全、完整，得分。</w:t>
            </w:r>
          </w:p>
        </w:tc>
        <w:tc>
          <w:tcPr>
            <w:tcW w:w="72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2</w:t>
            </w:r>
          </w:p>
        </w:tc>
        <w:tc>
          <w:tcPr>
            <w:tcW w:w="62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630" w:hRule="atLeast"/>
        </w:trPr>
        <w:tc>
          <w:tcPr>
            <w:tcW w:w="5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14</w:t>
            </w:r>
          </w:p>
        </w:tc>
        <w:tc>
          <w:tcPr>
            <w:tcW w:w="688"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产出（30分）</w:t>
            </w:r>
          </w:p>
        </w:tc>
        <w:tc>
          <w:tcPr>
            <w:tcW w:w="1368" w:type="dxa"/>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产出数量（6分）</w:t>
            </w:r>
          </w:p>
        </w:tc>
        <w:tc>
          <w:tcPr>
            <w:tcW w:w="200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非煤矿山面积</w:t>
            </w:r>
          </w:p>
        </w:tc>
        <w:tc>
          <w:tcPr>
            <w:tcW w:w="88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6</w:t>
            </w:r>
          </w:p>
        </w:tc>
        <w:tc>
          <w:tcPr>
            <w:tcW w:w="2988" w:type="dxa"/>
            <w:tcBorders>
              <w:top w:val="nil"/>
              <w:left w:val="nil"/>
              <w:bottom w:val="single" w:color="auto" w:sz="4" w:space="0"/>
              <w:right w:val="single" w:color="auto" w:sz="4" w:space="0"/>
            </w:tcBorders>
            <w:shd w:val="clear" w:color="000000" w:fill="FFFFFF"/>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该项目本年</w:t>
            </w:r>
            <w:r>
              <w:rPr>
                <w:rFonts w:hint="eastAsia" w:ascii="仿宋" w:hAnsi="仿宋" w:eastAsia="仿宋" w:cs="宋体"/>
                <w:kern w:val="0"/>
                <w:sz w:val="16"/>
                <w:szCs w:val="16"/>
                <w:lang w:val="en-US" w:eastAsia="zh-CN"/>
              </w:rPr>
              <w:t>完成完成看护面积5018亩</w:t>
            </w:r>
            <w:r>
              <w:rPr>
                <w:rFonts w:hint="eastAsia" w:ascii="仿宋" w:hAnsi="仿宋" w:eastAsia="仿宋" w:cs="宋体"/>
                <w:kern w:val="0"/>
                <w:sz w:val="16"/>
                <w:szCs w:val="16"/>
              </w:rPr>
              <w:t>。</w:t>
            </w:r>
          </w:p>
        </w:tc>
        <w:tc>
          <w:tcPr>
            <w:tcW w:w="72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6</w:t>
            </w:r>
          </w:p>
        </w:tc>
        <w:tc>
          <w:tcPr>
            <w:tcW w:w="62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1086" w:hRule="atLeast"/>
        </w:trPr>
        <w:tc>
          <w:tcPr>
            <w:tcW w:w="5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15</w:t>
            </w:r>
          </w:p>
        </w:tc>
        <w:tc>
          <w:tcPr>
            <w:tcW w:w="68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 w:hAnsi="仿宋" w:eastAsia="仿宋" w:cs="宋体"/>
                <w:kern w:val="0"/>
                <w:sz w:val="16"/>
                <w:szCs w:val="16"/>
              </w:rPr>
            </w:pPr>
          </w:p>
        </w:tc>
        <w:tc>
          <w:tcPr>
            <w:tcW w:w="1368" w:type="dxa"/>
            <w:vMerge w:val="restart"/>
            <w:tcBorders>
              <w:top w:val="nil"/>
              <w:left w:val="nil"/>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产出质量（9分）</w:t>
            </w:r>
          </w:p>
        </w:tc>
        <w:tc>
          <w:tcPr>
            <w:tcW w:w="200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杜绝非法采挖山（皮）土石、破坏生态现象</w:t>
            </w:r>
          </w:p>
        </w:tc>
        <w:tc>
          <w:tcPr>
            <w:tcW w:w="88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5</w:t>
            </w:r>
          </w:p>
        </w:tc>
        <w:tc>
          <w:tcPr>
            <w:tcW w:w="2988"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本年度无</w:t>
            </w:r>
            <w:r>
              <w:rPr>
                <w:rFonts w:hint="eastAsia" w:ascii="仿宋" w:hAnsi="仿宋" w:eastAsia="仿宋" w:cs="宋体"/>
                <w:kern w:val="0"/>
                <w:sz w:val="16"/>
                <w:szCs w:val="16"/>
              </w:rPr>
              <w:t>杜绝非法采挖山（皮）土石、破坏生态现象</w:t>
            </w:r>
            <w:r>
              <w:rPr>
                <w:rFonts w:hint="eastAsia" w:ascii="仿宋" w:hAnsi="仿宋" w:eastAsia="仿宋" w:cs="宋体"/>
                <w:kern w:val="0"/>
                <w:sz w:val="16"/>
                <w:szCs w:val="16"/>
                <w:lang w:eastAsia="zh-CN"/>
              </w:rPr>
              <w:t>得分</w:t>
            </w:r>
          </w:p>
        </w:tc>
        <w:tc>
          <w:tcPr>
            <w:tcW w:w="72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5</w:t>
            </w:r>
          </w:p>
        </w:tc>
        <w:tc>
          <w:tcPr>
            <w:tcW w:w="62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1050" w:hRule="atLeast"/>
        </w:trPr>
        <w:tc>
          <w:tcPr>
            <w:tcW w:w="5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16</w:t>
            </w:r>
          </w:p>
        </w:tc>
        <w:tc>
          <w:tcPr>
            <w:tcW w:w="68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 w:hAnsi="仿宋" w:eastAsia="仿宋" w:cs="宋体"/>
                <w:kern w:val="0"/>
                <w:sz w:val="16"/>
                <w:szCs w:val="16"/>
              </w:rPr>
            </w:pPr>
          </w:p>
        </w:tc>
        <w:tc>
          <w:tcPr>
            <w:tcW w:w="1368" w:type="dxa"/>
            <w:vMerge w:val="continue"/>
            <w:tcBorders>
              <w:left w:val="nil"/>
              <w:right w:val="single" w:color="auto" w:sz="4" w:space="0"/>
            </w:tcBorders>
            <w:shd w:val="clear" w:color="000000" w:fill="FFFFFF"/>
            <w:noWrap w:val="0"/>
            <w:vAlign w:val="center"/>
          </w:tcPr>
          <w:p>
            <w:pPr>
              <w:widowControl/>
              <w:jc w:val="center"/>
              <w:rPr>
                <w:rFonts w:hint="eastAsia" w:ascii="仿宋" w:hAnsi="仿宋" w:eastAsia="仿宋" w:cs="宋体"/>
                <w:kern w:val="0"/>
                <w:sz w:val="16"/>
                <w:szCs w:val="16"/>
              </w:rPr>
            </w:pPr>
          </w:p>
        </w:tc>
        <w:tc>
          <w:tcPr>
            <w:tcW w:w="200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eastAsia="zh-CN"/>
              </w:rPr>
              <w:t>日常巡查覆盖率</w:t>
            </w:r>
          </w:p>
        </w:tc>
        <w:tc>
          <w:tcPr>
            <w:tcW w:w="884"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4</w:t>
            </w:r>
          </w:p>
        </w:tc>
        <w:tc>
          <w:tcPr>
            <w:tcW w:w="2988" w:type="dxa"/>
            <w:tcBorders>
              <w:top w:val="nil"/>
              <w:left w:val="nil"/>
              <w:bottom w:val="single" w:color="auto" w:sz="4" w:space="0"/>
              <w:right w:val="single" w:color="auto" w:sz="4" w:space="0"/>
            </w:tcBorders>
            <w:shd w:val="clear" w:color="000000" w:fill="FFFFFF"/>
            <w:noWrap w:val="0"/>
            <w:vAlign w:val="center"/>
          </w:tcPr>
          <w:p>
            <w:pPr>
              <w:widowControl/>
              <w:jc w:val="left"/>
              <w:rPr>
                <w:rFonts w:hint="default" w:ascii="仿宋" w:hAnsi="仿宋" w:eastAsia="仿宋" w:cs="宋体"/>
                <w:kern w:val="0"/>
                <w:sz w:val="16"/>
                <w:szCs w:val="16"/>
                <w:lang w:val="en-US" w:eastAsia="zh-CN"/>
              </w:rPr>
            </w:pPr>
            <w:r>
              <w:rPr>
                <w:rFonts w:hint="eastAsia" w:ascii="仿宋" w:hAnsi="仿宋" w:eastAsia="仿宋" w:cs="宋体"/>
                <w:kern w:val="0"/>
                <w:sz w:val="16"/>
                <w:szCs w:val="16"/>
                <w:lang w:eastAsia="zh-CN"/>
              </w:rPr>
              <w:t>本年度日常巡查覆盖率已达到</w:t>
            </w:r>
            <w:r>
              <w:rPr>
                <w:rFonts w:hint="eastAsia" w:ascii="仿宋" w:hAnsi="仿宋" w:eastAsia="仿宋" w:cs="宋体"/>
                <w:kern w:val="0"/>
                <w:sz w:val="16"/>
                <w:szCs w:val="16"/>
                <w:lang w:val="en-US" w:eastAsia="zh-CN"/>
              </w:rPr>
              <w:t>95%，得分</w:t>
            </w:r>
          </w:p>
        </w:tc>
        <w:tc>
          <w:tcPr>
            <w:tcW w:w="723"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4</w:t>
            </w:r>
          </w:p>
        </w:tc>
        <w:tc>
          <w:tcPr>
            <w:tcW w:w="6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0</w:t>
            </w:r>
          </w:p>
        </w:tc>
      </w:tr>
      <w:tr>
        <w:tblPrEx>
          <w:tblCellMar>
            <w:top w:w="0" w:type="dxa"/>
            <w:left w:w="108" w:type="dxa"/>
            <w:bottom w:w="0" w:type="dxa"/>
            <w:right w:w="108" w:type="dxa"/>
          </w:tblCellMar>
        </w:tblPrEx>
        <w:trPr>
          <w:trHeight w:val="1050" w:hRule="atLeast"/>
        </w:trPr>
        <w:tc>
          <w:tcPr>
            <w:tcW w:w="5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17</w:t>
            </w:r>
          </w:p>
        </w:tc>
        <w:tc>
          <w:tcPr>
            <w:tcW w:w="68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 w:hAnsi="仿宋" w:eastAsia="仿宋" w:cs="宋体"/>
                <w:kern w:val="0"/>
                <w:sz w:val="16"/>
                <w:szCs w:val="16"/>
              </w:rPr>
            </w:pPr>
          </w:p>
        </w:tc>
        <w:tc>
          <w:tcPr>
            <w:tcW w:w="1368" w:type="dxa"/>
            <w:tcBorders>
              <w:top w:val="single" w:color="auto" w:sz="4" w:space="0"/>
              <w:left w:val="nil"/>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产出时效（9分）</w:t>
            </w:r>
          </w:p>
        </w:tc>
        <w:tc>
          <w:tcPr>
            <w:tcW w:w="200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eastAsia="zh-CN"/>
              </w:rPr>
              <w:t>资金在规定时间内下达</w:t>
            </w:r>
          </w:p>
        </w:tc>
        <w:tc>
          <w:tcPr>
            <w:tcW w:w="88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9</w:t>
            </w:r>
          </w:p>
        </w:tc>
        <w:tc>
          <w:tcPr>
            <w:tcW w:w="2988" w:type="dxa"/>
            <w:tcBorders>
              <w:top w:val="nil"/>
              <w:left w:val="nil"/>
              <w:bottom w:val="single" w:color="auto" w:sz="4" w:space="0"/>
              <w:right w:val="single" w:color="auto" w:sz="4" w:space="0"/>
            </w:tcBorders>
            <w:shd w:val="clear" w:color="000000" w:fill="FFFFFF"/>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lang w:eastAsia="zh-CN"/>
              </w:rPr>
              <w:t>该项目</w:t>
            </w:r>
            <w:r>
              <w:rPr>
                <w:rFonts w:hint="eastAsia" w:ascii="仿宋" w:hAnsi="仿宋" w:eastAsia="仿宋" w:cs="宋体"/>
                <w:kern w:val="0"/>
                <w:sz w:val="16"/>
                <w:szCs w:val="16"/>
                <w:lang w:val="en-US" w:eastAsia="zh-CN"/>
              </w:rPr>
              <w:t>严格按照</w:t>
            </w:r>
            <w:r>
              <w:rPr>
                <w:rFonts w:hint="eastAsia" w:ascii="仿宋" w:hAnsi="仿宋" w:eastAsia="仿宋" w:cs="宋体"/>
                <w:kern w:val="0"/>
                <w:sz w:val="16"/>
                <w:szCs w:val="16"/>
                <w:lang w:eastAsia="zh-CN"/>
              </w:rPr>
              <w:t>《预算法》等法律法规规定的期限内分配下达，得分。</w:t>
            </w:r>
          </w:p>
        </w:tc>
        <w:tc>
          <w:tcPr>
            <w:tcW w:w="72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9</w:t>
            </w:r>
          </w:p>
        </w:tc>
        <w:tc>
          <w:tcPr>
            <w:tcW w:w="62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420" w:hRule="atLeast"/>
        </w:trPr>
        <w:tc>
          <w:tcPr>
            <w:tcW w:w="5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18</w:t>
            </w:r>
          </w:p>
        </w:tc>
        <w:tc>
          <w:tcPr>
            <w:tcW w:w="68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 w:hAnsi="仿宋" w:eastAsia="仿宋" w:cs="宋体"/>
                <w:kern w:val="0"/>
                <w:sz w:val="16"/>
                <w:szCs w:val="16"/>
              </w:rPr>
            </w:pPr>
          </w:p>
        </w:tc>
        <w:tc>
          <w:tcPr>
            <w:tcW w:w="13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产出成本（6分）</w:t>
            </w:r>
          </w:p>
        </w:tc>
        <w:tc>
          <w:tcPr>
            <w:tcW w:w="20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预算控制率</w:t>
            </w:r>
          </w:p>
        </w:tc>
        <w:tc>
          <w:tcPr>
            <w:tcW w:w="88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6</w:t>
            </w:r>
          </w:p>
        </w:tc>
        <w:tc>
          <w:tcPr>
            <w:tcW w:w="2988" w:type="dxa"/>
            <w:tcBorders>
              <w:top w:val="nil"/>
              <w:left w:val="nil"/>
              <w:bottom w:val="single" w:color="auto" w:sz="4" w:space="0"/>
              <w:right w:val="single" w:color="auto" w:sz="4" w:space="0"/>
            </w:tcBorders>
            <w:shd w:val="clear" w:color="000000" w:fill="FFFFFF"/>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该项目202</w:t>
            </w:r>
            <w:r>
              <w:rPr>
                <w:rFonts w:hint="eastAsia" w:ascii="仿宋" w:hAnsi="仿宋" w:eastAsia="仿宋" w:cs="宋体"/>
                <w:kern w:val="0"/>
                <w:sz w:val="16"/>
                <w:szCs w:val="16"/>
                <w:lang w:val="en-US" w:eastAsia="zh-CN"/>
              </w:rPr>
              <w:t>2</w:t>
            </w:r>
            <w:r>
              <w:rPr>
                <w:rFonts w:hint="eastAsia" w:ascii="仿宋" w:hAnsi="仿宋" w:eastAsia="仿宋" w:cs="宋体"/>
                <w:kern w:val="0"/>
                <w:sz w:val="16"/>
                <w:szCs w:val="16"/>
              </w:rPr>
              <w:t>年实际支付金额</w:t>
            </w:r>
            <w:r>
              <w:rPr>
                <w:rFonts w:hint="eastAsia" w:ascii="仿宋" w:hAnsi="仿宋" w:eastAsia="仿宋" w:cs="宋体"/>
                <w:kern w:val="0"/>
                <w:sz w:val="16"/>
                <w:szCs w:val="16"/>
                <w:lang w:val="en-US" w:eastAsia="zh-CN"/>
              </w:rPr>
              <w:t>3</w:t>
            </w:r>
            <w:r>
              <w:rPr>
                <w:rFonts w:hint="eastAsia" w:ascii="仿宋" w:hAnsi="仿宋" w:eastAsia="仿宋" w:cs="宋体"/>
                <w:kern w:val="0"/>
                <w:sz w:val="16"/>
                <w:szCs w:val="16"/>
              </w:rPr>
              <w:t>万元，</w:t>
            </w:r>
            <w:r>
              <w:rPr>
                <w:rFonts w:hint="eastAsia" w:ascii="仿宋" w:hAnsi="仿宋" w:eastAsia="仿宋" w:cs="宋体"/>
                <w:kern w:val="0"/>
                <w:sz w:val="16"/>
                <w:szCs w:val="16"/>
                <w:lang w:eastAsia="zh-CN"/>
              </w:rPr>
              <w:t>完成</w:t>
            </w:r>
            <w:r>
              <w:rPr>
                <w:rFonts w:hint="eastAsia" w:ascii="仿宋" w:hAnsi="仿宋" w:eastAsia="仿宋" w:cs="宋体"/>
                <w:kern w:val="0"/>
                <w:sz w:val="16"/>
                <w:szCs w:val="16"/>
                <w:lang w:val="en-US" w:eastAsia="zh-CN"/>
              </w:rPr>
              <w:t>100%</w:t>
            </w:r>
            <w:r>
              <w:rPr>
                <w:rFonts w:hint="eastAsia" w:ascii="仿宋" w:hAnsi="仿宋" w:eastAsia="仿宋" w:cs="宋体"/>
                <w:kern w:val="0"/>
                <w:sz w:val="16"/>
                <w:szCs w:val="16"/>
              </w:rPr>
              <w:t>，得分。</w:t>
            </w:r>
          </w:p>
        </w:tc>
        <w:tc>
          <w:tcPr>
            <w:tcW w:w="72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6 </w:t>
            </w:r>
          </w:p>
        </w:tc>
        <w:tc>
          <w:tcPr>
            <w:tcW w:w="62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840" w:hRule="atLeast"/>
        </w:trPr>
        <w:tc>
          <w:tcPr>
            <w:tcW w:w="5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19</w:t>
            </w:r>
          </w:p>
        </w:tc>
        <w:tc>
          <w:tcPr>
            <w:tcW w:w="688"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效益（</w:t>
            </w:r>
            <w:r>
              <w:rPr>
                <w:rFonts w:hint="eastAsia" w:ascii="仿宋" w:hAnsi="仿宋" w:eastAsia="仿宋" w:cs="宋体"/>
                <w:kern w:val="0"/>
                <w:sz w:val="16"/>
                <w:szCs w:val="16"/>
                <w:lang w:val="en-US" w:eastAsia="zh-CN"/>
              </w:rPr>
              <w:t>25</w:t>
            </w:r>
            <w:r>
              <w:rPr>
                <w:rFonts w:hint="eastAsia" w:ascii="仿宋" w:hAnsi="仿宋" w:eastAsia="仿宋" w:cs="宋体"/>
                <w:kern w:val="0"/>
                <w:sz w:val="16"/>
                <w:szCs w:val="16"/>
              </w:rPr>
              <w:t>分）</w:t>
            </w:r>
          </w:p>
        </w:tc>
        <w:tc>
          <w:tcPr>
            <w:tcW w:w="1368"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经济效益（</w:t>
            </w:r>
            <w:r>
              <w:rPr>
                <w:rFonts w:hint="eastAsia" w:ascii="仿宋" w:hAnsi="仿宋" w:eastAsia="仿宋" w:cs="宋体"/>
                <w:kern w:val="0"/>
                <w:sz w:val="16"/>
                <w:szCs w:val="16"/>
                <w:lang w:val="en-US" w:eastAsia="zh-CN"/>
              </w:rPr>
              <w:t>5</w:t>
            </w:r>
            <w:r>
              <w:rPr>
                <w:rFonts w:hint="eastAsia" w:ascii="仿宋" w:hAnsi="仿宋" w:eastAsia="仿宋" w:cs="宋体"/>
                <w:kern w:val="0"/>
                <w:sz w:val="16"/>
                <w:szCs w:val="16"/>
              </w:rPr>
              <w:t>分））</w:t>
            </w:r>
          </w:p>
        </w:tc>
        <w:tc>
          <w:tcPr>
            <w:tcW w:w="20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确保国有森林资源不破坏、国有资产不流失</w:t>
            </w:r>
          </w:p>
        </w:tc>
        <w:tc>
          <w:tcPr>
            <w:tcW w:w="88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5</w:t>
            </w:r>
          </w:p>
        </w:tc>
        <w:tc>
          <w:tcPr>
            <w:tcW w:w="298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lang w:eastAsia="zh-CN"/>
              </w:rPr>
              <w:t>该项目本年度确保国有森林资源不破坏、国有资产不流失，取得了显著效果，得分。</w:t>
            </w:r>
          </w:p>
        </w:tc>
        <w:tc>
          <w:tcPr>
            <w:tcW w:w="72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5</w:t>
            </w:r>
          </w:p>
        </w:tc>
        <w:tc>
          <w:tcPr>
            <w:tcW w:w="62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420" w:hRule="atLeast"/>
        </w:trPr>
        <w:tc>
          <w:tcPr>
            <w:tcW w:w="5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20</w:t>
            </w:r>
          </w:p>
        </w:tc>
        <w:tc>
          <w:tcPr>
            <w:tcW w:w="68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 w:hAnsi="仿宋" w:eastAsia="仿宋" w:cs="宋体"/>
                <w:kern w:val="0"/>
                <w:sz w:val="16"/>
                <w:szCs w:val="16"/>
              </w:rPr>
            </w:pPr>
          </w:p>
        </w:tc>
        <w:tc>
          <w:tcPr>
            <w:tcW w:w="1368"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lang w:eastAsia="zh-CN"/>
              </w:rPr>
              <w:t>社会</w:t>
            </w:r>
            <w:r>
              <w:rPr>
                <w:rFonts w:hint="eastAsia" w:ascii="仿宋" w:hAnsi="仿宋" w:eastAsia="仿宋" w:cs="宋体"/>
                <w:kern w:val="0"/>
                <w:sz w:val="16"/>
                <w:szCs w:val="16"/>
              </w:rPr>
              <w:t>效益（</w:t>
            </w:r>
            <w:r>
              <w:rPr>
                <w:rFonts w:hint="eastAsia" w:ascii="仿宋" w:hAnsi="仿宋" w:eastAsia="仿宋" w:cs="宋体"/>
                <w:kern w:val="0"/>
                <w:sz w:val="16"/>
                <w:szCs w:val="16"/>
                <w:lang w:val="en-US" w:eastAsia="zh-CN"/>
              </w:rPr>
              <w:t>5</w:t>
            </w:r>
            <w:r>
              <w:rPr>
                <w:rFonts w:hint="eastAsia" w:ascii="仿宋" w:hAnsi="仿宋" w:eastAsia="仿宋" w:cs="宋体"/>
                <w:kern w:val="0"/>
                <w:sz w:val="16"/>
                <w:szCs w:val="16"/>
              </w:rPr>
              <w:t>分）</w:t>
            </w:r>
          </w:p>
        </w:tc>
        <w:tc>
          <w:tcPr>
            <w:tcW w:w="20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降低地质灾害</w:t>
            </w:r>
          </w:p>
        </w:tc>
        <w:tc>
          <w:tcPr>
            <w:tcW w:w="88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5</w:t>
            </w:r>
          </w:p>
        </w:tc>
        <w:tc>
          <w:tcPr>
            <w:tcW w:w="298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lang w:eastAsia="zh-CN"/>
              </w:rPr>
              <w:t>该项目本年度无地质灾害的发生，得分。</w:t>
            </w:r>
          </w:p>
        </w:tc>
        <w:tc>
          <w:tcPr>
            <w:tcW w:w="72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5</w:t>
            </w:r>
          </w:p>
        </w:tc>
        <w:tc>
          <w:tcPr>
            <w:tcW w:w="62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1050" w:hRule="atLeast"/>
        </w:trPr>
        <w:tc>
          <w:tcPr>
            <w:tcW w:w="5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21</w:t>
            </w:r>
          </w:p>
        </w:tc>
        <w:tc>
          <w:tcPr>
            <w:tcW w:w="68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 w:hAnsi="仿宋" w:eastAsia="仿宋" w:cs="宋体"/>
                <w:kern w:val="0"/>
                <w:sz w:val="16"/>
                <w:szCs w:val="16"/>
              </w:rPr>
            </w:pPr>
          </w:p>
        </w:tc>
        <w:tc>
          <w:tcPr>
            <w:tcW w:w="1368" w:type="dxa"/>
            <w:tcBorders>
              <w:top w:val="single" w:color="auto" w:sz="4" w:space="0"/>
              <w:left w:val="nil"/>
              <w:bottom w:val="nil"/>
              <w:right w:val="single" w:color="auto" w:sz="4" w:space="0"/>
            </w:tcBorders>
            <w:shd w:val="clear" w:color="000000" w:fill="FFFFFF"/>
            <w:noWrap w:val="0"/>
            <w:vAlign w:val="center"/>
          </w:tcPr>
          <w:p>
            <w:pPr>
              <w:widowControl/>
              <w:jc w:val="center"/>
              <w:rPr>
                <w:rFonts w:hint="eastAsia" w:ascii="仿宋" w:hAnsi="仿宋" w:eastAsia="仿宋" w:cs="宋体"/>
                <w:kern w:val="0"/>
                <w:sz w:val="16"/>
                <w:szCs w:val="16"/>
              </w:rPr>
            </w:pPr>
            <w:r>
              <w:rPr>
                <w:rFonts w:hint="eastAsia" w:ascii="仿宋" w:hAnsi="仿宋" w:eastAsia="仿宋" w:cs="宋体"/>
                <w:kern w:val="0"/>
                <w:sz w:val="16"/>
                <w:szCs w:val="16"/>
              </w:rPr>
              <w:t>生态效益（</w:t>
            </w:r>
            <w:r>
              <w:rPr>
                <w:rFonts w:hint="eastAsia" w:ascii="仿宋" w:hAnsi="仿宋" w:eastAsia="仿宋" w:cs="宋体"/>
                <w:kern w:val="0"/>
                <w:sz w:val="16"/>
                <w:szCs w:val="16"/>
                <w:lang w:val="en-US" w:eastAsia="zh-CN"/>
              </w:rPr>
              <w:t>5</w:t>
            </w:r>
            <w:r>
              <w:rPr>
                <w:rFonts w:hint="eastAsia" w:ascii="仿宋" w:hAnsi="仿宋" w:eastAsia="仿宋" w:cs="宋体"/>
                <w:kern w:val="0"/>
                <w:sz w:val="16"/>
                <w:szCs w:val="16"/>
              </w:rPr>
              <w:t>分）</w:t>
            </w:r>
          </w:p>
        </w:tc>
        <w:tc>
          <w:tcPr>
            <w:tcW w:w="200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kern w:val="0"/>
                <w:sz w:val="16"/>
                <w:szCs w:val="16"/>
              </w:rPr>
            </w:pPr>
            <w:r>
              <w:rPr>
                <w:rFonts w:hint="eastAsia" w:ascii="仿宋" w:hAnsi="仿宋" w:eastAsia="仿宋" w:cs="宋体"/>
                <w:kern w:val="0"/>
                <w:sz w:val="16"/>
                <w:szCs w:val="16"/>
              </w:rPr>
              <w:t>实现资源的可持续利用与生态环境的协调发展</w:t>
            </w:r>
          </w:p>
        </w:tc>
        <w:tc>
          <w:tcPr>
            <w:tcW w:w="884"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5</w:t>
            </w:r>
          </w:p>
        </w:tc>
        <w:tc>
          <w:tcPr>
            <w:tcW w:w="298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16"/>
                <w:szCs w:val="16"/>
                <w:lang w:eastAsia="zh-CN"/>
              </w:rPr>
            </w:pPr>
            <w:r>
              <w:rPr>
                <w:rFonts w:hint="eastAsia" w:ascii="仿宋" w:hAnsi="仿宋" w:eastAsia="仿宋" w:cs="宋体"/>
                <w:kern w:val="0"/>
                <w:sz w:val="16"/>
                <w:szCs w:val="16"/>
                <w:lang w:eastAsia="zh-CN"/>
              </w:rPr>
              <w:t>该项目本年度显著提高</w:t>
            </w:r>
            <w:r>
              <w:rPr>
                <w:rFonts w:hint="eastAsia" w:ascii="仿宋" w:hAnsi="仿宋" w:eastAsia="仿宋" w:cs="宋体"/>
                <w:kern w:val="0"/>
                <w:sz w:val="16"/>
                <w:szCs w:val="16"/>
              </w:rPr>
              <w:t>资源的可持续利用与生态环境的协调发展</w:t>
            </w:r>
            <w:r>
              <w:rPr>
                <w:rFonts w:hint="eastAsia" w:ascii="仿宋" w:hAnsi="仿宋" w:eastAsia="仿宋" w:cs="宋体"/>
                <w:kern w:val="0"/>
                <w:sz w:val="16"/>
                <w:szCs w:val="16"/>
                <w:lang w:eastAsia="zh-CN"/>
              </w:rPr>
              <w:t>，得分。</w:t>
            </w:r>
          </w:p>
        </w:tc>
        <w:tc>
          <w:tcPr>
            <w:tcW w:w="723"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5</w:t>
            </w:r>
          </w:p>
        </w:tc>
        <w:tc>
          <w:tcPr>
            <w:tcW w:w="6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0</w:t>
            </w:r>
          </w:p>
        </w:tc>
      </w:tr>
      <w:tr>
        <w:tblPrEx>
          <w:tblCellMar>
            <w:top w:w="0" w:type="dxa"/>
            <w:left w:w="108" w:type="dxa"/>
            <w:bottom w:w="0" w:type="dxa"/>
            <w:right w:w="108" w:type="dxa"/>
          </w:tblCellMar>
        </w:tblPrEx>
        <w:trPr>
          <w:trHeight w:val="1050" w:hRule="atLeast"/>
        </w:trPr>
        <w:tc>
          <w:tcPr>
            <w:tcW w:w="5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22</w:t>
            </w:r>
          </w:p>
        </w:tc>
        <w:tc>
          <w:tcPr>
            <w:tcW w:w="68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 w:hAnsi="仿宋" w:eastAsia="仿宋" w:cs="宋体"/>
                <w:kern w:val="0"/>
                <w:sz w:val="16"/>
                <w:szCs w:val="16"/>
              </w:rPr>
            </w:pPr>
          </w:p>
        </w:tc>
        <w:tc>
          <w:tcPr>
            <w:tcW w:w="1368" w:type="dxa"/>
            <w:tcBorders>
              <w:top w:val="single" w:color="auto" w:sz="4" w:space="0"/>
              <w:left w:val="nil"/>
              <w:bottom w:val="nil"/>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可持续影响指标 （</w:t>
            </w:r>
            <w:r>
              <w:rPr>
                <w:rFonts w:hint="eastAsia" w:ascii="仿宋" w:hAnsi="仿宋" w:eastAsia="仿宋" w:cs="宋体"/>
                <w:kern w:val="0"/>
                <w:sz w:val="16"/>
                <w:szCs w:val="16"/>
                <w:lang w:val="en-US" w:eastAsia="zh-CN"/>
              </w:rPr>
              <w:t>5</w:t>
            </w:r>
            <w:r>
              <w:rPr>
                <w:rFonts w:hint="eastAsia" w:ascii="仿宋" w:hAnsi="仿宋" w:eastAsia="仿宋" w:cs="宋体"/>
                <w:kern w:val="0"/>
                <w:sz w:val="16"/>
                <w:szCs w:val="16"/>
              </w:rPr>
              <w:t>分）</w:t>
            </w:r>
          </w:p>
        </w:tc>
        <w:tc>
          <w:tcPr>
            <w:tcW w:w="200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改善生态环境</w:t>
            </w:r>
          </w:p>
        </w:tc>
        <w:tc>
          <w:tcPr>
            <w:tcW w:w="88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5</w:t>
            </w:r>
          </w:p>
        </w:tc>
        <w:tc>
          <w:tcPr>
            <w:tcW w:w="298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16"/>
                <w:szCs w:val="16"/>
                <w:lang w:eastAsia="zh-CN"/>
              </w:rPr>
            </w:pPr>
            <w:r>
              <w:rPr>
                <w:rFonts w:hint="eastAsia" w:ascii="仿宋" w:hAnsi="仿宋" w:eastAsia="仿宋" w:cs="宋体"/>
                <w:kern w:val="0"/>
                <w:sz w:val="16"/>
                <w:szCs w:val="16"/>
                <w:lang w:eastAsia="zh-CN"/>
              </w:rPr>
              <w:t>本年度</w:t>
            </w:r>
            <w:r>
              <w:rPr>
                <w:rFonts w:hint="eastAsia" w:ascii="仿宋" w:hAnsi="仿宋" w:eastAsia="仿宋" w:cs="宋体"/>
                <w:kern w:val="0"/>
                <w:sz w:val="16"/>
                <w:szCs w:val="16"/>
              </w:rPr>
              <w:t>改善生态环境</w:t>
            </w:r>
            <w:r>
              <w:rPr>
                <w:rFonts w:hint="eastAsia" w:ascii="仿宋" w:hAnsi="仿宋" w:eastAsia="仿宋" w:cs="宋体"/>
                <w:kern w:val="0"/>
                <w:sz w:val="16"/>
                <w:szCs w:val="16"/>
                <w:lang w:eastAsia="zh-CN"/>
              </w:rPr>
              <w:t>，得分。</w:t>
            </w:r>
          </w:p>
        </w:tc>
        <w:tc>
          <w:tcPr>
            <w:tcW w:w="72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5</w:t>
            </w:r>
          </w:p>
        </w:tc>
        <w:tc>
          <w:tcPr>
            <w:tcW w:w="62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420" w:hRule="atLeast"/>
        </w:trPr>
        <w:tc>
          <w:tcPr>
            <w:tcW w:w="5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23</w:t>
            </w:r>
          </w:p>
        </w:tc>
        <w:tc>
          <w:tcPr>
            <w:tcW w:w="68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 w:hAnsi="仿宋" w:eastAsia="仿宋" w:cs="宋体"/>
                <w:kern w:val="0"/>
                <w:sz w:val="16"/>
                <w:szCs w:val="16"/>
              </w:rPr>
            </w:pPr>
          </w:p>
        </w:tc>
        <w:tc>
          <w:tcPr>
            <w:tcW w:w="13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满意度指标（</w:t>
            </w:r>
            <w:r>
              <w:rPr>
                <w:rFonts w:hint="eastAsia" w:ascii="仿宋" w:hAnsi="仿宋" w:eastAsia="仿宋" w:cs="宋体"/>
                <w:kern w:val="0"/>
                <w:sz w:val="16"/>
                <w:szCs w:val="16"/>
                <w:lang w:val="en-US" w:eastAsia="zh-CN"/>
              </w:rPr>
              <w:t>5</w:t>
            </w:r>
            <w:r>
              <w:rPr>
                <w:rFonts w:hint="eastAsia" w:ascii="仿宋" w:hAnsi="仿宋" w:eastAsia="仿宋" w:cs="宋体"/>
                <w:kern w:val="0"/>
                <w:sz w:val="16"/>
                <w:szCs w:val="16"/>
              </w:rPr>
              <w:t>分）</w:t>
            </w:r>
          </w:p>
        </w:tc>
        <w:tc>
          <w:tcPr>
            <w:tcW w:w="20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lang w:eastAsia="zh-CN"/>
              </w:rPr>
              <w:t>群众</w:t>
            </w:r>
            <w:r>
              <w:rPr>
                <w:rFonts w:hint="eastAsia" w:ascii="仿宋" w:hAnsi="仿宋" w:eastAsia="仿宋" w:cs="宋体"/>
                <w:kern w:val="0"/>
                <w:sz w:val="16"/>
                <w:szCs w:val="16"/>
              </w:rPr>
              <w:t>满意度</w:t>
            </w:r>
          </w:p>
        </w:tc>
        <w:tc>
          <w:tcPr>
            <w:tcW w:w="884"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5</w:t>
            </w:r>
          </w:p>
        </w:tc>
        <w:tc>
          <w:tcPr>
            <w:tcW w:w="2988" w:type="dxa"/>
            <w:tcBorders>
              <w:top w:val="nil"/>
              <w:left w:val="nil"/>
              <w:bottom w:val="single" w:color="auto" w:sz="4" w:space="0"/>
              <w:right w:val="single" w:color="auto" w:sz="4" w:space="0"/>
            </w:tcBorders>
            <w:shd w:val="clear" w:color="000000" w:fill="FFFFFF"/>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满意度</w:t>
            </w:r>
            <w:r>
              <w:rPr>
                <w:rFonts w:hint="eastAsia" w:ascii="仿宋" w:hAnsi="仿宋" w:eastAsia="仿宋" w:cs="宋体"/>
                <w:kern w:val="0"/>
                <w:sz w:val="16"/>
                <w:szCs w:val="16"/>
                <w:lang w:val="en-US" w:eastAsia="zh-CN"/>
              </w:rPr>
              <w:t>96</w:t>
            </w:r>
            <w:r>
              <w:rPr>
                <w:rFonts w:hint="eastAsia" w:ascii="仿宋" w:hAnsi="仿宋" w:eastAsia="仿宋" w:cs="宋体"/>
                <w:kern w:val="0"/>
                <w:sz w:val="16"/>
                <w:szCs w:val="16"/>
              </w:rPr>
              <w:t>%，得分。</w:t>
            </w:r>
          </w:p>
        </w:tc>
        <w:tc>
          <w:tcPr>
            <w:tcW w:w="723"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5</w:t>
            </w:r>
          </w:p>
        </w:tc>
        <w:tc>
          <w:tcPr>
            <w:tcW w:w="6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0</w:t>
            </w:r>
          </w:p>
        </w:tc>
      </w:tr>
      <w:tr>
        <w:tblPrEx>
          <w:tblCellMar>
            <w:top w:w="0" w:type="dxa"/>
            <w:left w:w="108" w:type="dxa"/>
            <w:bottom w:w="0" w:type="dxa"/>
            <w:right w:w="108" w:type="dxa"/>
          </w:tblCellMar>
        </w:tblPrEx>
        <w:trPr>
          <w:trHeight w:val="270" w:hRule="atLeast"/>
        </w:trPr>
        <w:tc>
          <w:tcPr>
            <w:tcW w:w="4580" w:type="dxa"/>
            <w:gridSpan w:val="4"/>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合计</w:t>
            </w:r>
          </w:p>
        </w:tc>
        <w:tc>
          <w:tcPr>
            <w:tcW w:w="88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100</w:t>
            </w:r>
          </w:p>
        </w:tc>
        <w:tc>
          <w:tcPr>
            <w:tcW w:w="2988"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　</w:t>
            </w:r>
          </w:p>
        </w:tc>
        <w:tc>
          <w:tcPr>
            <w:tcW w:w="723"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100</w:t>
            </w:r>
          </w:p>
        </w:tc>
        <w:tc>
          <w:tcPr>
            <w:tcW w:w="621"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0</w:t>
            </w:r>
          </w:p>
        </w:tc>
      </w:tr>
    </w:tbl>
    <w:p>
      <w:pPr>
        <w:spacing w:line="560" w:lineRule="exact"/>
        <w:rPr>
          <w:rFonts w:hint="eastAsia" w:ascii="仿宋_GB2312" w:hAnsi="仿宋_GB2312" w:cs="仿宋_GB2312"/>
          <w:color w:val="000000"/>
          <w:szCs w:val="21"/>
          <w:lang w:eastAsia="zh-CN"/>
        </w:rPr>
      </w:pP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四、绩效评价指标分析（可附表进行分析）</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color w:val="000000" w:themeColor="text1"/>
          <w:sz w:val="32"/>
          <w:szCs w:val="32"/>
        </w:rPr>
      </w:pPr>
      <w:r>
        <w:rPr>
          <w:rFonts w:hint="eastAsia" w:ascii="仿宋_GB2312" w:hAnsi="仿宋"/>
          <w:color w:val="000000" w:themeColor="text1"/>
          <w:sz w:val="32"/>
          <w:szCs w:val="32"/>
        </w:rPr>
        <w:t>（一）项目决策情况。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该指标分值</w:t>
      </w:r>
      <w:r>
        <w:rPr>
          <w:rFonts w:hint="eastAsia" w:ascii="仿宋_GB2312" w:hAnsi="仿宋_GB2312" w:cs="仿宋_GB2312"/>
          <w:color w:val="000000"/>
          <w:sz w:val="32"/>
          <w:szCs w:val="32"/>
          <w:lang w:val="en-US" w:eastAsia="zh-CN"/>
        </w:rPr>
        <w:t>20</w:t>
      </w:r>
      <w:r>
        <w:rPr>
          <w:rFonts w:hint="eastAsia" w:ascii="仿宋_GB2312" w:hAnsi="仿宋_GB2312" w:eastAsia="仿宋_GB2312" w:cs="仿宋_GB2312"/>
          <w:color w:val="000000"/>
          <w:sz w:val="32"/>
          <w:szCs w:val="32"/>
        </w:rPr>
        <w:t>分，评价得分</w:t>
      </w:r>
      <w:r>
        <w:rPr>
          <w:rFonts w:hint="eastAsia" w:ascii="仿宋_GB2312" w:hAnsi="仿宋_GB2312" w:cs="仿宋_GB2312"/>
          <w:color w:val="000000"/>
          <w:sz w:val="32"/>
          <w:szCs w:val="32"/>
          <w:lang w:val="en-US" w:eastAsia="zh-CN"/>
        </w:rPr>
        <w:t>20</w:t>
      </w:r>
      <w:r>
        <w:rPr>
          <w:rFonts w:hint="eastAsia" w:ascii="仿宋_GB2312" w:hAnsi="仿宋_GB2312" w:eastAsia="仿宋_GB2312" w:cs="仿宋_GB2312"/>
          <w:color w:val="000000"/>
          <w:sz w:val="32"/>
          <w:szCs w:val="32"/>
        </w:rPr>
        <w:t>分。该项目文件规定，项目具有明确的政策依据和现实需求，必要性显著，申报程序健全，立项程序规范。项目绩效目标设定较为合理，符合相关政策要求、部门职能及年度工作计划，与客观实际相符。项目绩效目标进行了细化、量化，设置了较为完整的绩效指标体系。</w:t>
      </w:r>
    </w:p>
    <w:p>
      <w:pPr>
        <w:numPr>
          <w:ilvl w:val="0"/>
          <w:numId w:val="4"/>
        </w:numPr>
        <w:spacing w:line="560" w:lineRule="exact"/>
        <w:ind w:firstLine="645"/>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项目立项-立项依据充分性：标准分值5分，本项评价得分3分。</w:t>
      </w:r>
    </w:p>
    <w:p>
      <w:pPr>
        <w:numPr>
          <w:ilvl w:val="0"/>
          <w:numId w:val="0"/>
        </w:numPr>
        <w:spacing w:line="560" w:lineRule="exact"/>
        <w:ind w:firstLine="627"/>
        <w:rPr>
          <w:rFonts w:hint="eastAsia" w:ascii="仿宋_GB2312" w:hAnsi="仿宋_GB2312" w:cs="仿宋_GB2312"/>
          <w:color w:val="000000"/>
          <w:sz w:val="32"/>
          <w:szCs w:val="32"/>
          <w:lang w:eastAsia="zh-CN"/>
        </w:rPr>
      </w:pPr>
      <w:r>
        <w:rPr>
          <w:rFonts w:hint="eastAsia" w:ascii="仿宋_GB2312" w:hAnsi="仿宋_GB2312" w:cs="仿宋_GB2312"/>
          <w:color w:val="000000"/>
          <w:sz w:val="32"/>
          <w:szCs w:val="32"/>
          <w:lang w:val="en-US" w:eastAsia="zh-CN"/>
        </w:rPr>
        <w:t>该项目经</w:t>
      </w:r>
      <w:r>
        <w:rPr>
          <w:rFonts w:hint="eastAsia" w:ascii="仿宋_GB2312" w:hAnsi="仿宋_GB2312" w:eastAsia="仿宋_GB2312" w:cs="仿宋_GB2312"/>
          <w:color w:val="000000"/>
          <w:sz w:val="32"/>
          <w:szCs w:val="32"/>
        </w:rPr>
        <w:t>符合</w:t>
      </w:r>
      <w:r>
        <w:rPr>
          <w:rFonts w:hint="eastAsia" w:ascii="仿宋_GB2312" w:hAnsi="仿宋_GB2312" w:eastAsia="仿宋_GB2312" w:cs="仿宋_GB2312"/>
          <w:kern w:val="0"/>
          <w:sz w:val="32"/>
          <w:szCs w:val="32"/>
        </w:rPr>
        <w:t>中共中央、国务院《关于印发〈国有林场改革方案〉和〈国有林区改革指导意见〉的通知》（中发[2015]6号）的相关规定</w:t>
      </w:r>
      <w:r>
        <w:rPr>
          <w:rFonts w:hint="eastAsia" w:ascii="仿宋_GB2312" w:hAnsi="仿宋_GB2312" w:eastAsia="仿宋_GB2312" w:cs="仿宋_GB2312"/>
          <w:color w:val="000000"/>
          <w:sz w:val="32"/>
          <w:szCs w:val="32"/>
        </w:rPr>
        <w:t>等文件规定，</w:t>
      </w:r>
      <w:r>
        <w:rPr>
          <w:rFonts w:hint="eastAsia" w:ascii="仿宋_GB2312" w:hAnsi="仿宋_GB2312" w:cs="仿宋_GB2312"/>
          <w:color w:val="000000"/>
          <w:sz w:val="32"/>
          <w:szCs w:val="32"/>
          <w:lang w:eastAsia="zh-CN"/>
        </w:rPr>
        <w:t>不与其它相关项目重复。</w:t>
      </w:r>
    </w:p>
    <w:p>
      <w:pPr>
        <w:numPr>
          <w:ilvl w:val="0"/>
          <w:numId w:val="4"/>
        </w:numPr>
        <w:spacing w:line="560" w:lineRule="exact"/>
        <w:ind w:left="0" w:leftChars="0" w:firstLine="645" w:firstLineChars="0"/>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项目立项-立项程序规范性：标准分值5分，本项评分得5分。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该项目按照规定的程序申请设立，审批文件、材料符合相关要求。</w:t>
      </w:r>
    </w:p>
    <w:p>
      <w:pPr>
        <w:numPr>
          <w:ilvl w:val="0"/>
          <w:numId w:val="4"/>
        </w:numPr>
        <w:spacing w:line="560" w:lineRule="exact"/>
        <w:ind w:left="0" w:leftChars="0" w:firstLine="645" w:firstLineChars="0"/>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绩效目标-绩效目标合理性：标准分值3分，本项评价得分3分。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该项目绩效目标与实际内容有相关性，预期产出效益和效果符合正常的业绩水平。</w:t>
      </w:r>
    </w:p>
    <w:p>
      <w:pPr>
        <w:numPr>
          <w:ilvl w:val="0"/>
          <w:numId w:val="4"/>
        </w:numPr>
        <w:spacing w:line="560" w:lineRule="exact"/>
        <w:ind w:left="0" w:leftChars="0" w:firstLine="645" w:firstLineChars="0"/>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绩效目标-绩效指标明确性：标准分值3分，本项评分得分3分。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该项目绩效目标为具体的绩效指标，可以通过清晰、可衡量的指标予以体现。</w:t>
      </w:r>
    </w:p>
    <w:p>
      <w:pPr>
        <w:numPr>
          <w:ilvl w:val="0"/>
          <w:numId w:val="4"/>
        </w:numPr>
        <w:spacing w:line="560" w:lineRule="exact"/>
        <w:ind w:left="0" w:leftChars="0" w:firstLine="645" w:firstLineChars="0"/>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资金投入-预算编制科学性：标准分值2分，本项评价得分2分。</w:t>
      </w:r>
    </w:p>
    <w:p>
      <w:pPr>
        <w:numPr>
          <w:ilvl w:val="0"/>
          <w:numId w:val="0"/>
        </w:numPr>
        <w:spacing w:line="560" w:lineRule="exact"/>
        <w:ind w:left="645" w:leftChars="0"/>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该项目支出已纳入年度预算，预算内容与项目内容相匹配。</w:t>
      </w:r>
    </w:p>
    <w:p>
      <w:pPr>
        <w:numPr>
          <w:ilvl w:val="0"/>
          <w:numId w:val="4"/>
        </w:numPr>
        <w:spacing w:line="560" w:lineRule="exact"/>
        <w:ind w:left="0" w:leftChars="0" w:firstLine="645" w:firstLineChars="0"/>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资金投入-资金分配合理性：标准分值2分，本项评价得分2分。</w:t>
      </w:r>
    </w:p>
    <w:p>
      <w:pPr>
        <w:numPr>
          <w:ilvl w:val="0"/>
          <w:numId w:val="0"/>
        </w:numPr>
        <w:spacing w:line="560" w:lineRule="exact"/>
        <w:ind w:left="645" w:leftChars="0"/>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该项目预算资金分配依据充分，资金分配合理。</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color w:val="000000" w:themeColor="text1"/>
          <w:sz w:val="32"/>
          <w:szCs w:val="32"/>
        </w:rPr>
      </w:pPr>
      <w:r>
        <w:rPr>
          <w:rFonts w:hint="eastAsia" w:ascii="仿宋_GB2312" w:hAnsi="仿宋"/>
          <w:color w:val="000000" w:themeColor="text1"/>
          <w:sz w:val="32"/>
          <w:szCs w:val="32"/>
          <w:lang w:eastAsia="zh-CN"/>
        </w:rPr>
        <w:t>（二）</w:t>
      </w:r>
      <w:r>
        <w:rPr>
          <w:rFonts w:hint="eastAsia" w:ascii="仿宋_GB2312" w:hAnsi="仿宋"/>
          <w:color w:val="000000" w:themeColor="text1"/>
          <w:sz w:val="32"/>
          <w:szCs w:val="32"/>
        </w:rPr>
        <w:t>项目过程情况。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该指标分值</w:t>
      </w:r>
      <w:r>
        <w:rPr>
          <w:rFonts w:hint="eastAsia" w:ascii="仿宋_GB2312" w:hAnsi="仿宋_GB2312" w:cs="仿宋_GB2312"/>
          <w:color w:val="000000"/>
          <w:sz w:val="32"/>
          <w:szCs w:val="32"/>
          <w:lang w:val="en-US" w:eastAsia="zh-CN"/>
        </w:rPr>
        <w:t>25</w:t>
      </w:r>
      <w:r>
        <w:rPr>
          <w:rFonts w:hint="eastAsia" w:ascii="仿宋_GB2312" w:hAnsi="仿宋_GB2312" w:eastAsia="仿宋_GB2312" w:cs="仿宋_GB2312"/>
          <w:color w:val="000000"/>
          <w:sz w:val="32"/>
          <w:szCs w:val="32"/>
        </w:rPr>
        <w:t>分，评价得分</w:t>
      </w:r>
      <w:r>
        <w:rPr>
          <w:rFonts w:hint="eastAsia" w:ascii="仿宋_GB2312" w:hAnsi="仿宋_GB2312" w:cs="仿宋_GB2312"/>
          <w:color w:val="000000"/>
          <w:sz w:val="32"/>
          <w:szCs w:val="32"/>
          <w:lang w:val="en-US" w:eastAsia="zh-CN"/>
        </w:rPr>
        <w:t>25</w:t>
      </w:r>
      <w:r>
        <w:rPr>
          <w:rFonts w:hint="eastAsia" w:ascii="仿宋_GB2312" w:hAnsi="仿宋_GB2312" w:eastAsia="仿宋_GB2312" w:cs="仿宋_GB2312"/>
          <w:color w:val="000000"/>
          <w:sz w:val="32"/>
          <w:szCs w:val="32"/>
        </w:rPr>
        <w:t>分。从项目活动看，建立了保障项目实施的风险防控机制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项目活动全面建立常态化的监督检查及绩效评价工作机制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项目预算执行率较高</w:t>
      </w:r>
      <w:r>
        <w:rPr>
          <w:rFonts w:hint="eastAsia" w:ascii="仿宋_GB2312" w:hAnsi="仿宋_GB2312" w:cs="仿宋_GB2312"/>
          <w:color w:val="000000"/>
          <w:sz w:val="32"/>
          <w:szCs w:val="32"/>
          <w:lang w:eastAsia="zh-CN"/>
        </w:rPr>
        <w:t>达到了</w:t>
      </w:r>
      <w:r>
        <w:rPr>
          <w:rFonts w:hint="eastAsia" w:ascii="仿宋_GB2312" w:hAnsi="仿宋_GB2312" w:cs="仿宋_GB2312"/>
          <w:color w:val="000000"/>
          <w:sz w:val="32"/>
          <w:szCs w:val="32"/>
          <w:lang w:val="en-US" w:eastAsia="zh-CN"/>
        </w:rPr>
        <w:t>100%</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cs="仿宋_GB2312"/>
          <w:color w:val="000000"/>
          <w:szCs w:val="21"/>
          <w:lang w:val="en-US" w:eastAsia="zh-CN"/>
        </w:rPr>
      </w:pPr>
      <w:r>
        <w:rPr>
          <w:rFonts w:hint="eastAsia" w:ascii="仿宋_GB2312" w:hAnsi="仿宋_GB2312" w:cs="仿宋_GB2312"/>
          <w:color w:val="000000"/>
          <w:szCs w:val="21"/>
          <w:lang w:val="en-US" w:eastAsia="zh-CN"/>
        </w:rPr>
        <w:t>1.资金管理</w:t>
      </w:r>
      <w:r>
        <w:rPr>
          <w:rFonts w:hint="eastAsia" w:ascii="仿宋_GB2312" w:hAnsi="仿宋_GB2312" w:cs="仿宋_GB2312"/>
          <w:i w:val="0"/>
          <w:color w:val="000000"/>
          <w:kern w:val="0"/>
          <w:sz w:val="32"/>
          <w:szCs w:val="32"/>
          <w:u w:val="none"/>
          <w:lang w:val="en-US" w:eastAsia="zh-CN" w:bidi="ar"/>
        </w:rPr>
        <w:t>—</w:t>
      </w:r>
      <w:r>
        <w:rPr>
          <w:rFonts w:hint="eastAsia" w:ascii="仿宋_GB2312" w:hAnsi="仿宋_GB2312" w:cs="仿宋_GB2312"/>
          <w:color w:val="000000"/>
          <w:szCs w:val="21"/>
          <w:lang w:val="en-US" w:eastAsia="zh-CN"/>
        </w:rPr>
        <w:t>资金到位率：标准分值2分，本项评价得分2分。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cs="仿宋_GB2312"/>
          <w:color w:val="000000"/>
          <w:szCs w:val="21"/>
          <w:lang w:val="en-US" w:eastAsia="zh-CN"/>
        </w:rPr>
      </w:pPr>
      <w:r>
        <w:rPr>
          <w:rFonts w:hint="eastAsia" w:ascii="仿宋_GB2312" w:hAnsi="仿宋_GB2312" w:cs="仿宋_GB2312"/>
          <w:color w:val="000000"/>
          <w:szCs w:val="21"/>
          <w:lang w:val="en-US" w:eastAsia="zh-CN"/>
        </w:rPr>
        <w:t>该项目2022年度实际到位资金3.00万元，预算资金13.00万元，资金到位率100%，得分2分。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cs="仿宋_GB2312"/>
          <w:color w:val="000000"/>
          <w:szCs w:val="21"/>
          <w:lang w:val="en-US" w:eastAsia="zh-CN"/>
        </w:rPr>
      </w:pPr>
      <w:r>
        <w:rPr>
          <w:rFonts w:hint="eastAsia" w:ascii="仿宋_GB2312" w:hAnsi="仿宋_GB2312" w:cs="仿宋_GB2312"/>
          <w:color w:val="000000"/>
          <w:szCs w:val="21"/>
          <w:lang w:val="en-US" w:eastAsia="zh-CN"/>
        </w:rPr>
        <w:t>2.资金管理-预算执行率：标准分值10分，本项评价得分10分。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cs="仿宋_GB2312"/>
          <w:color w:val="000000"/>
          <w:szCs w:val="21"/>
          <w:lang w:val="en-US" w:eastAsia="zh-CN"/>
        </w:rPr>
      </w:pPr>
      <w:r>
        <w:rPr>
          <w:rFonts w:hint="eastAsia" w:ascii="仿宋_GB2312" w:hAnsi="仿宋_GB2312" w:cs="仿宋_GB2312"/>
          <w:color w:val="000000"/>
          <w:szCs w:val="21"/>
          <w:lang w:val="en-US" w:eastAsia="zh-CN"/>
        </w:rPr>
        <w:t>该项目2022年度实际支出资金3万元，实际到位资金3.00万元，预算执行率100%，得分10分。</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宋体"/>
          <w:kern w:val="0"/>
          <w:sz w:val="32"/>
          <w:szCs w:val="32"/>
        </w:rPr>
      </w:pPr>
      <w:r>
        <w:rPr>
          <w:rFonts w:hint="eastAsia" w:ascii="仿宋_GB2312" w:hAnsi="仿宋_GB2312" w:cs="仿宋_GB2312"/>
          <w:color w:val="000000"/>
          <w:szCs w:val="21"/>
          <w:lang w:val="en-US" w:eastAsia="zh-CN"/>
        </w:rPr>
        <w:t>3.资金管理-资金使用合规率：</w:t>
      </w:r>
      <w:r>
        <w:rPr>
          <w:rFonts w:hint="eastAsia" w:ascii="仿宋_GB2312" w:hAnsi="宋体" w:eastAsia="仿宋_GB2312" w:cs="宋体"/>
          <w:kern w:val="0"/>
          <w:sz w:val="32"/>
          <w:szCs w:val="32"/>
        </w:rPr>
        <w:t>标准分值3分，本项评价得分3分。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kern w:val="0"/>
          <w:sz w:val="32"/>
          <w:szCs w:val="32"/>
        </w:rPr>
        <w:t>该项目已制定财务管理办法，资金的拨付有完整的审批程序和手续，符合文件规定的用途，得分</w:t>
      </w:r>
      <w:r>
        <w:rPr>
          <w:rFonts w:hint="eastAsia" w:ascii="仿宋_GB2312" w:hAnsi="仿宋_GB2312" w:cs="仿宋_GB2312"/>
          <w:kern w:val="0"/>
          <w:sz w:val="32"/>
          <w:szCs w:val="32"/>
          <w:lang w:val="en-US" w:eastAsia="zh-CN"/>
        </w:rPr>
        <w:t>3分。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4. 资金管理-绩效自评内容准确、完整性：标准分值</w:t>
      </w:r>
      <w:r>
        <w:rPr>
          <w:rFonts w:hint="eastAsia" w:ascii="仿宋_GB2312" w:hAnsi="宋体" w:cs="宋体"/>
          <w:kern w:val="0"/>
          <w:sz w:val="32"/>
          <w:szCs w:val="32"/>
          <w:lang w:val="en-US" w:eastAsia="zh-CN"/>
        </w:rPr>
        <w:t>3</w:t>
      </w:r>
      <w:r>
        <w:rPr>
          <w:rFonts w:hint="eastAsia" w:ascii="仿宋_GB2312" w:hAnsi="宋体" w:eastAsia="仿宋_GB2312" w:cs="宋体"/>
          <w:kern w:val="0"/>
          <w:sz w:val="32"/>
          <w:szCs w:val="32"/>
        </w:rPr>
        <w:t>分，本项评价得分</w:t>
      </w:r>
      <w:r>
        <w:rPr>
          <w:rFonts w:hint="eastAsia" w:ascii="仿宋_GB2312" w:hAnsi="宋体" w:cs="宋体"/>
          <w:kern w:val="0"/>
          <w:sz w:val="32"/>
          <w:szCs w:val="32"/>
          <w:lang w:val="en-US" w:eastAsia="zh-CN"/>
        </w:rPr>
        <w:t>3</w:t>
      </w:r>
      <w:r>
        <w:rPr>
          <w:rFonts w:hint="eastAsia" w:ascii="仿宋_GB2312" w:hAnsi="宋体" w:eastAsia="仿宋_GB2312" w:cs="宋体"/>
          <w:kern w:val="0"/>
          <w:sz w:val="32"/>
          <w:szCs w:val="32"/>
        </w:rPr>
        <w:t>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cs="宋体"/>
          <w:kern w:val="0"/>
          <w:sz w:val="32"/>
          <w:szCs w:val="32"/>
          <w:lang w:eastAsia="zh-CN"/>
        </w:rPr>
      </w:pPr>
      <w:r>
        <w:rPr>
          <w:rFonts w:hint="eastAsia" w:ascii="仿宋_GB2312" w:hAnsi="宋体" w:eastAsia="仿宋_GB2312" w:cs="宋体"/>
          <w:kern w:val="0"/>
          <w:sz w:val="32"/>
          <w:szCs w:val="32"/>
        </w:rPr>
        <w:t>该项目自评表中各项内容已按要求填写完整，指标得分、得分汇总填写正确，财政资金执行进度符合当年财政大平台指标执行进度数据，202</w:t>
      </w:r>
      <w:r>
        <w:rPr>
          <w:rFonts w:hint="eastAsia" w:ascii="仿宋_GB2312" w:hAnsi="宋体" w:cs="宋体"/>
          <w:kern w:val="0"/>
          <w:sz w:val="32"/>
          <w:szCs w:val="32"/>
          <w:lang w:val="en-US" w:eastAsia="zh-CN"/>
        </w:rPr>
        <w:t>2</w:t>
      </w:r>
      <w:r>
        <w:rPr>
          <w:rFonts w:hint="eastAsia" w:ascii="仿宋_GB2312" w:hAnsi="宋体" w:eastAsia="仿宋_GB2312" w:cs="宋体"/>
          <w:kern w:val="0"/>
          <w:sz w:val="32"/>
          <w:szCs w:val="32"/>
        </w:rPr>
        <w:t>年绩效目标已完成</w:t>
      </w:r>
      <w:r>
        <w:rPr>
          <w:rFonts w:hint="eastAsia" w:ascii="仿宋_GB2312" w:hAnsi="宋体" w:cs="宋体"/>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5. 资金管理-绩效自评结论真实性：标准分值</w:t>
      </w:r>
      <w:r>
        <w:rPr>
          <w:rFonts w:hint="eastAsia" w:ascii="仿宋_GB2312" w:hAnsi="宋体" w:cs="宋体"/>
          <w:kern w:val="0"/>
          <w:sz w:val="32"/>
          <w:szCs w:val="32"/>
          <w:lang w:val="en-US" w:eastAsia="zh-CN"/>
        </w:rPr>
        <w:t>3</w:t>
      </w:r>
      <w:r>
        <w:rPr>
          <w:rFonts w:hint="eastAsia" w:ascii="仿宋_GB2312" w:hAnsi="宋体" w:eastAsia="仿宋_GB2312" w:cs="宋体"/>
          <w:kern w:val="0"/>
          <w:sz w:val="32"/>
          <w:szCs w:val="32"/>
        </w:rPr>
        <w:t>分，本项评价得分</w:t>
      </w:r>
      <w:r>
        <w:rPr>
          <w:rFonts w:hint="eastAsia" w:ascii="仿宋_GB2312" w:hAnsi="宋体" w:cs="宋体"/>
          <w:kern w:val="0"/>
          <w:sz w:val="32"/>
          <w:szCs w:val="32"/>
          <w:lang w:val="en-US" w:eastAsia="zh-CN"/>
        </w:rPr>
        <w:t>3</w:t>
      </w:r>
      <w:r>
        <w:rPr>
          <w:rFonts w:hint="eastAsia" w:ascii="仿宋_GB2312" w:hAnsi="宋体" w:eastAsia="仿宋_GB2312" w:cs="宋体"/>
          <w:kern w:val="0"/>
          <w:sz w:val="32"/>
          <w:szCs w:val="32"/>
        </w:rPr>
        <w:t>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000000"/>
          <w:szCs w:val="21"/>
          <w:lang w:val="en-US" w:eastAsia="zh-CN"/>
        </w:rPr>
      </w:pPr>
      <w:r>
        <w:rPr>
          <w:rFonts w:hint="eastAsia" w:ascii="仿宋_GB2312" w:hAnsi="宋体" w:eastAsia="仿宋_GB2312" w:cs="宋体"/>
          <w:kern w:val="0"/>
          <w:sz w:val="32"/>
          <w:szCs w:val="32"/>
        </w:rPr>
        <w:t xml:space="preserve"> 该项目实际绩效复评结论与单位自评结论相比一致。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6. 组织实施-管理制度健全性：标准分值</w:t>
      </w:r>
      <w:r>
        <w:rPr>
          <w:rFonts w:hint="eastAsia" w:ascii="仿宋_GB2312" w:hAnsi="宋体" w:cs="宋体"/>
          <w:kern w:val="0"/>
          <w:sz w:val="32"/>
          <w:szCs w:val="32"/>
          <w:lang w:val="en-US" w:eastAsia="zh-CN"/>
        </w:rPr>
        <w:t>2</w:t>
      </w:r>
      <w:r>
        <w:rPr>
          <w:rFonts w:hint="eastAsia" w:ascii="仿宋_GB2312" w:hAnsi="宋体" w:eastAsia="仿宋_GB2312" w:cs="宋体"/>
          <w:kern w:val="0"/>
          <w:sz w:val="32"/>
          <w:szCs w:val="32"/>
        </w:rPr>
        <w:t>分，本项评价得分</w:t>
      </w:r>
      <w:r>
        <w:rPr>
          <w:rFonts w:hint="eastAsia" w:ascii="仿宋_GB2312" w:hAnsi="宋体" w:cs="宋体"/>
          <w:kern w:val="0"/>
          <w:sz w:val="32"/>
          <w:szCs w:val="32"/>
          <w:lang w:val="en-US" w:eastAsia="zh-CN"/>
        </w:rPr>
        <w:t>2</w:t>
      </w:r>
      <w:r>
        <w:rPr>
          <w:rFonts w:hint="eastAsia" w:ascii="仿宋_GB2312" w:hAnsi="宋体" w:eastAsia="仿宋_GB2312" w:cs="宋体"/>
          <w:kern w:val="0"/>
          <w:sz w:val="32"/>
          <w:szCs w:val="32"/>
        </w:rPr>
        <w:t>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该项目已制定相应的财务和业务管理制度,财务和业务管理制度合规、完整。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7. 组织实施-制度执行有效性：标准分值</w:t>
      </w:r>
      <w:r>
        <w:rPr>
          <w:rFonts w:hint="eastAsia" w:ascii="仿宋_GB2312" w:hAnsi="宋体" w:cs="宋体"/>
          <w:kern w:val="0"/>
          <w:sz w:val="32"/>
          <w:szCs w:val="32"/>
          <w:lang w:val="en-US" w:eastAsia="zh-CN"/>
        </w:rPr>
        <w:t>2</w:t>
      </w:r>
      <w:r>
        <w:rPr>
          <w:rFonts w:hint="eastAsia" w:ascii="仿宋_GB2312" w:hAnsi="宋体" w:eastAsia="仿宋_GB2312" w:cs="宋体"/>
          <w:kern w:val="0"/>
          <w:sz w:val="32"/>
          <w:szCs w:val="32"/>
        </w:rPr>
        <w:t>分，本项评价得分</w:t>
      </w:r>
      <w:r>
        <w:rPr>
          <w:rFonts w:hint="eastAsia" w:ascii="仿宋_GB2312" w:hAnsi="宋体" w:cs="宋体"/>
          <w:kern w:val="0"/>
          <w:sz w:val="32"/>
          <w:szCs w:val="32"/>
          <w:lang w:val="en-US" w:eastAsia="zh-CN"/>
        </w:rPr>
        <w:t>2</w:t>
      </w:r>
      <w:r>
        <w:rPr>
          <w:rFonts w:hint="eastAsia" w:ascii="仿宋_GB2312" w:hAnsi="宋体" w:eastAsia="仿宋_GB2312" w:cs="宋体"/>
          <w:kern w:val="0"/>
          <w:sz w:val="32"/>
          <w:szCs w:val="32"/>
        </w:rPr>
        <w:t>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宋体" w:eastAsia="仿宋_GB2312" w:cs="宋体"/>
          <w:kern w:val="0"/>
          <w:sz w:val="32"/>
          <w:szCs w:val="32"/>
        </w:rPr>
        <w:t>该项目申报、总结资料齐全、完整。</w:t>
      </w:r>
    </w:p>
    <w:p>
      <w:pPr>
        <w:keepNext w:val="0"/>
        <w:keepLines w:val="0"/>
        <w:pageBreakBefore w:val="0"/>
        <w:widowControl w:val="0"/>
        <w:numPr>
          <w:ilvl w:val="0"/>
          <w:numId w:val="5"/>
        </w:numPr>
        <w:tabs>
          <w:tab w:val="left" w:pos="50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color w:val="000000" w:themeColor="text1"/>
          <w:sz w:val="32"/>
          <w:szCs w:val="32"/>
        </w:rPr>
      </w:pPr>
      <w:r>
        <w:rPr>
          <w:rFonts w:hint="eastAsia" w:ascii="仿宋_GB2312" w:hAnsi="仿宋"/>
          <w:color w:val="000000" w:themeColor="text1"/>
          <w:sz w:val="32"/>
          <w:szCs w:val="32"/>
        </w:rPr>
        <w:t>项目产出情况。</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 w:eastAsia="仿宋_GB2312"/>
          <w:color w:val="000000" w:themeColor="text1"/>
          <w:sz w:val="32"/>
          <w:szCs w:val="32"/>
          <w:lang w:val="en-US" w:eastAsia="zh-CN"/>
        </w:rPr>
      </w:pPr>
      <w:r>
        <w:rPr>
          <w:rFonts w:hint="eastAsia" w:ascii="仿宋_GB2312" w:hAnsi="仿宋"/>
          <w:color w:val="000000" w:themeColor="text1"/>
          <w:sz w:val="32"/>
          <w:szCs w:val="32"/>
          <w:lang w:eastAsia="zh-CN"/>
        </w:rPr>
        <w:t>该指标分值</w:t>
      </w:r>
      <w:r>
        <w:rPr>
          <w:rFonts w:hint="eastAsia" w:ascii="仿宋_GB2312" w:hAnsi="仿宋"/>
          <w:color w:val="000000" w:themeColor="text1"/>
          <w:sz w:val="32"/>
          <w:szCs w:val="32"/>
          <w:lang w:val="en-US" w:eastAsia="zh-CN"/>
        </w:rPr>
        <w:t>30分，评价得分30分。</w:t>
      </w:r>
    </w:p>
    <w:p>
      <w:pPr>
        <w:keepNext w:val="0"/>
        <w:keepLines w:val="0"/>
        <w:pageBreakBefore w:val="0"/>
        <w:widowControl w:val="0"/>
        <w:numPr>
          <w:ilvl w:val="0"/>
          <w:numId w:val="6"/>
        </w:numPr>
        <w:tabs>
          <w:tab w:val="left" w:pos="50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color w:val="000000" w:themeColor="text1"/>
          <w:sz w:val="32"/>
          <w:szCs w:val="32"/>
          <w:lang w:val="en-US" w:eastAsia="zh-CN"/>
        </w:rPr>
      </w:pPr>
      <w:r>
        <w:rPr>
          <w:rFonts w:hint="eastAsia" w:ascii="仿宋_GB2312" w:hAnsi="仿宋"/>
          <w:color w:val="000000" w:themeColor="text1"/>
          <w:sz w:val="32"/>
          <w:szCs w:val="32"/>
          <w:lang w:val="en-US" w:eastAsia="zh-CN"/>
        </w:rPr>
        <w:t>数量指标</w:t>
      </w:r>
      <w:r>
        <w:rPr>
          <w:rFonts w:hint="eastAsia" w:ascii="仿宋_GB2312" w:hAnsi="仿宋_GB2312" w:cs="仿宋_GB2312"/>
          <w:i w:val="0"/>
          <w:color w:val="000000"/>
          <w:kern w:val="0"/>
          <w:sz w:val="32"/>
          <w:szCs w:val="32"/>
          <w:u w:val="none"/>
          <w:lang w:val="en-US" w:eastAsia="zh-CN" w:bidi="ar"/>
        </w:rPr>
        <w:t>—</w:t>
      </w:r>
      <w:r>
        <w:rPr>
          <w:rFonts w:hint="eastAsia" w:ascii="仿宋_GB2312" w:hAnsi="仿宋"/>
          <w:color w:val="000000" w:themeColor="text1"/>
          <w:sz w:val="32"/>
          <w:szCs w:val="32"/>
          <w:lang w:val="en-US" w:eastAsia="zh-CN"/>
        </w:rPr>
        <w:t xml:space="preserve">非煤矿山面积（6分），评价得分6分。 </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
          <w:color w:val="000000" w:themeColor="text1"/>
          <w:sz w:val="32"/>
          <w:szCs w:val="32"/>
          <w:lang w:val="en-US" w:eastAsia="zh-CN"/>
        </w:rPr>
      </w:pPr>
      <w:r>
        <w:rPr>
          <w:rFonts w:hint="eastAsia" w:ascii="仿宋_GB2312" w:hAnsi="仿宋"/>
          <w:color w:val="000000" w:themeColor="text1"/>
          <w:sz w:val="32"/>
          <w:szCs w:val="32"/>
          <w:lang w:val="en-US" w:eastAsia="zh-CN"/>
        </w:rPr>
        <w:t>非煤矿山面积5018亩，完成率100%，不予扣分。</w:t>
      </w:r>
    </w:p>
    <w:p>
      <w:pPr>
        <w:keepNext w:val="0"/>
        <w:keepLines w:val="0"/>
        <w:pageBreakBefore w:val="0"/>
        <w:widowControl w:val="0"/>
        <w:numPr>
          <w:ilvl w:val="0"/>
          <w:numId w:val="6"/>
        </w:numPr>
        <w:tabs>
          <w:tab w:val="left" w:pos="500"/>
        </w:tabs>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
          <w:color w:val="000000" w:themeColor="text1"/>
          <w:sz w:val="32"/>
          <w:szCs w:val="32"/>
          <w:lang w:val="en-US" w:eastAsia="zh-CN"/>
        </w:rPr>
      </w:pPr>
      <w:r>
        <w:rPr>
          <w:rFonts w:hint="eastAsia" w:ascii="仿宋_GB2312" w:hAnsi="仿宋"/>
          <w:color w:val="000000" w:themeColor="text1"/>
          <w:sz w:val="32"/>
          <w:szCs w:val="32"/>
          <w:lang w:val="en-US" w:eastAsia="zh-CN"/>
        </w:rPr>
        <w:t>质量指标</w:t>
      </w:r>
      <w:r>
        <w:rPr>
          <w:rFonts w:hint="eastAsia" w:ascii="仿宋_GB2312" w:hAnsi="仿宋_GB2312" w:cs="仿宋_GB2312"/>
          <w:i w:val="0"/>
          <w:color w:val="000000"/>
          <w:kern w:val="0"/>
          <w:sz w:val="32"/>
          <w:szCs w:val="32"/>
          <w:u w:val="none"/>
          <w:lang w:val="en-US" w:eastAsia="zh-CN" w:bidi="ar"/>
        </w:rPr>
        <w:t>—</w:t>
      </w:r>
      <w:r>
        <w:rPr>
          <w:rFonts w:hint="eastAsia" w:ascii="仿宋_GB2312" w:hAnsi="仿宋"/>
          <w:color w:val="000000" w:themeColor="text1"/>
          <w:sz w:val="32"/>
          <w:szCs w:val="32"/>
          <w:lang w:val="en-US" w:eastAsia="zh-CN"/>
        </w:rPr>
        <w:t xml:space="preserve">杜绝非法采挖山（皮）土石、破坏生态现象（5分）、日常巡查覆盖率（4分）评价得分9分。  </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
          <w:color w:val="000000" w:themeColor="text1"/>
          <w:sz w:val="32"/>
          <w:szCs w:val="32"/>
          <w:lang w:val="en-US" w:eastAsia="zh-CN"/>
        </w:rPr>
      </w:pPr>
      <w:r>
        <w:rPr>
          <w:rFonts w:hint="eastAsia" w:ascii="仿宋_GB2312" w:hAnsi="仿宋"/>
          <w:color w:val="000000" w:themeColor="text1"/>
          <w:sz w:val="32"/>
          <w:szCs w:val="32"/>
          <w:lang w:val="en-US" w:eastAsia="zh-CN"/>
        </w:rPr>
        <w:t>本年度无杜绝非法采挖山（皮）土石、破坏生态现象得分，</w:t>
      </w:r>
      <w:r>
        <w:rPr>
          <w:rFonts w:hint="eastAsia" w:ascii="仿宋_GB2312" w:hAnsi="仿宋_GB2312" w:eastAsia="仿宋_GB2312" w:cs="仿宋_GB2312"/>
          <w:kern w:val="0"/>
          <w:sz w:val="32"/>
          <w:szCs w:val="32"/>
          <w:lang w:eastAsia="zh-CN"/>
        </w:rPr>
        <w:t>日常巡查覆盖率已达到</w:t>
      </w:r>
      <w:r>
        <w:rPr>
          <w:rFonts w:hint="eastAsia" w:ascii="仿宋_GB2312" w:hAnsi="仿宋_GB2312" w:eastAsia="仿宋_GB2312" w:cs="仿宋_GB2312"/>
          <w:kern w:val="0"/>
          <w:sz w:val="32"/>
          <w:szCs w:val="32"/>
          <w:lang w:val="en-US" w:eastAsia="zh-CN"/>
        </w:rPr>
        <w:t>95%</w:t>
      </w:r>
      <w:r>
        <w:rPr>
          <w:rFonts w:hint="eastAsia" w:ascii="仿宋_GB2312" w:hAnsi="仿宋_GB2312" w:cs="仿宋_GB2312"/>
          <w:kern w:val="0"/>
          <w:sz w:val="32"/>
          <w:szCs w:val="32"/>
          <w:lang w:val="en-US" w:eastAsia="zh-CN"/>
        </w:rPr>
        <w:t>，</w:t>
      </w:r>
      <w:r>
        <w:rPr>
          <w:rFonts w:hint="eastAsia" w:ascii="仿宋_GB2312" w:hAnsi="仿宋"/>
          <w:color w:val="000000" w:themeColor="text1"/>
          <w:sz w:val="32"/>
          <w:szCs w:val="32"/>
          <w:lang w:val="en-US" w:eastAsia="zh-CN"/>
        </w:rPr>
        <w:t>已达成不予扣分。</w:t>
      </w:r>
    </w:p>
    <w:p>
      <w:pPr>
        <w:keepNext w:val="0"/>
        <w:keepLines w:val="0"/>
        <w:pageBreakBefore w:val="0"/>
        <w:widowControl w:val="0"/>
        <w:numPr>
          <w:ilvl w:val="0"/>
          <w:numId w:val="6"/>
        </w:numPr>
        <w:tabs>
          <w:tab w:val="left" w:pos="500"/>
        </w:tabs>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
          <w:color w:val="000000" w:themeColor="text1"/>
          <w:sz w:val="32"/>
          <w:szCs w:val="32"/>
          <w:lang w:val="en-US" w:eastAsia="zh-CN"/>
        </w:rPr>
      </w:pPr>
      <w:r>
        <w:rPr>
          <w:rFonts w:hint="eastAsia" w:ascii="仿宋_GB2312" w:hAnsi="仿宋"/>
          <w:color w:val="000000" w:themeColor="text1"/>
          <w:sz w:val="32"/>
          <w:szCs w:val="32"/>
          <w:lang w:val="en-US" w:eastAsia="zh-CN"/>
        </w:rPr>
        <w:t>时效指标</w:t>
      </w:r>
      <w:r>
        <w:rPr>
          <w:rFonts w:hint="eastAsia" w:ascii="仿宋_GB2312" w:hAnsi="仿宋_GB2312" w:cs="仿宋_GB2312"/>
          <w:i w:val="0"/>
          <w:color w:val="000000"/>
          <w:kern w:val="0"/>
          <w:sz w:val="32"/>
          <w:szCs w:val="32"/>
          <w:u w:val="none"/>
          <w:lang w:val="en-US" w:eastAsia="zh-CN" w:bidi="ar"/>
        </w:rPr>
        <w:t>—资金在规定时间内下达</w:t>
      </w:r>
      <w:r>
        <w:rPr>
          <w:rFonts w:hint="eastAsia" w:ascii="仿宋_GB2312" w:hAnsi="仿宋"/>
          <w:color w:val="000000" w:themeColor="text1"/>
          <w:sz w:val="32"/>
          <w:szCs w:val="32"/>
          <w:lang w:val="en-US" w:eastAsia="zh-CN"/>
        </w:rPr>
        <w:t>（9分），评价得分9分。</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
          <w:color w:val="auto"/>
          <w:sz w:val="32"/>
          <w:szCs w:val="32"/>
          <w:lang w:val="en-US" w:eastAsia="zh-CN"/>
        </w:rPr>
      </w:pPr>
      <w:r>
        <w:rPr>
          <w:rFonts w:hint="eastAsia" w:ascii="仿宋_GB2312" w:hAnsi="仿宋_GB2312" w:eastAsia="仿宋_GB2312" w:cs="仿宋_GB2312"/>
          <w:kern w:val="0"/>
          <w:sz w:val="32"/>
          <w:szCs w:val="32"/>
          <w:lang w:eastAsia="zh-CN"/>
        </w:rPr>
        <w:t>该项目</w:t>
      </w:r>
      <w:r>
        <w:rPr>
          <w:rFonts w:hint="eastAsia" w:ascii="仿宋_GB2312" w:hAnsi="仿宋_GB2312" w:eastAsia="仿宋_GB2312" w:cs="仿宋_GB2312"/>
          <w:kern w:val="0"/>
          <w:sz w:val="32"/>
          <w:szCs w:val="32"/>
          <w:lang w:val="en-US" w:eastAsia="zh-CN"/>
        </w:rPr>
        <w:t>严格</w:t>
      </w:r>
      <w:r>
        <w:rPr>
          <w:rFonts w:hint="eastAsia" w:ascii="仿宋_GB2312" w:hAnsi="仿宋_GB2312" w:cs="仿宋_GB2312"/>
          <w:kern w:val="0"/>
          <w:sz w:val="32"/>
          <w:szCs w:val="32"/>
          <w:lang w:val="en-US" w:eastAsia="zh-CN"/>
        </w:rPr>
        <w:t>按照</w:t>
      </w:r>
      <w:r>
        <w:rPr>
          <w:rFonts w:hint="eastAsia" w:ascii="仿宋_GB2312" w:hAnsi="仿宋_GB2312" w:eastAsia="仿宋_GB2312" w:cs="仿宋_GB2312"/>
          <w:kern w:val="0"/>
          <w:sz w:val="32"/>
          <w:szCs w:val="32"/>
          <w:lang w:eastAsia="zh-CN"/>
        </w:rPr>
        <w:t>《预算法》等法律法规规定的期限内分配下达，</w:t>
      </w:r>
      <w:r>
        <w:rPr>
          <w:rFonts w:hint="eastAsia" w:ascii="仿宋_GB2312" w:hAnsi="仿宋"/>
          <w:color w:val="auto"/>
          <w:sz w:val="32"/>
          <w:szCs w:val="32"/>
          <w:lang w:val="en-US" w:eastAsia="zh-CN"/>
        </w:rPr>
        <w:t>已达成不予扣分。</w:t>
      </w:r>
    </w:p>
    <w:p>
      <w:pPr>
        <w:keepNext w:val="0"/>
        <w:keepLines w:val="0"/>
        <w:pageBreakBefore w:val="0"/>
        <w:widowControl w:val="0"/>
        <w:numPr>
          <w:ilvl w:val="0"/>
          <w:numId w:val="6"/>
        </w:numPr>
        <w:tabs>
          <w:tab w:val="left" w:pos="500"/>
        </w:tabs>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
          <w:color w:val="000000" w:themeColor="text1"/>
          <w:sz w:val="32"/>
          <w:szCs w:val="32"/>
          <w:lang w:val="en-US" w:eastAsia="zh-CN"/>
        </w:rPr>
      </w:pPr>
      <w:r>
        <w:rPr>
          <w:rFonts w:hint="eastAsia" w:ascii="仿宋_GB2312" w:hAnsi="仿宋"/>
          <w:color w:val="000000" w:themeColor="text1"/>
          <w:sz w:val="32"/>
          <w:szCs w:val="32"/>
          <w:lang w:val="en-US" w:eastAsia="zh-CN"/>
        </w:rPr>
        <w:t>成本指标</w:t>
      </w:r>
      <w:r>
        <w:rPr>
          <w:rFonts w:hint="eastAsia" w:ascii="仿宋_GB2312" w:hAnsi="仿宋_GB2312" w:cs="仿宋_GB2312"/>
          <w:i w:val="0"/>
          <w:color w:val="000000"/>
          <w:kern w:val="0"/>
          <w:sz w:val="32"/>
          <w:szCs w:val="32"/>
          <w:u w:val="none"/>
          <w:lang w:val="en-US" w:eastAsia="zh-CN" w:bidi="ar"/>
        </w:rPr>
        <w:t>—</w:t>
      </w:r>
      <w:r>
        <w:rPr>
          <w:rFonts w:hint="eastAsia" w:ascii="仿宋_GB2312" w:hAnsi="仿宋"/>
          <w:color w:val="000000" w:themeColor="text1"/>
          <w:sz w:val="32"/>
          <w:szCs w:val="32"/>
          <w:lang w:val="en-US" w:eastAsia="zh-CN"/>
        </w:rPr>
        <w:t>预算控制率（6分），评价得分6分。</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leftChars="200"/>
        <w:jc w:val="left"/>
        <w:textAlignment w:val="auto"/>
        <w:rPr>
          <w:rFonts w:hint="eastAsia" w:ascii="仿宋_GB2312" w:hAnsi="仿宋"/>
          <w:color w:val="000000" w:themeColor="text1"/>
          <w:sz w:val="32"/>
          <w:szCs w:val="32"/>
          <w:lang w:val="en-US" w:eastAsia="zh-CN"/>
        </w:rPr>
      </w:pPr>
      <w:r>
        <w:rPr>
          <w:rFonts w:hint="eastAsia" w:ascii="仿宋_GB2312" w:hAnsi="仿宋_GB2312" w:eastAsia="仿宋_GB2312" w:cs="仿宋_GB2312"/>
          <w:kern w:val="0"/>
          <w:sz w:val="32"/>
          <w:szCs w:val="32"/>
        </w:rPr>
        <w:t>该项目202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年实际支付金额</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完成</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
          <w:color w:val="000000" w:themeColor="text1"/>
          <w:sz w:val="32"/>
          <w:szCs w:val="32"/>
          <w:lang w:val="en-US" w:eastAsia="zh-CN"/>
        </w:rPr>
        <w:t>已达</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jc w:val="left"/>
        <w:textAlignment w:val="auto"/>
        <w:rPr>
          <w:rFonts w:hint="default" w:ascii="仿宋_GB2312" w:hAnsi="仿宋"/>
          <w:color w:val="000000" w:themeColor="text1"/>
          <w:sz w:val="32"/>
          <w:szCs w:val="32"/>
          <w:lang w:val="en-US" w:eastAsia="zh-CN"/>
        </w:rPr>
      </w:pPr>
      <w:r>
        <w:rPr>
          <w:rFonts w:hint="eastAsia" w:ascii="仿宋_GB2312" w:hAnsi="仿宋"/>
          <w:color w:val="000000" w:themeColor="text1"/>
          <w:sz w:val="32"/>
          <w:szCs w:val="32"/>
          <w:lang w:val="en-US" w:eastAsia="zh-CN"/>
        </w:rPr>
        <w:t>成，不予扣分。</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color w:val="000000" w:themeColor="text1"/>
          <w:sz w:val="32"/>
          <w:szCs w:val="32"/>
        </w:rPr>
      </w:pPr>
      <w:r>
        <w:rPr>
          <w:rFonts w:hint="eastAsia" w:ascii="仿宋_GB2312" w:hAnsi="仿宋"/>
          <w:color w:val="000000" w:themeColor="text1"/>
          <w:sz w:val="32"/>
          <w:szCs w:val="32"/>
        </w:rPr>
        <w:t>（四）项目效益情况。</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color w:val="000000" w:themeColor="text1"/>
          <w:sz w:val="32"/>
          <w:szCs w:val="32"/>
          <w:lang w:val="en-US" w:eastAsia="zh-CN"/>
        </w:rPr>
      </w:pPr>
      <w:r>
        <w:rPr>
          <w:rFonts w:hint="eastAsia" w:ascii="仿宋_GB2312" w:hAnsi="仿宋"/>
          <w:color w:val="000000" w:themeColor="text1"/>
          <w:sz w:val="32"/>
          <w:szCs w:val="32"/>
          <w:lang w:eastAsia="zh-CN"/>
        </w:rPr>
        <w:t>该项指标分值</w:t>
      </w:r>
      <w:r>
        <w:rPr>
          <w:rFonts w:hint="eastAsia" w:ascii="仿宋_GB2312" w:hAnsi="仿宋"/>
          <w:color w:val="000000" w:themeColor="text1"/>
          <w:sz w:val="32"/>
          <w:szCs w:val="32"/>
          <w:lang w:val="en-US" w:eastAsia="zh-CN"/>
        </w:rPr>
        <w:t>25分，评价得分25分。</w:t>
      </w:r>
    </w:p>
    <w:p>
      <w:pPr>
        <w:keepNext w:val="0"/>
        <w:keepLines w:val="0"/>
        <w:pageBreakBefore w:val="0"/>
        <w:widowControl w:val="0"/>
        <w:numPr>
          <w:ilvl w:val="0"/>
          <w:numId w:val="7"/>
        </w:numPr>
        <w:tabs>
          <w:tab w:val="left" w:pos="50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i w:val="0"/>
          <w:color w:val="000000"/>
          <w:kern w:val="0"/>
          <w:sz w:val="32"/>
          <w:szCs w:val="32"/>
          <w:u w:val="none"/>
          <w:lang w:val="en-US" w:eastAsia="zh-CN" w:bidi="ar"/>
        </w:rPr>
      </w:pPr>
      <w:r>
        <w:rPr>
          <w:rFonts w:hint="eastAsia" w:ascii="仿宋_GB2312" w:hAnsi="仿宋"/>
          <w:color w:val="000000" w:themeColor="text1"/>
          <w:sz w:val="32"/>
          <w:szCs w:val="32"/>
          <w:lang w:val="en-US" w:eastAsia="zh-CN"/>
        </w:rPr>
        <w:t>经济效益指标</w:t>
      </w:r>
      <w:r>
        <w:rPr>
          <w:rFonts w:hint="eastAsia" w:ascii="仿宋_GB2312" w:hAnsi="仿宋_GB2312" w:cs="仿宋_GB2312"/>
          <w:i w:val="0"/>
          <w:color w:val="000000"/>
          <w:kern w:val="0"/>
          <w:sz w:val="32"/>
          <w:szCs w:val="32"/>
          <w:u w:val="none"/>
          <w:lang w:val="en-US" w:eastAsia="zh-CN" w:bidi="ar"/>
        </w:rPr>
        <w:t>—确保国有森林资源不破坏、国有资产不流失</w:t>
      </w:r>
      <w:r>
        <w:rPr>
          <w:rFonts w:hint="eastAsia" w:ascii="仿宋_GB2312" w:hAnsi="仿宋"/>
          <w:color w:val="000000" w:themeColor="text1"/>
          <w:sz w:val="32"/>
          <w:szCs w:val="32"/>
          <w:lang w:val="en-US" w:eastAsia="zh-CN"/>
        </w:rPr>
        <w:t>（5分），评价得分5分。</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cs="仿宋_GB2312"/>
          <w:i w:val="0"/>
          <w:color w:val="000000"/>
          <w:kern w:val="0"/>
          <w:sz w:val="32"/>
          <w:szCs w:val="32"/>
          <w:u w:val="none"/>
          <w:lang w:val="en-US" w:eastAsia="zh-CN" w:bidi="ar"/>
        </w:rPr>
      </w:pPr>
      <w:r>
        <w:rPr>
          <w:rFonts w:hint="eastAsia" w:ascii="仿宋_GB2312" w:hAnsi="仿宋"/>
          <w:color w:val="000000" w:themeColor="text1"/>
          <w:sz w:val="32"/>
          <w:szCs w:val="32"/>
          <w:lang w:val="en-US" w:eastAsia="zh-CN"/>
        </w:rPr>
        <w:t>当年度未发生采挖山（皮）土石等现象，确保了国有资产森林资源，</w:t>
      </w:r>
      <w:r>
        <w:rPr>
          <w:rFonts w:hint="eastAsia" w:ascii="仿宋_GB2312" w:hAnsi="仿宋_GB2312" w:cs="仿宋_GB2312"/>
          <w:i w:val="0"/>
          <w:color w:val="000000"/>
          <w:kern w:val="0"/>
          <w:sz w:val="32"/>
          <w:szCs w:val="32"/>
          <w:u w:val="none"/>
          <w:lang w:val="en-US" w:eastAsia="zh-CN" w:bidi="ar"/>
        </w:rPr>
        <w:t>不予扣分。</w:t>
      </w:r>
    </w:p>
    <w:p>
      <w:pPr>
        <w:keepNext w:val="0"/>
        <w:keepLines w:val="0"/>
        <w:pageBreakBefore w:val="0"/>
        <w:widowControl w:val="0"/>
        <w:numPr>
          <w:ilvl w:val="0"/>
          <w:numId w:val="7"/>
        </w:numPr>
        <w:tabs>
          <w:tab w:val="left" w:pos="50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社会效益指标</w:t>
      </w:r>
      <w:r>
        <w:rPr>
          <w:rFonts w:hint="eastAsia" w:ascii="仿宋_GB2312" w:hAnsi="仿宋_GB2312" w:cs="仿宋_GB2312"/>
          <w:i w:val="0"/>
          <w:color w:val="000000"/>
          <w:kern w:val="0"/>
          <w:sz w:val="32"/>
          <w:szCs w:val="32"/>
          <w:u w:val="none"/>
          <w:lang w:val="en-US" w:eastAsia="zh-CN" w:bidi="ar"/>
        </w:rPr>
        <w:t>—降低地质灾害</w:t>
      </w:r>
      <w:r>
        <w:rPr>
          <w:rFonts w:hint="eastAsia" w:ascii="仿宋_GB2312" w:hAnsi="仿宋_GB2312" w:eastAsia="仿宋_GB2312" w:cs="仿宋_GB2312"/>
          <w:i w:val="0"/>
          <w:color w:val="000000"/>
          <w:kern w:val="0"/>
          <w:sz w:val="32"/>
          <w:szCs w:val="32"/>
          <w:u w:val="none"/>
          <w:lang w:val="en-US" w:eastAsia="zh-CN" w:bidi="ar"/>
        </w:rPr>
        <w:t>（</w:t>
      </w:r>
      <w:r>
        <w:rPr>
          <w:rFonts w:hint="eastAsia" w:ascii="仿宋_GB2312" w:hAnsi="仿宋_GB2312" w:cs="仿宋_GB2312"/>
          <w:i w:val="0"/>
          <w:color w:val="000000"/>
          <w:kern w:val="0"/>
          <w:sz w:val="32"/>
          <w:szCs w:val="32"/>
          <w:u w:val="none"/>
          <w:lang w:val="en-US" w:eastAsia="zh-CN" w:bidi="ar"/>
        </w:rPr>
        <w:t>5</w:t>
      </w:r>
      <w:r>
        <w:rPr>
          <w:rFonts w:hint="eastAsia" w:ascii="仿宋_GB2312" w:hAnsi="仿宋_GB2312" w:eastAsia="仿宋_GB2312" w:cs="仿宋_GB2312"/>
          <w:i w:val="0"/>
          <w:color w:val="000000"/>
          <w:kern w:val="0"/>
          <w:sz w:val="32"/>
          <w:szCs w:val="32"/>
          <w:u w:val="none"/>
          <w:lang w:val="en-US" w:eastAsia="zh-CN" w:bidi="ar"/>
        </w:rPr>
        <w:t>分），评价得分</w:t>
      </w:r>
      <w:r>
        <w:rPr>
          <w:rFonts w:hint="eastAsia" w:ascii="仿宋_GB2312" w:hAnsi="仿宋_GB2312" w:cs="仿宋_GB2312"/>
          <w:i w:val="0"/>
          <w:color w:val="000000"/>
          <w:kern w:val="0"/>
          <w:sz w:val="32"/>
          <w:szCs w:val="32"/>
          <w:u w:val="none"/>
          <w:lang w:val="en-US" w:eastAsia="zh-CN" w:bidi="ar"/>
        </w:rPr>
        <w:t>5</w:t>
      </w:r>
      <w:r>
        <w:rPr>
          <w:rFonts w:hint="eastAsia" w:ascii="仿宋_GB2312" w:hAnsi="仿宋_GB2312" w:eastAsia="仿宋_GB2312" w:cs="仿宋_GB2312"/>
          <w:i w:val="0"/>
          <w:color w:val="000000"/>
          <w:kern w:val="0"/>
          <w:sz w:val="32"/>
          <w:szCs w:val="32"/>
          <w:u w:val="none"/>
          <w:lang w:val="en-US" w:eastAsia="zh-CN" w:bidi="ar"/>
        </w:rPr>
        <w:t>分。</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kern w:val="0"/>
          <w:sz w:val="32"/>
          <w:szCs w:val="32"/>
          <w:lang w:eastAsia="zh-CN"/>
        </w:rPr>
        <w:t>该项目本年度无地质灾害的发生，得分</w:t>
      </w:r>
      <w:r>
        <w:rPr>
          <w:rFonts w:hint="eastAsia" w:ascii="仿宋_GB2312" w:hAnsi="仿宋_GB2312" w:eastAsia="仿宋_GB2312" w:cs="仿宋_GB2312"/>
          <w:i w:val="0"/>
          <w:color w:val="000000"/>
          <w:kern w:val="0"/>
          <w:sz w:val="32"/>
          <w:szCs w:val="32"/>
          <w:u w:val="none"/>
          <w:lang w:val="en-US" w:eastAsia="zh-CN" w:bidi="ar"/>
        </w:rPr>
        <w:t>，不予扣分。</w:t>
      </w:r>
    </w:p>
    <w:p>
      <w:pPr>
        <w:keepNext w:val="0"/>
        <w:keepLines w:val="0"/>
        <w:pageBreakBefore w:val="0"/>
        <w:widowControl w:val="0"/>
        <w:numPr>
          <w:ilvl w:val="0"/>
          <w:numId w:val="7"/>
        </w:numPr>
        <w:tabs>
          <w:tab w:val="left" w:pos="50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i w:val="0"/>
          <w:color w:val="000000"/>
          <w:kern w:val="0"/>
          <w:sz w:val="32"/>
          <w:szCs w:val="32"/>
          <w:u w:val="none"/>
          <w:lang w:val="en-US" w:eastAsia="zh-CN" w:bidi="ar"/>
        </w:rPr>
      </w:pPr>
      <w:r>
        <w:rPr>
          <w:rFonts w:hint="eastAsia" w:ascii="仿宋_GB2312" w:hAnsi="仿宋_GB2312" w:cs="仿宋_GB2312"/>
          <w:i w:val="0"/>
          <w:color w:val="000000"/>
          <w:kern w:val="0"/>
          <w:sz w:val="32"/>
          <w:szCs w:val="32"/>
          <w:u w:val="none"/>
          <w:lang w:val="en-US" w:eastAsia="zh-CN" w:bidi="ar"/>
        </w:rPr>
        <w:t>生态效益指标—实现资源的可持续利用与生态环境的协调发展</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该项目本年度显著提高</w:t>
      </w:r>
      <w:r>
        <w:rPr>
          <w:rFonts w:hint="eastAsia" w:ascii="仿宋_GB2312" w:hAnsi="仿宋_GB2312" w:eastAsia="仿宋_GB2312" w:cs="仿宋_GB2312"/>
          <w:kern w:val="0"/>
          <w:sz w:val="32"/>
          <w:szCs w:val="32"/>
        </w:rPr>
        <w:t>资源的可持续利用与生态环境的</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kern w:val="0"/>
          <w:sz w:val="32"/>
          <w:szCs w:val="32"/>
        </w:rPr>
        <w:t>协调发展</w:t>
      </w:r>
      <w:r>
        <w:rPr>
          <w:rFonts w:hint="eastAsia" w:ascii="仿宋_GB2312" w:hAnsi="仿宋_GB2312" w:eastAsia="仿宋_GB2312" w:cs="仿宋_GB2312"/>
          <w:kern w:val="0"/>
          <w:sz w:val="32"/>
          <w:szCs w:val="32"/>
          <w:lang w:eastAsia="zh-CN"/>
        </w:rPr>
        <w:t>，得分</w:t>
      </w:r>
      <w:r>
        <w:rPr>
          <w:rFonts w:hint="eastAsia" w:ascii="仿宋_GB2312" w:hAnsi="仿宋_GB2312" w:cs="仿宋_GB2312"/>
          <w:kern w:val="0"/>
          <w:sz w:val="32"/>
          <w:szCs w:val="32"/>
          <w:lang w:eastAsia="zh-CN"/>
        </w:rPr>
        <w:t>，不予扣分</w:t>
      </w:r>
      <w:r>
        <w:rPr>
          <w:rFonts w:hint="eastAsia" w:ascii="仿宋_GB2312" w:hAnsi="仿宋_GB2312" w:eastAsia="仿宋_GB2312" w:cs="仿宋_GB2312"/>
          <w:kern w:val="0"/>
          <w:sz w:val="32"/>
          <w:szCs w:val="32"/>
          <w:lang w:eastAsia="zh-CN"/>
        </w:rPr>
        <w:t>。</w:t>
      </w:r>
    </w:p>
    <w:p>
      <w:pPr>
        <w:keepNext w:val="0"/>
        <w:keepLines w:val="0"/>
        <w:pageBreakBefore w:val="0"/>
        <w:widowControl w:val="0"/>
        <w:numPr>
          <w:ilvl w:val="0"/>
          <w:numId w:val="7"/>
        </w:numPr>
        <w:tabs>
          <w:tab w:val="left" w:pos="50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可持续影响指标</w:t>
      </w:r>
      <w:r>
        <w:rPr>
          <w:rFonts w:hint="eastAsia" w:ascii="仿宋_GB2312" w:hAnsi="仿宋_GB2312" w:cs="仿宋_GB2312"/>
          <w:i w:val="0"/>
          <w:color w:val="000000"/>
          <w:kern w:val="0"/>
          <w:sz w:val="32"/>
          <w:szCs w:val="32"/>
          <w:u w:val="none"/>
          <w:lang w:val="en-US" w:eastAsia="zh-CN" w:bidi="ar"/>
        </w:rPr>
        <w:t>—改善生态环境</w:t>
      </w:r>
      <w:r>
        <w:rPr>
          <w:rFonts w:hint="eastAsia" w:ascii="仿宋_GB2312" w:hAnsi="仿宋_GB2312" w:eastAsia="仿宋_GB2312" w:cs="仿宋_GB2312"/>
          <w:i w:val="0"/>
          <w:color w:val="000000"/>
          <w:kern w:val="0"/>
          <w:sz w:val="32"/>
          <w:szCs w:val="32"/>
          <w:u w:val="none"/>
          <w:lang w:val="en-US" w:eastAsia="zh-CN" w:bidi="ar"/>
        </w:rPr>
        <w:t>（</w:t>
      </w:r>
      <w:r>
        <w:rPr>
          <w:rFonts w:hint="eastAsia" w:ascii="仿宋_GB2312" w:hAnsi="仿宋_GB2312" w:cs="仿宋_GB2312"/>
          <w:i w:val="0"/>
          <w:color w:val="000000"/>
          <w:kern w:val="0"/>
          <w:sz w:val="32"/>
          <w:szCs w:val="32"/>
          <w:u w:val="none"/>
          <w:lang w:val="en-US" w:eastAsia="zh-CN" w:bidi="ar"/>
        </w:rPr>
        <w:t>5</w:t>
      </w:r>
      <w:r>
        <w:rPr>
          <w:rFonts w:hint="eastAsia" w:ascii="仿宋_GB2312" w:hAnsi="仿宋_GB2312" w:eastAsia="仿宋_GB2312" w:cs="仿宋_GB2312"/>
          <w:i w:val="0"/>
          <w:color w:val="000000"/>
          <w:kern w:val="0"/>
          <w:sz w:val="32"/>
          <w:szCs w:val="32"/>
          <w:u w:val="none"/>
          <w:lang w:val="en-US" w:eastAsia="zh-CN" w:bidi="ar"/>
        </w:rPr>
        <w:t>分），评价得</w:t>
      </w:r>
      <w:r>
        <w:rPr>
          <w:rFonts w:hint="eastAsia" w:ascii="仿宋_GB2312" w:hAnsi="仿宋_GB2312" w:cs="仿宋_GB2312"/>
          <w:i w:val="0"/>
          <w:color w:val="000000"/>
          <w:kern w:val="0"/>
          <w:sz w:val="32"/>
          <w:szCs w:val="32"/>
          <w:u w:val="none"/>
          <w:lang w:val="en-US" w:eastAsia="zh-CN" w:bidi="ar"/>
        </w:rPr>
        <w:t>分</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cs="仿宋_GB2312"/>
          <w:i w:val="0"/>
          <w:color w:val="000000"/>
          <w:kern w:val="0"/>
          <w:sz w:val="32"/>
          <w:szCs w:val="32"/>
          <w:u w:val="none"/>
          <w:lang w:val="en-US" w:eastAsia="zh-CN" w:bidi="ar"/>
        </w:rPr>
        <w:t>5</w:t>
      </w:r>
      <w:r>
        <w:rPr>
          <w:rFonts w:hint="eastAsia" w:ascii="仿宋_GB2312" w:hAnsi="仿宋_GB2312" w:eastAsia="仿宋_GB2312" w:cs="仿宋_GB2312"/>
          <w:i w:val="0"/>
          <w:color w:val="000000"/>
          <w:kern w:val="0"/>
          <w:sz w:val="32"/>
          <w:szCs w:val="32"/>
          <w:u w:val="none"/>
          <w:lang w:val="en-US" w:eastAsia="zh-CN" w:bidi="ar"/>
        </w:rPr>
        <w:t>分。</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kern w:val="0"/>
          <w:sz w:val="32"/>
          <w:szCs w:val="32"/>
          <w:lang w:eastAsia="zh-CN"/>
        </w:rPr>
        <w:t>本年度</w:t>
      </w:r>
      <w:r>
        <w:rPr>
          <w:rFonts w:hint="eastAsia" w:ascii="仿宋_GB2312" w:hAnsi="仿宋_GB2312" w:cs="仿宋_GB2312"/>
          <w:kern w:val="0"/>
          <w:sz w:val="32"/>
          <w:szCs w:val="32"/>
          <w:lang w:eastAsia="zh-CN"/>
        </w:rPr>
        <w:t>较好了</w:t>
      </w:r>
      <w:r>
        <w:rPr>
          <w:rFonts w:hint="eastAsia" w:ascii="仿宋_GB2312" w:hAnsi="仿宋_GB2312" w:eastAsia="仿宋_GB2312" w:cs="仿宋_GB2312"/>
          <w:kern w:val="0"/>
          <w:sz w:val="32"/>
          <w:szCs w:val="32"/>
        </w:rPr>
        <w:t>改善生态环境</w:t>
      </w:r>
      <w:r>
        <w:rPr>
          <w:rFonts w:hint="eastAsia" w:ascii="仿宋_GB2312" w:hAnsi="仿宋_GB2312" w:eastAsia="仿宋_GB2312" w:cs="仿宋_GB2312"/>
          <w:kern w:val="0"/>
          <w:sz w:val="32"/>
          <w:szCs w:val="32"/>
          <w:lang w:eastAsia="zh-CN"/>
        </w:rPr>
        <w:t>，得分</w:t>
      </w:r>
      <w:r>
        <w:rPr>
          <w:rFonts w:hint="eastAsia" w:ascii="仿宋_GB2312" w:hAnsi="仿宋_GB2312" w:cs="仿宋_GB2312"/>
          <w:i w:val="0"/>
          <w:color w:val="000000"/>
          <w:kern w:val="0"/>
          <w:sz w:val="32"/>
          <w:szCs w:val="32"/>
          <w:u w:val="none"/>
          <w:lang w:val="en-US" w:eastAsia="zh-CN" w:bidi="ar"/>
        </w:rPr>
        <w:t>，</w:t>
      </w:r>
      <w:r>
        <w:rPr>
          <w:rFonts w:hint="eastAsia" w:ascii="仿宋_GB2312" w:hAnsi="仿宋_GB2312" w:eastAsia="仿宋_GB2312" w:cs="仿宋_GB2312"/>
          <w:i w:val="0"/>
          <w:color w:val="000000"/>
          <w:kern w:val="0"/>
          <w:sz w:val="32"/>
          <w:szCs w:val="32"/>
          <w:u w:val="none"/>
          <w:lang w:val="en-US" w:eastAsia="zh-CN" w:bidi="ar"/>
        </w:rPr>
        <w:t>不予扣分。</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cs="仿宋_GB2312"/>
          <w:i w:val="0"/>
          <w:color w:val="000000"/>
          <w:kern w:val="0"/>
          <w:sz w:val="32"/>
          <w:szCs w:val="32"/>
          <w:u w:val="none"/>
          <w:lang w:val="en-US" w:eastAsia="zh-CN" w:bidi="ar"/>
        </w:rPr>
        <w:t>5、满意度指标—群众满意度（5分），</w:t>
      </w:r>
      <w:r>
        <w:rPr>
          <w:rFonts w:hint="eastAsia" w:ascii="仿宋_GB2312" w:hAnsi="仿宋_GB2312" w:eastAsia="仿宋_GB2312" w:cs="仿宋_GB2312"/>
          <w:i w:val="0"/>
          <w:color w:val="000000"/>
          <w:kern w:val="0"/>
          <w:sz w:val="32"/>
          <w:szCs w:val="32"/>
          <w:u w:val="none"/>
          <w:lang w:val="en-US" w:eastAsia="zh-CN" w:bidi="ar"/>
        </w:rPr>
        <w:t>评价得分</w:t>
      </w:r>
      <w:r>
        <w:rPr>
          <w:rFonts w:hint="eastAsia" w:ascii="仿宋_GB2312" w:hAnsi="仿宋_GB2312" w:cs="仿宋_GB2312"/>
          <w:i w:val="0"/>
          <w:color w:val="000000"/>
          <w:kern w:val="0"/>
          <w:sz w:val="32"/>
          <w:szCs w:val="32"/>
          <w:u w:val="none"/>
          <w:lang w:val="en-US" w:eastAsia="zh-CN" w:bidi="ar"/>
        </w:rPr>
        <w:t>5</w:t>
      </w:r>
      <w:r>
        <w:rPr>
          <w:rFonts w:hint="eastAsia" w:ascii="仿宋_GB2312" w:hAnsi="仿宋_GB2312" w:eastAsia="仿宋_GB2312" w:cs="仿宋_GB2312"/>
          <w:i w:val="0"/>
          <w:color w:val="000000"/>
          <w:kern w:val="0"/>
          <w:sz w:val="32"/>
          <w:szCs w:val="32"/>
          <w:u w:val="none"/>
          <w:lang w:val="en-US" w:eastAsia="zh-CN" w:bidi="ar"/>
        </w:rPr>
        <w:t>分。</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宋体" w:eastAsia="仿宋_GB2312" w:cs="宋体"/>
          <w:kern w:val="0"/>
          <w:sz w:val="32"/>
          <w:szCs w:val="32"/>
        </w:rPr>
        <w:t>通过问卷调查</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获取对项目实施效果的满意程度为</w:t>
      </w:r>
      <w:r>
        <w:rPr>
          <w:rFonts w:hint="eastAsia" w:ascii="仿宋_GB2312" w:hAnsi="宋体" w:cs="宋体"/>
          <w:kern w:val="0"/>
          <w:sz w:val="32"/>
          <w:szCs w:val="32"/>
          <w:lang w:val="en-US" w:eastAsia="zh-CN"/>
        </w:rPr>
        <w:t>96</w:t>
      </w:r>
      <w:r>
        <w:rPr>
          <w:rFonts w:hint="eastAsia" w:ascii="仿宋_GB2312" w:hAnsi="宋体" w:eastAsia="仿宋_GB2312" w:cs="宋体"/>
          <w:kern w:val="0"/>
          <w:sz w:val="32"/>
          <w:szCs w:val="32"/>
        </w:rPr>
        <w:t>%</w:t>
      </w:r>
      <w:r>
        <w:rPr>
          <w:rFonts w:hint="eastAsia" w:ascii="仿宋_GB2312" w:hAnsi="宋体" w:cs="宋体"/>
          <w:kern w:val="0"/>
          <w:sz w:val="32"/>
          <w:szCs w:val="32"/>
          <w:lang w:eastAsia="zh-CN"/>
        </w:rPr>
        <w:t>，不予扣分。</w:t>
      </w:r>
    </w:p>
    <w:p>
      <w:pPr>
        <w:numPr>
          <w:ilvl w:val="0"/>
          <w:numId w:val="0"/>
        </w:numPr>
        <w:tabs>
          <w:tab w:val="left" w:pos="500"/>
        </w:tabs>
        <w:spacing w:line="560" w:lineRule="exact"/>
        <w:ind w:left="645" w:leftChars="0"/>
        <w:rPr>
          <w:rFonts w:ascii="黑体" w:hAnsi="黑体" w:eastAsia="黑体"/>
          <w:color w:val="000000" w:themeColor="text1"/>
          <w:sz w:val="32"/>
          <w:szCs w:val="32"/>
        </w:rPr>
      </w:pPr>
      <w:r>
        <w:rPr>
          <w:rFonts w:hint="eastAsia" w:ascii="黑体" w:hAnsi="黑体" w:eastAsia="黑体"/>
          <w:color w:val="000000" w:themeColor="text1"/>
          <w:sz w:val="32"/>
          <w:szCs w:val="32"/>
          <w:lang w:eastAsia="zh-CN"/>
        </w:rPr>
        <w:t>五、</w:t>
      </w:r>
      <w:r>
        <w:rPr>
          <w:rFonts w:ascii="黑体" w:hAnsi="黑体" w:eastAsia="黑体"/>
          <w:color w:val="000000" w:themeColor="text1"/>
          <w:sz w:val="32"/>
          <w:szCs w:val="32"/>
        </w:rPr>
        <w:t>主要经验及做法</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1、建立部门长期、中期目标，做好项目前期准备，立项依据充分。</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2、设立合理的项目绩效目标，保证相关性、完整性、与预算匹配性。</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3、财务制度健全，资金拨付到位。</w:t>
      </w:r>
    </w:p>
    <w:p>
      <w:pPr>
        <w:tabs>
          <w:tab w:val="left" w:pos="500"/>
        </w:tabs>
        <w:spacing w:line="560" w:lineRule="exact"/>
        <w:ind w:firstLine="645"/>
        <w:rPr>
          <w:rFonts w:ascii="黑体" w:hAnsi="黑体" w:eastAsia="黑体"/>
          <w:color w:val="000000" w:themeColor="text1"/>
          <w:sz w:val="32"/>
          <w:szCs w:val="32"/>
        </w:rPr>
      </w:pPr>
      <w:r>
        <w:rPr>
          <w:rFonts w:hint="eastAsia" w:ascii="黑体" w:hAnsi="黑体" w:eastAsia="黑体"/>
          <w:color w:val="000000" w:themeColor="text1"/>
          <w:sz w:val="32"/>
          <w:szCs w:val="32"/>
        </w:rPr>
        <w:t>六</w:t>
      </w:r>
      <w:r>
        <w:rPr>
          <w:rFonts w:ascii="黑体" w:hAnsi="黑体" w:eastAsia="黑体"/>
          <w:color w:val="000000" w:themeColor="text1"/>
          <w:sz w:val="32"/>
          <w:szCs w:val="32"/>
        </w:rPr>
        <w:t>、存在问题及</w:t>
      </w:r>
      <w:r>
        <w:rPr>
          <w:rFonts w:hint="eastAsia" w:ascii="黑体" w:hAnsi="黑体" w:eastAsia="黑体"/>
          <w:color w:val="000000" w:themeColor="text1"/>
          <w:sz w:val="32"/>
          <w:szCs w:val="32"/>
        </w:rPr>
        <w:t>原因</w:t>
      </w:r>
      <w:r>
        <w:rPr>
          <w:rFonts w:ascii="黑体" w:hAnsi="黑体" w:eastAsia="黑体"/>
          <w:color w:val="000000" w:themeColor="text1"/>
          <w:sz w:val="32"/>
          <w:szCs w:val="32"/>
        </w:rPr>
        <w:t>分析</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无</w:t>
      </w:r>
    </w:p>
    <w:p>
      <w:pPr>
        <w:tabs>
          <w:tab w:val="left" w:pos="500"/>
        </w:tabs>
        <w:spacing w:line="560" w:lineRule="exact"/>
        <w:ind w:firstLine="645"/>
        <w:rPr>
          <w:rFonts w:ascii="黑体" w:hAnsi="黑体" w:eastAsia="黑体"/>
          <w:color w:val="000000" w:themeColor="text1"/>
          <w:sz w:val="32"/>
          <w:szCs w:val="32"/>
        </w:rPr>
      </w:pPr>
      <w:r>
        <w:rPr>
          <w:rFonts w:hint="eastAsia" w:ascii="黑体" w:hAnsi="黑体" w:eastAsia="黑体"/>
          <w:color w:val="000000" w:themeColor="text1"/>
          <w:sz w:val="32"/>
          <w:szCs w:val="32"/>
        </w:rPr>
        <w:t>七</w:t>
      </w:r>
      <w:r>
        <w:rPr>
          <w:rFonts w:ascii="黑体" w:hAnsi="黑体" w:eastAsia="黑体"/>
          <w:color w:val="000000" w:themeColor="text1"/>
          <w:sz w:val="32"/>
          <w:szCs w:val="32"/>
        </w:rPr>
        <w:t>、</w:t>
      </w:r>
      <w:r>
        <w:rPr>
          <w:rFonts w:hint="eastAsia" w:ascii="黑体" w:hAnsi="黑体" w:eastAsia="黑体"/>
          <w:color w:val="000000" w:themeColor="text1"/>
          <w:sz w:val="32"/>
          <w:szCs w:val="32"/>
        </w:rPr>
        <w:t>有关</w:t>
      </w:r>
      <w:r>
        <w:rPr>
          <w:rFonts w:ascii="黑体" w:hAnsi="黑体" w:eastAsia="黑体"/>
          <w:color w:val="000000" w:themeColor="text1"/>
          <w:sz w:val="32"/>
          <w:szCs w:val="32"/>
        </w:rPr>
        <w:t>建议</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1、加强项目后期管理及完善相关制度，让管护工作具有可持续性。</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2、建立健全绩效目标考核制度，强化绩效目标管理。</w:t>
      </w:r>
    </w:p>
    <w:p>
      <w:pPr>
        <w:tabs>
          <w:tab w:val="left" w:pos="500"/>
        </w:tabs>
        <w:spacing w:line="560" w:lineRule="exact"/>
        <w:ind w:firstLine="645"/>
        <w:rPr>
          <w:rFonts w:ascii="黑体" w:hAnsi="黑体" w:eastAsia="黑体"/>
          <w:color w:val="000000" w:themeColor="text1"/>
          <w:sz w:val="32"/>
          <w:szCs w:val="32"/>
        </w:rPr>
      </w:pPr>
      <w:r>
        <w:rPr>
          <w:rFonts w:hint="eastAsia" w:ascii="黑体" w:hAnsi="黑体" w:eastAsia="黑体"/>
          <w:color w:val="000000" w:themeColor="text1"/>
          <w:sz w:val="32"/>
          <w:szCs w:val="32"/>
        </w:rPr>
        <w:t>八</w:t>
      </w:r>
      <w:r>
        <w:rPr>
          <w:rFonts w:ascii="黑体" w:hAnsi="黑体" w:eastAsia="黑体"/>
          <w:color w:val="000000" w:themeColor="text1"/>
          <w:sz w:val="32"/>
          <w:szCs w:val="32"/>
        </w:rPr>
        <w:t>、其他需要说明的问题</w:t>
      </w:r>
    </w:p>
    <w:p>
      <w:pPr>
        <w:tabs>
          <w:tab w:val="left" w:pos="500"/>
        </w:tabs>
        <w:spacing w:line="560" w:lineRule="exact"/>
        <w:ind w:firstLine="645"/>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无</w:t>
      </w:r>
    </w:p>
    <w:p>
      <w:pPr>
        <w:tabs>
          <w:tab w:val="left" w:pos="500"/>
        </w:tabs>
        <w:spacing w:line="560" w:lineRule="exact"/>
        <w:rPr>
          <w:rFonts w:hint="eastAsia" w:ascii="仿宋" w:hAnsi="仿宋" w:eastAsia="仿宋" w:cs="仿宋"/>
          <w:color w:val="000000" w:themeColor="text1"/>
          <w:sz w:val="32"/>
          <w:szCs w:val="32"/>
          <w:lang w:eastAsia="zh-CN"/>
        </w:rPr>
      </w:pPr>
    </w:p>
    <w:p>
      <w:pPr>
        <w:tabs>
          <w:tab w:val="left" w:pos="500"/>
        </w:tabs>
        <w:spacing w:line="560" w:lineRule="exact"/>
        <w:ind w:firstLine="645"/>
        <w:rPr>
          <w:rFonts w:ascii="仿宋_GB2312" w:hAnsi="仿宋" w:cs="仿宋"/>
          <w:color w:val="000000" w:themeColor="text1"/>
          <w:sz w:val="32"/>
          <w:szCs w:val="32"/>
        </w:rPr>
      </w:pPr>
      <w:r>
        <w:rPr>
          <w:rFonts w:hint="eastAsia" w:ascii="仿宋_GB2312" w:hAnsi="仿宋" w:cs="仿宋"/>
          <w:color w:val="000000" w:themeColor="text1"/>
          <w:sz w:val="32"/>
          <w:szCs w:val="32"/>
        </w:rPr>
        <w:t>附：1.绩效评价指标体系</w:t>
      </w:r>
    </w:p>
    <w:p>
      <w:pPr>
        <w:tabs>
          <w:tab w:val="left" w:pos="500"/>
        </w:tabs>
        <w:spacing w:line="560" w:lineRule="exact"/>
        <w:ind w:firstLine="645"/>
        <w:rPr>
          <w:rFonts w:ascii="仿宋_GB2312" w:hAnsi="仿宋" w:cs="仿宋"/>
          <w:color w:val="000000" w:themeColor="text1"/>
          <w:sz w:val="32"/>
          <w:szCs w:val="32"/>
        </w:rPr>
      </w:pPr>
      <w:r>
        <w:rPr>
          <w:rFonts w:hint="eastAsia" w:ascii="仿宋_GB2312" w:hAnsi="仿宋" w:cs="仿宋"/>
          <w:color w:val="000000" w:themeColor="text1"/>
          <w:sz w:val="32"/>
          <w:szCs w:val="32"/>
        </w:rPr>
        <w:t xml:space="preserve">    2.</w:t>
      </w:r>
      <w:r>
        <w:rPr>
          <w:rFonts w:hint="eastAsia" w:ascii="仿宋_GB2312" w:hAnsi="仿宋" w:cs="仿宋"/>
          <w:color w:val="000000" w:themeColor="text1"/>
          <w:sz w:val="32"/>
          <w:szCs w:val="32"/>
          <w:lang w:eastAsia="zh-CN"/>
        </w:rPr>
        <w:t>平阿山非煤矿山生态修复专项生态管护</w:t>
      </w:r>
      <w:r>
        <w:rPr>
          <w:rFonts w:hint="eastAsia" w:ascii="仿宋_GB2312" w:hAnsi="仿宋" w:cs="仿宋"/>
          <w:color w:val="000000" w:themeColor="text1"/>
          <w:sz w:val="32"/>
          <w:szCs w:val="32"/>
        </w:rPr>
        <w:t>项目绩效目标完成清单（见附表1）</w:t>
      </w:r>
    </w:p>
    <w:p>
      <w:pPr>
        <w:tabs>
          <w:tab w:val="left" w:pos="500"/>
        </w:tabs>
        <w:spacing w:line="560" w:lineRule="exact"/>
        <w:ind w:firstLine="645"/>
        <w:rPr>
          <w:rFonts w:ascii="仿宋_GB2312" w:hAnsi="仿宋" w:cs="仿宋"/>
          <w:color w:val="000000" w:themeColor="text1"/>
          <w:sz w:val="32"/>
          <w:szCs w:val="32"/>
        </w:rPr>
      </w:pPr>
      <w:r>
        <w:rPr>
          <w:rFonts w:hint="eastAsia" w:ascii="仿宋_GB2312" w:hAnsi="仿宋" w:cs="仿宋"/>
          <w:color w:val="000000" w:themeColor="text1"/>
          <w:sz w:val="32"/>
          <w:szCs w:val="32"/>
        </w:rPr>
        <w:t xml:space="preserve">    3.</w:t>
      </w:r>
      <w:r>
        <w:rPr>
          <w:rFonts w:hint="eastAsia" w:ascii="仿宋_GB2312" w:hAnsi="仿宋" w:cs="仿宋"/>
          <w:color w:val="000000" w:themeColor="text1"/>
          <w:sz w:val="32"/>
          <w:szCs w:val="32"/>
          <w:lang w:eastAsia="zh-CN"/>
        </w:rPr>
        <w:t>平阿山非煤矿山生态修复专项生态管护</w:t>
      </w:r>
      <w:r>
        <w:rPr>
          <w:rFonts w:hint="eastAsia" w:ascii="仿宋_GB2312" w:hAnsi="仿宋" w:cs="仿宋"/>
          <w:color w:val="000000" w:themeColor="text1"/>
          <w:sz w:val="32"/>
          <w:szCs w:val="32"/>
        </w:rPr>
        <w:t>项目绩效评价问题清单（见附表2）</w:t>
      </w:r>
    </w:p>
    <w:p>
      <w:pPr>
        <w:tabs>
          <w:tab w:val="left" w:pos="500"/>
        </w:tabs>
        <w:spacing w:line="560" w:lineRule="exact"/>
        <w:ind w:firstLine="645"/>
        <w:rPr>
          <w:rFonts w:ascii="仿宋_GB2312" w:hAnsi="仿宋" w:cs="仿宋"/>
          <w:color w:val="000000" w:themeColor="text1"/>
          <w:sz w:val="32"/>
          <w:szCs w:val="32"/>
        </w:rPr>
      </w:pPr>
      <w:r>
        <w:rPr>
          <w:rFonts w:hint="eastAsia" w:ascii="仿宋_GB2312" w:hAnsi="仿宋" w:cs="仿宋"/>
          <w:color w:val="000000" w:themeColor="text1"/>
          <w:sz w:val="32"/>
          <w:szCs w:val="32"/>
        </w:rPr>
        <w:t xml:space="preserve">    4.</w:t>
      </w:r>
      <w:r>
        <w:rPr>
          <w:rFonts w:hint="eastAsia" w:ascii="仿宋_GB2312" w:hAnsi="仿宋" w:cs="仿宋"/>
          <w:color w:val="000000" w:themeColor="text1"/>
          <w:sz w:val="32"/>
          <w:szCs w:val="32"/>
          <w:lang w:eastAsia="zh-CN"/>
        </w:rPr>
        <w:t>平阿山非煤矿山生态修复专项生态管护</w:t>
      </w:r>
      <w:r>
        <w:rPr>
          <w:rFonts w:hint="eastAsia" w:ascii="仿宋_GB2312" w:hAnsi="仿宋" w:cs="仿宋"/>
          <w:color w:val="000000" w:themeColor="text1"/>
          <w:sz w:val="32"/>
          <w:szCs w:val="32"/>
        </w:rPr>
        <w:t>项目绩效评价评分情况表（见附表3）</w:t>
      </w:r>
    </w:p>
    <w:p>
      <w:pPr>
        <w:rPr>
          <w:sz w:val="32"/>
          <w:szCs w:val="32"/>
        </w:rPr>
      </w:pPr>
    </w:p>
    <w:p/>
    <w:p/>
    <w:p>
      <w:pPr>
        <w:sectPr>
          <w:pgSz w:w="11906" w:h="16838"/>
          <w:pgMar w:top="1440" w:right="1800" w:bottom="1440" w:left="1800" w:header="851" w:footer="992" w:gutter="0"/>
          <w:cols w:space="425" w:num="1"/>
          <w:docGrid w:type="lines" w:linePitch="312" w:charSpace="0"/>
        </w:sectPr>
      </w:pPr>
    </w:p>
    <w:tbl>
      <w:tblPr>
        <w:tblStyle w:val="5"/>
        <w:tblW w:w="13700" w:type="dxa"/>
        <w:tblInd w:w="91" w:type="dxa"/>
        <w:tblLayout w:type="autofit"/>
        <w:tblCellMar>
          <w:top w:w="0" w:type="dxa"/>
          <w:left w:w="108" w:type="dxa"/>
          <w:bottom w:w="0" w:type="dxa"/>
          <w:right w:w="108" w:type="dxa"/>
        </w:tblCellMar>
      </w:tblPr>
      <w:tblGrid>
        <w:gridCol w:w="1008"/>
        <w:gridCol w:w="5652"/>
        <w:gridCol w:w="5680"/>
        <w:gridCol w:w="1360"/>
      </w:tblGrid>
      <w:tr>
        <w:tblPrEx>
          <w:tblCellMar>
            <w:top w:w="0" w:type="dxa"/>
            <w:left w:w="108" w:type="dxa"/>
            <w:bottom w:w="0" w:type="dxa"/>
            <w:right w:w="108" w:type="dxa"/>
          </w:tblCellMar>
        </w:tblPrEx>
        <w:trPr>
          <w:trHeight w:val="375" w:hRule="atLeast"/>
        </w:trPr>
        <w:tc>
          <w:tcPr>
            <w:tcW w:w="1008" w:type="dxa"/>
            <w:tcBorders>
              <w:top w:val="nil"/>
              <w:left w:val="nil"/>
              <w:bottom w:val="nil"/>
              <w:right w:val="nil"/>
            </w:tcBorders>
            <w:shd w:val="clear" w:color="auto" w:fill="auto"/>
            <w:noWrap/>
            <w:vAlign w:val="bottom"/>
          </w:tcPr>
          <w:p>
            <w:pPr>
              <w:widowControl/>
              <w:jc w:val="left"/>
              <w:rPr>
                <w:rFonts w:ascii="黑体" w:hAnsi="宋体" w:eastAsia="黑体" w:cs="宋体"/>
                <w:color w:val="000000"/>
                <w:kern w:val="0"/>
                <w:sz w:val="28"/>
                <w:szCs w:val="28"/>
              </w:rPr>
            </w:pPr>
            <w:r>
              <w:rPr>
                <w:rFonts w:hint="eastAsia" w:ascii="黑体" w:hAnsi="宋体" w:eastAsia="黑体" w:cs="宋体"/>
                <w:color w:val="000000"/>
                <w:kern w:val="0"/>
                <w:sz w:val="28"/>
                <w:szCs w:val="28"/>
              </w:rPr>
              <w:t>附表1</w:t>
            </w:r>
          </w:p>
        </w:tc>
        <w:tc>
          <w:tcPr>
            <w:tcW w:w="5652" w:type="dxa"/>
            <w:tcBorders>
              <w:top w:val="nil"/>
              <w:left w:val="nil"/>
              <w:bottom w:val="nil"/>
              <w:right w:val="nil"/>
            </w:tcBorders>
            <w:shd w:val="clear" w:color="auto" w:fill="auto"/>
            <w:noWrap/>
            <w:vAlign w:val="bottom"/>
          </w:tcPr>
          <w:p>
            <w:pPr>
              <w:widowControl/>
              <w:jc w:val="left"/>
              <w:rPr>
                <w:rFonts w:ascii="黑体" w:hAnsi="宋体" w:eastAsia="黑体" w:cs="宋体"/>
                <w:color w:val="000000"/>
                <w:kern w:val="0"/>
                <w:sz w:val="28"/>
                <w:szCs w:val="28"/>
              </w:rPr>
            </w:pPr>
          </w:p>
        </w:tc>
        <w:tc>
          <w:tcPr>
            <w:tcW w:w="5680" w:type="dxa"/>
            <w:tcBorders>
              <w:top w:val="nil"/>
              <w:left w:val="nil"/>
              <w:bottom w:val="nil"/>
              <w:right w:val="nil"/>
            </w:tcBorders>
            <w:shd w:val="clear" w:color="auto" w:fill="auto"/>
            <w:noWrap/>
            <w:vAlign w:val="bottom"/>
          </w:tcPr>
          <w:p>
            <w:pPr>
              <w:widowControl/>
              <w:jc w:val="left"/>
              <w:rPr>
                <w:rFonts w:ascii="黑体" w:hAnsi="宋体" w:eastAsia="黑体" w:cs="宋体"/>
                <w:color w:val="000000"/>
                <w:kern w:val="0"/>
                <w:sz w:val="28"/>
                <w:szCs w:val="28"/>
              </w:rPr>
            </w:pPr>
          </w:p>
        </w:tc>
        <w:tc>
          <w:tcPr>
            <w:tcW w:w="1360" w:type="dxa"/>
            <w:tcBorders>
              <w:top w:val="nil"/>
              <w:left w:val="nil"/>
              <w:bottom w:val="nil"/>
              <w:right w:val="nil"/>
            </w:tcBorders>
            <w:shd w:val="clear" w:color="auto" w:fill="auto"/>
            <w:noWrap/>
            <w:vAlign w:val="bottom"/>
          </w:tcPr>
          <w:p>
            <w:pPr>
              <w:widowControl/>
              <w:jc w:val="left"/>
              <w:rPr>
                <w:rFonts w:ascii="黑体" w:hAnsi="宋体" w:eastAsia="黑体" w:cs="宋体"/>
                <w:color w:val="000000"/>
                <w:kern w:val="0"/>
                <w:sz w:val="28"/>
                <w:szCs w:val="28"/>
              </w:rPr>
            </w:pPr>
          </w:p>
        </w:tc>
      </w:tr>
      <w:tr>
        <w:tblPrEx>
          <w:tblCellMar>
            <w:top w:w="0" w:type="dxa"/>
            <w:left w:w="108" w:type="dxa"/>
            <w:bottom w:w="0" w:type="dxa"/>
            <w:right w:w="108" w:type="dxa"/>
          </w:tblCellMar>
        </w:tblPrEx>
        <w:trPr>
          <w:trHeight w:val="915" w:hRule="atLeast"/>
        </w:trPr>
        <w:tc>
          <w:tcPr>
            <w:tcW w:w="13700" w:type="dxa"/>
            <w:gridSpan w:val="4"/>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lang w:eastAsia="zh-CN"/>
              </w:rPr>
              <w:t>平阿山非煤矿山生态修复专项生态管护</w:t>
            </w:r>
            <w:r>
              <w:rPr>
                <w:rFonts w:hint="eastAsia" w:ascii="宋体" w:hAnsi="宋体" w:eastAsia="宋体" w:cs="宋体"/>
                <w:b/>
                <w:bCs/>
                <w:color w:val="000000"/>
                <w:kern w:val="0"/>
                <w:sz w:val="36"/>
                <w:szCs w:val="36"/>
              </w:rPr>
              <w:t>项目绩效目标完成清单</w:t>
            </w:r>
          </w:p>
        </w:tc>
      </w:tr>
      <w:tr>
        <w:tblPrEx>
          <w:tblCellMar>
            <w:top w:w="0" w:type="dxa"/>
            <w:left w:w="108" w:type="dxa"/>
            <w:bottom w:w="0" w:type="dxa"/>
            <w:right w:w="108" w:type="dxa"/>
          </w:tblCellMar>
        </w:tblPrEx>
        <w:trPr>
          <w:trHeight w:val="799"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56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绩效目标设定情况</w:t>
            </w:r>
          </w:p>
        </w:tc>
        <w:tc>
          <w:tcPr>
            <w:tcW w:w="5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绩效目标完成情况</w:t>
            </w:r>
          </w:p>
        </w:tc>
        <w:tc>
          <w:tcPr>
            <w:tcW w:w="13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tblPrEx>
          <w:tblCellMar>
            <w:top w:w="0" w:type="dxa"/>
            <w:left w:w="108" w:type="dxa"/>
            <w:bottom w:w="0" w:type="dxa"/>
            <w:right w:w="108" w:type="dxa"/>
          </w:tblCellMar>
        </w:tblPrEx>
        <w:trPr>
          <w:trHeight w:val="170"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w:t>
            </w:r>
          </w:p>
        </w:tc>
        <w:tc>
          <w:tcPr>
            <w:tcW w:w="56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总体目标任务：</w:t>
            </w:r>
          </w:p>
        </w:tc>
        <w:tc>
          <w:tcPr>
            <w:tcW w:w="5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总体目标完成情况：</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170"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w:t>
            </w:r>
          </w:p>
        </w:tc>
        <w:tc>
          <w:tcPr>
            <w:tcW w:w="56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采取24小时轮流值守方式，集中力量完成上级分配的生态管护、保护工作，确保国有资产不流失。</w:t>
            </w:r>
          </w:p>
        </w:tc>
        <w:tc>
          <w:tcPr>
            <w:tcW w:w="5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采取24小时轮流值守方式，其中力量完成上级分配的生态管护、保护工作，确保国有资产不流失，全年未发生非法采挖山土石、破坏生态现象。</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170"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w:t>
            </w:r>
          </w:p>
        </w:tc>
        <w:tc>
          <w:tcPr>
            <w:tcW w:w="56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年度绩效目标：</w:t>
            </w:r>
          </w:p>
        </w:tc>
        <w:tc>
          <w:tcPr>
            <w:tcW w:w="5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年度绩效目标完成情况：</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170"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w:t>
            </w:r>
          </w:p>
        </w:tc>
        <w:tc>
          <w:tcPr>
            <w:tcW w:w="5652"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rPr>
            </w:pPr>
            <w:r>
              <w:rPr>
                <w:rFonts w:hint="eastAsia" w:ascii="宋体" w:hAnsi="宋体" w:eastAsia="宋体" w:cs="宋体"/>
                <w:i w:val="0"/>
                <w:color w:val="000000"/>
                <w:kern w:val="0"/>
                <w:sz w:val="20"/>
                <w:szCs w:val="20"/>
                <w:u w:val="none"/>
                <w:lang w:val="en-US" w:eastAsia="zh-CN" w:bidi="ar"/>
              </w:rPr>
              <w:t>非煤矿山面积5018亩</w:t>
            </w:r>
          </w:p>
        </w:tc>
        <w:tc>
          <w:tcPr>
            <w:tcW w:w="5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完成</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170"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w:t>
            </w:r>
          </w:p>
        </w:tc>
        <w:tc>
          <w:tcPr>
            <w:tcW w:w="56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rPr>
              <w:t>杜绝非法采挖山（皮）土石、破坏生态现象≤1次</w:t>
            </w:r>
          </w:p>
        </w:tc>
        <w:tc>
          <w:tcPr>
            <w:tcW w:w="56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i w:val="0"/>
                <w:color w:val="000000"/>
                <w:kern w:val="0"/>
                <w:sz w:val="20"/>
                <w:szCs w:val="20"/>
                <w:u w:val="none"/>
                <w:lang w:val="en-US" w:eastAsia="zh-CN" w:bidi="ar"/>
              </w:rPr>
              <w:t>完成</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170"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w:t>
            </w:r>
          </w:p>
        </w:tc>
        <w:tc>
          <w:tcPr>
            <w:tcW w:w="56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rPr>
              <w:t>日常巡查覆盖率≥85%</w:t>
            </w:r>
          </w:p>
        </w:tc>
        <w:tc>
          <w:tcPr>
            <w:tcW w:w="5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i w:val="0"/>
                <w:color w:val="000000"/>
                <w:kern w:val="0"/>
                <w:sz w:val="20"/>
                <w:szCs w:val="20"/>
                <w:u w:val="none"/>
                <w:lang w:val="en-US" w:eastAsia="zh-CN" w:bidi="ar"/>
              </w:rPr>
              <w:t>完成</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17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4</w:t>
            </w:r>
          </w:p>
        </w:tc>
        <w:tc>
          <w:tcPr>
            <w:tcW w:w="5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eastAsia"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rPr>
              <w:t>资金在规定时间内下达</w:t>
            </w:r>
            <w:r>
              <w:rPr>
                <w:rFonts w:hint="eastAsia" w:ascii="宋体" w:hAnsi="宋体" w:eastAsia="宋体" w:cs="宋体"/>
                <w:b w:val="0"/>
                <w:bCs w:val="0"/>
                <w:color w:val="000000"/>
                <w:kern w:val="0"/>
                <w:sz w:val="22"/>
                <w:szCs w:val="22"/>
                <w:lang w:val="en-US" w:eastAsia="zh-CN"/>
              </w:rPr>
              <w:t>100%</w:t>
            </w:r>
          </w:p>
        </w:tc>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i w:val="0"/>
                <w:color w:val="000000"/>
                <w:kern w:val="0"/>
                <w:sz w:val="20"/>
                <w:szCs w:val="20"/>
                <w:u w:val="none"/>
                <w:lang w:val="en-US" w:eastAsia="zh-CN" w:bidi="ar"/>
              </w:rPr>
              <w:t>完成</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17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w:t>
            </w:r>
          </w:p>
        </w:tc>
        <w:tc>
          <w:tcPr>
            <w:tcW w:w="5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rPr>
              <w:t>预算控制率≤</w:t>
            </w:r>
            <w:r>
              <w:rPr>
                <w:rFonts w:hint="eastAsia" w:ascii="宋体" w:hAnsi="宋体" w:eastAsia="宋体" w:cs="宋体"/>
                <w:b w:val="0"/>
                <w:bCs w:val="0"/>
                <w:color w:val="000000"/>
                <w:kern w:val="0"/>
                <w:sz w:val="22"/>
                <w:szCs w:val="22"/>
                <w:lang w:val="en-US" w:eastAsia="zh-CN"/>
              </w:rPr>
              <w:t>100%</w:t>
            </w:r>
          </w:p>
        </w:tc>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i w:val="0"/>
                <w:color w:val="000000"/>
                <w:kern w:val="0"/>
                <w:sz w:val="20"/>
                <w:szCs w:val="20"/>
                <w:u w:val="none"/>
                <w:lang w:val="en-US" w:eastAsia="zh-CN" w:bidi="ar"/>
              </w:rPr>
              <w:t>完成</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17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w:t>
            </w:r>
          </w:p>
        </w:tc>
        <w:tc>
          <w:tcPr>
            <w:tcW w:w="5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确保国有森林资源不破坏、国有资产不流失</w:t>
            </w:r>
          </w:p>
        </w:tc>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i w:val="0"/>
                <w:color w:val="000000"/>
                <w:kern w:val="0"/>
                <w:sz w:val="20"/>
                <w:szCs w:val="20"/>
                <w:u w:val="none"/>
                <w:lang w:val="en-US" w:eastAsia="zh-CN" w:bidi="ar"/>
              </w:rPr>
              <w:t>完成</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17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w:t>
            </w:r>
          </w:p>
        </w:tc>
        <w:tc>
          <w:tcPr>
            <w:tcW w:w="5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降低地质灾害</w:t>
            </w:r>
          </w:p>
        </w:tc>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i w:val="0"/>
                <w:color w:val="000000"/>
                <w:kern w:val="0"/>
                <w:sz w:val="20"/>
                <w:szCs w:val="20"/>
                <w:u w:val="none"/>
                <w:lang w:val="en-US" w:eastAsia="zh-CN" w:bidi="ar"/>
              </w:rPr>
              <w:t>完成</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17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w:t>
            </w:r>
          </w:p>
        </w:tc>
        <w:tc>
          <w:tcPr>
            <w:tcW w:w="5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实现资源的可持续利用与生态环境的协调发展</w:t>
            </w:r>
          </w:p>
        </w:tc>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i w:val="0"/>
                <w:color w:val="000000"/>
                <w:kern w:val="0"/>
                <w:sz w:val="20"/>
                <w:szCs w:val="20"/>
                <w:u w:val="none"/>
                <w:lang w:val="en-US" w:eastAsia="zh-CN" w:bidi="ar"/>
              </w:rPr>
              <w:t>完成</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17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w:t>
            </w:r>
          </w:p>
        </w:tc>
        <w:tc>
          <w:tcPr>
            <w:tcW w:w="5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改善生态环境</w:t>
            </w:r>
          </w:p>
        </w:tc>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完成</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17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w:t>
            </w:r>
          </w:p>
        </w:tc>
        <w:tc>
          <w:tcPr>
            <w:tcW w:w="5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职工满意度≥95%</w:t>
            </w:r>
          </w:p>
        </w:tc>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i w:val="0"/>
                <w:color w:val="000000"/>
                <w:kern w:val="0"/>
                <w:sz w:val="20"/>
                <w:szCs w:val="20"/>
                <w:u w:val="none"/>
                <w:lang w:val="en-US" w:eastAsia="zh-CN" w:bidi="ar"/>
              </w:rPr>
              <w:t>完成</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r>
    </w:tbl>
    <w:tbl>
      <w:tblPr>
        <w:tblStyle w:val="5"/>
        <w:tblpPr w:leftFromText="180" w:rightFromText="180" w:vertAnchor="text" w:horzAnchor="margin" w:tblpXSpec="center" w:tblpY="244"/>
        <w:tblW w:w="12800" w:type="dxa"/>
        <w:jc w:val="center"/>
        <w:tblLayout w:type="autofit"/>
        <w:tblCellMar>
          <w:top w:w="0" w:type="dxa"/>
          <w:left w:w="108" w:type="dxa"/>
          <w:bottom w:w="0" w:type="dxa"/>
          <w:right w:w="108" w:type="dxa"/>
        </w:tblCellMar>
      </w:tblPr>
      <w:tblGrid>
        <w:gridCol w:w="860"/>
        <w:gridCol w:w="1280"/>
        <w:gridCol w:w="1300"/>
        <w:gridCol w:w="1240"/>
        <w:gridCol w:w="260"/>
        <w:gridCol w:w="860"/>
        <w:gridCol w:w="180"/>
        <w:gridCol w:w="1940"/>
        <w:gridCol w:w="1560"/>
        <w:gridCol w:w="1160"/>
        <w:gridCol w:w="80"/>
        <w:gridCol w:w="1000"/>
        <w:gridCol w:w="437"/>
        <w:gridCol w:w="643"/>
      </w:tblGrid>
      <w:tr>
        <w:tblPrEx>
          <w:tblCellMar>
            <w:top w:w="0" w:type="dxa"/>
            <w:left w:w="108" w:type="dxa"/>
            <w:bottom w:w="0" w:type="dxa"/>
            <w:right w:w="108" w:type="dxa"/>
          </w:tblCellMar>
        </w:tblPrEx>
        <w:trPr>
          <w:gridAfter w:val="1"/>
          <w:wAfter w:w="643" w:type="dxa"/>
          <w:trHeight w:val="923" w:hRule="atLeast"/>
          <w:jc w:val="center"/>
        </w:trPr>
        <w:tc>
          <w:tcPr>
            <w:tcW w:w="12157" w:type="dxa"/>
            <w:gridSpan w:val="13"/>
            <w:tcBorders>
              <w:top w:val="nil"/>
              <w:left w:val="nil"/>
              <w:bottom w:val="single" w:color="auto" w:sz="4" w:space="0"/>
              <w:right w:val="nil"/>
            </w:tcBorders>
            <w:shd w:val="clear" w:color="auto" w:fill="auto"/>
            <w:noWrap/>
            <w:vAlign w:val="center"/>
          </w:tcPr>
          <w:p>
            <w:pPr>
              <w:jc w:val="left"/>
              <w:rPr>
                <w:rFonts w:ascii="黑体" w:eastAsia="黑体"/>
                <w:bCs/>
                <w:color w:val="000000"/>
                <w:sz w:val="28"/>
                <w:szCs w:val="28"/>
              </w:rPr>
            </w:pPr>
            <w:r>
              <w:rPr>
                <w:rFonts w:hint="eastAsia" w:ascii="黑体" w:eastAsia="黑体"/>
                <w:bCs/>
                <w:color w:val="000000"/>
                <w:sz w:val="28"/>
                <w:szCs w:val="28"/>
              </w:rPr>
              <w:t>附表2</w:t>
            </w:r>
          </w:p>
          <w:p>
            <w:pPr>
              <w:jc w:val="center"/>
              <w:rPr>
                <w:rFonts w:cs="宋体" w:asciiTheme="minorEastAsia" w:hAnsiTheme="minorEastAsia" w:eastAsiaTheme="minorEastAsia"/>
                <w:b/>
                <w:bCs/>
                <w:color w:val="000000"/>
                <w:sz w:val="36"/>
                <w:szCs w:val="36"/>
              </w:rPr>
            </w:pPr>
            <w:r>
              <w:rPr>
                <w:rFonts w:hint="eastAsia" w:ascii="宋体" w:hAnsi="宋体" w:eastAsia="宋体" w:cs="宋体"/>
                <w:b/>
                <w:bCs/>
                <w:color w:val="000000"/>
                <w:kern w:val="0"/>
                <w:sz w:val="36"/>
                <w:szCs w:val="36"/>
                <w:lang w:eastAsia="zh-CN"/>
              </w:rPr>
              <w:t>平阿山非煤矿山生态修复专项生态管护</w:t>
            </w:r>
            <w:r>
              <w:rPr>
                <w:rFonts w:hint="eastAsia" w:asciiTheme="minorEastAsia" w:hAnsiTheme="minorEastAsia" w:eastAsiaTheme="minorEastAsia"/>
                <w:b/>
                <w:bCs/>
                <w:color w:val="000000"/>
                <w:sz w:val="36"/>
                <w:szCs w:val="36"/>
              </w:rPr>
              <w:t>项目绩效评价问题清单</w:t>
            </w:r>
          </w:p>
        </w:tc>
      </w:tr>
      <w:tr>
        <w:tblPrEx>
          <w:tblCellMar>
            <w:top w:w="0" w:type="dxa"/>
            <w:left w:w="108" w:type="dxa"/>
            <w:bottom w:w="0" w:type="dxa"/>
            <w:right w:w="108" w:type="dxa"/>
          </w:tblCellMar>
        </w:tblPrEx>
        <w:trPr>
          <w:gridAfter w:val="1"/>
          <w:wAfter w:w="643" w:type="dxa"/>
          <w:trHeight w:val="345" w:hRule="atLeast"/>
          <w:jc w:val="center"/>
        </w:trPr>
        <w:tc>
          <w:tcPr>
            <w:tcW w:w="4940" w:type="dxa"/>
            <w:gridSpan w:val="5"/>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问题分类</w:t>
            </w:r>
          </w:p>
        </w:tc>
        <w:tc>
          <w:tcPr>
            <w:tcW w:w="104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序号</w:t>
            </w:r>
          </w:p>
        </w:tc>
        <w:tc>
          <w:tcPr>
            <w:tcW w:w="194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责任部门（单位）</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问题描述</w:t>
            </w:r>
          </w:p>
        </w:tc>
        <w:tc>
          <w:tcPr>
            <w:tcW w:w="12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整改建议</w:t>
            </w:r>
          </w:p>
        </w:tc>
        <w:tc>
          <w:tcPr>
            <w:tcW w:w="1437"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备注</w:t>
            </w:r>
          </w:p>
        </w:tc>
      </w:tr>
      <w:tr>
        <w:tblPrEx>
          <w:tblCellMar>
            <w:top w:w="0" w:type="dxa"/>
            <w:left w:w="108" w:type="dxa"/>
            <w:bottom w:w="0" w:type="dxa"/>
            <w:right w:w="108" w:type="dxa"/>
          </w:tblCellMar>
        </w:tblPrEx>
        <w:trPr>
          <w:gridAfter w:val="1"/>
          <w:wAfter w:w="643" w:type="dxa"/>
          <w:trHeight w:val="338" w:hRule="atLeast"/>
          <w:jc w:val="center"/>
        </w:trPr>
        <w:tc>
          <w:tcPr>
            <w:tcW w:w="4940" w:type="dxa"/>
            <w:gridSpan w:val="5"/>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项目决策存在的问题（包括项目立项、绩效目标设定、预算编制和资金分配等）</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94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b/>
                <w:bCs/>
                <w:color w:val="000000"/>
                <w:sz w:val="22"/>
                <w:szCs w:val="22"/>
              </w:rPr>
            </w:pPr>
            <w:r>
              <w:rPr>
                <w:rFonts w:hint="eastAsia"/>
                <w:b/>
                <w:bCs/>
                <w:color w:val="000000"/>
                <w:sz w:val="22"/>
                <w:szCs w:val="22"/>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b/>
                <w:bCs/>
                <w:color w:val="000000"/>
                <w:sz w:val="22"/>
                <w:szCs w:val="22"/>
              </w:rPr>
            </w:pPr>
            <w:r>
              <w:rPr>
                <w:rFonts w:hint="eastAsia"/>
                <w:b/>
                <w:bCs/>
                <w:color w:val="000000"/>
                <w:sz w:val="22"/>
                <w:szCs w:val="22"/>
              </w:rPr>
              <w:t>　</w:t>
            </w:r>
          </w:p>
        </w:tc>
      </w:tr>
      <w:tr>
        <w:tblPrEx>
          <w:tblCellMar>
            <w:top w:w="0" w:type="dxa"/>
            <w:left w:w="108" w:type="dxa"/>
            <w:bottom w:w="0" w:type="dxa"/>
            <w:right w:w="108" w:type="dxa"/>
          </w:tblCellMar>
        </w:tblPrEx>
        <w:trPr>
          <w:gridAfter w:val="1"/>
          <w:wAfter w:w="643" w:type="dxa"/>
          <w:trHeight w:val="275" w:hRule="atLeast"/>
          <w:jc w:val="center"/>
        </w:trPr>
        <w:tc>
          <w:tcPr>
            <w:tcW w:w="4940" w:type="dxa"/>
            <w:gridSpan w:val="5"/>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2</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b/>
                <w:bCs/>
                <w:color w:val="000000"/>
                <w:sz w:val="18"/>
                <w:szCs w:val="18"/>
              </w:rPr>
            </w:pPr>
            <w:r>
              <w:rPr>
                <w:rFonts w:hint="eastAsia"/>
                <w:b/>
                <w:bCs/>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81" w:hRule="atLeast"/>
          <w:jc w:val="center"/>
        </w:trPr>
        <w:tc>
          <w:tcPr>
            <w:tcW w:w="4940" w:type="dxa"/>
            <w:gridSpan w:val="5"/>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b/>
                <w:bCs/>
                <w:color w:val="000000"/>
                <w:sz w:val="18"/>
                <w:szCs w:val="18"/>
              </w:rPr>
            </w:pPr>
            <w:r>
              <w:rPr>
                <w:rFonts w:hint="eastAsia" w:ascii="等线" w:eastAsia="等线"/>
                <w:b/>
                <w:bCs/>
                <w:color w:val="000000"/>
                <w:sz w:val="18"/>
                <w:szCs w:val="18"/>
              </w:rPr>
              <w:t>…</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bCs/>
                <w:color w:val="000000"/>
                <w:sz w:val="18"/>
                <w:szCs w:val="18"/>
              </w:rPr>
            </w:pPr>
            <w:r>
              <w:rPr>
                <w:rFonts w:hint="eastAsia"/>
                <w:b/>
                <w:bCs/>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25" w:hRule="atLeast"/>
          <w:jc w:val="center"/>
        </w:trPr>
        <w:tc>
          <w:tcPr>
            <w:tcW w:w="4940" w:type="dxa"/>
            <w:gridSpan w:val="5"/>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资金管理存在的问题（包括资金到位情况、预算执行情况和资金使用合规性等）</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bCs/>
                <w:color w:val="000000"/>
                <w:sz w:val="18"/>
                <w:szCs w:val="18"/>
              </w:rPr>
            </w:pPr>
            <w:r>
              <w:rPr>
                <w:rFonts w:hint="eastAsia"/>
                <w:b/>
                <w:bCs/>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25" w:hRule="atLeast"/>
          <w:jc w:val="center"/>
        </w:trPr>
        <w:tc>
          <w:tcPr>
            <w:tcW w:w="4940" w:type="dxa"/>
            <w:gridSpan w:val="5"/>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2</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25" w:hRule="atLeast"/>
          <w:jc w:val="center"/>
        </w:trPr>
        <w:tc>
          <w:tcPr>
            <w:tcW w:w="4940" w:type="dxa"/>
            <w:gridSpan w:val="5"/>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b/>
                <w:bCs/>
                <w:color w:val="000000"/>
                <w:sz w:val="18"/>
                <w:szCs w:val="18"/>
              </w:rPr>
            </w:pPr>
            <w:r>
              <w:rPr>
                <w:rFonts w:hint="eastAsia" w:ascii="等线" w:eastAsia="等线"/>
                <w:b/>
                <w:bCs/>
                <w:color w:val="000000"/>
                <w:sz w:val="18"/>
                <w:szCs w:val="18"/>
              </w:rPr>
              <w:t>…</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25" w:hRule="atLeast"/>
          <w:jc w:val="center"/>
        </w:trPr>
        <w:tc>
          <w:tcPr>
            <w:tcW w:w="4940" w:type="dxa"/>
            <w:gridSpan w:val="5"/>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项目管理存在的问题（包括项目过程管控、监督问效、制度建设及执行情况等）</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25" w:hRule="atLeast"/>
          <w:jc w:val="center"/>
        </w:trPr>
        <w:tc>
          <w:tcPr>
            <w:tcW w:w="4940" w:type="dxa"/>
            <w:gridSpan w:val="5"/>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2</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25" w:hRule="atLeast"/>
          <w:jc w:val="center"/>
        </w:trPr>
        <w:tc>
          <w:tcPr>
            <w:tcW w:w="4940" w:type="dxa"/>
            <w:gridSpan w:val="5"/>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b/>
                <w:bCs/>
                <w:color w:val="000000"/>
                <w:sz w:val="18"/>
                <w:szCs w:val="18"/>
              </w:rPr>
            </w:pPr>
            <w:r>
              <w:rPr>
                <w:rFonts w:hint="eastAsia" w:ascii="等线" w:eastAsia="等线"/>
                <w:b/>
                <w:bCs/>
                <w:color w:val="000000"/>
                <w:sz w:val="18"/>
                <w:szCs w:val="18"/>
              </w:rPr>
              <w:t>…</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25" w:hRule="atLeast"/>
          <w:jc w:val="center"/>
        </w:trPr>
        <w:tc>
          <w:tcPr>
            <w:tcW w:w="4940" w:type="dxa"/>
            <w:gridSpan w:val="5"/>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项目产出存在的问题（包括产出数量、产出质量、产出时效、产出成本等）</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25" w:hRule="atLeast"/>
          <w:jc w:val="center"/>
        </w:trPr>
        <w:tc>
          <w:tcPr>
            <w:tcW w:w="4940" w:type="dxa"/>
            <w:gridSpan w:val="5"/>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b/>
                <w:bCs/>
                <w:color w:val="000000"/>
                <w:sz w:val="18"/>
                <w:szCs w:val="18"/>
              </w:rPr>
            </w:pPr>
            <w:r>
              <w:rPr>
                <w:rFonts w:hint="eastAsia" w:ascii="等线" w:eastAsia="等线"/>
                <w:b/>
                <w:bCs/>
                <w:color w:val="000000"/>
                <w:sz w:val="18"/>
                <w:szCs w:val="18"/>
              </w:rPr>
              <w:t>…</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25" w:hRule="atLeast"/>
          <w:jc w:val="center"/>
        </w:trPr>
        <w:tc>
          <w:tcPr>
            <w:tcW w:w="4940" w:type="dxa"/>
            <w:gridSpan w:val="5"/>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项目效益存在的问题（包括经济效益、社会效益、可持续影响和满意度等）</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25" w:hRule="atLeast"/>
          <w:jc w:val="center"/>
        </w:trPr>
        <w:tc>
          <w:tcPr>
            <w:tcW w:w="4940" w:type="dxa"/>
            <w:gridSpan w:val="5"/>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b/>
                <w:bCs/>
                <w:color w:val="000000"/>
                <w:sz w:val="18"/>
                <w:szCs w:val="18"/>
              </w:rPr>
            </w:pPr>
            <w:r>
              <w:rPr>
                <w:rFonts w:hint="eastAsia" w:ascii="等线" w:eastAsia="等线"/>
                <w:b/>
                <w:bCs/>
                <w:color w:val="000000"/>
                <w:sz w:val="18"/>
                <w:szCs w:val="18"/>
              </w:rPr>
              <w:t>…</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78" w:hRule="atLeast"/>
          <w:jc w:val="center"/>
        </w:trPr>
        <w:tc>
          <w:tcPr>
            <w:tcW w:w="4940" w:type="dxa"/>
            <w:gridSpan w:val="5"/>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其他问题</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143" w:hRule="atLeast"/>
          <w:jc w:val="center"/>
        </w:trPr>
        <w:tc>
          <w:tcPr>
            <w:tcW w:w="4940" w:type="dxa"/>
            <w:gridSpan w:val="5"/>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b/>
                <w:bCs/>
                <w:color w:val="000000"/>
                <w:sz w:val="18"/>
                <w:szCs w:val="18"/>
              </w:rPr>
            </w:pPr>
            <w:r>
              <w:rPr>
                <w:rFonts w:hint="eastAsia" w:ascii="等线" w:eastAsia="等线"/>
                <w:b/>
                <w:bCs/>
                <w:color w:val="000000"/>
                <w:sz w:val="18"/>
                <w:szCs w:val="18"/>
              </w:rPr>
              <w:t>…</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bCs/>
                <w:color w:val="000000"/>
                <w:sz w:val="18"/>
                <w:szCs w:val="18"/>
              </w:rPr>
            </w:pPr>
            <w:r>
              <w:rPr>
                <w:rFonts w:hint="eastAsia"/>
                <w:b/>
                <w:bCs/>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375" w:hRule="atLeast"/>
          <w:jc w:val="center"/>
        </w:trPr>
        <w:tc>
          <w:tcPr>
            <w:tcW w:w="860" w:type="dxa"/>
            <w:tcBorders>
              <w:top w:val="nil"/>
              <w:left w:val="nil"/>
              <w:bottom w:val="nil"/>
              <w:right w:val="nil"/>
            </w:tcBorders>
            <w:shd w:val="clear" w:color="auto" w:fill="auto"/>
            <w:noWrap/>
            <w:vAlign w:val="center"/>
          </w:tcPr>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r>
              <w:rPr>
                <w:rFonts w:hint="eastAsia" w:ascii="黑体" w:hAnsi="宋体" w:eastAsia="黑体" w:cs="宋体"/>
                <w:color w:val="000000"/>
                <w:kern w:val="0"/>
                <w:sz w:val="28"/>
                <w:szCs w:val="28"/>
              </w:rPr>
              <w:t>附3</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8"/>
                <w:szCs w:val="28"/>
              </w:rPr>
            </w:pPr>
          </w:p>
        </w:tc>
        <w:tc>
          <w:tcPr>
            <w:tcW w:w="1300" w:type="dxa"/>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c>
          <w:tcPr>
            <w:tcW w:w="1240" w:type="dxa"/>
            <w:tcBorders>
              <w:top w:val="nil"/>
              <w:left w:val="nil"/>
              <w:bottom w:val="nil"/>
              <w:right w:val="nil"/>
            </w:tcBorders>
            <w:shd w:val="clear" w:color="auto" w:fill="auto"/>
            <w:noWrap/>
            <w:vAlign w:val="center"/>
          </w:tcPr>
          <w:p>
            <w:pPr>
              <w:widowControl/>
              <w:jc w:val="left"/>
              <w:rPr>
                <w:rFonts w:ascii="等线" w:hAnsi="宋体" w:eastAsia="等线" w:cs="宋体"/>
                <w:color w:val="000000"/>
                <w:kern w:val="0"/>
                <w:sz w:val="22"/>
                <w:szCs w:val="22"/>
              </w:rPr>
            </w:pPr>
          </w:p>
        </w:tc>
        <w:tc>
          <w:tcPr>
            <w:tcW w:w="1120" w:type="dxa"/>
            <w:gridSpan w:val="2"/>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c>
          <w:tcPr>
            <w:tcW w:w="4840" w:type="dxa"/>
            <w:gridSpan w:val="4"/>
            <w:tcBorders>
              <w:top w:val="nil"/>
              <w:left w:val="nil"/>
              <w:bottom w:val="nil"/>
              <w:right w:val="nil"/>
            </w:tcBorders>
            <w:shd w:val="clear" w:color="auto" w:fill="auto"/>
            <w:noWrap/>
            <w:vAlign w:val="center"/>
          </w:tcPr>
          <w:p>
            <w:pPr>
              <w:widowControl/>
              <w:jc w:val="left"/>
              <w:rPr>
                <w:rFonts w:ascii="等线" w:hAnsi="宋体" w:eastAsia="等线" w:cs="宋体"/>
                <w:color w:val="000000"/>
                <w:kern w:val="0"/>
                <w:sz w:val="22"/>
                <w:szCs w:val="22"/>
              </w:rPr>
            </w:pPr>
          </w:p>
        </w:tc>
        <w:tc>
          <w:tcPr>
            <w:tcW w:w="1080" w:type="dxa"/>
            <w:gridSpan w:val="2"/>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c>
          <w:tcPr>
            <w:tcW w:w="1080" w:type="dxa"/>
            <w:gridSpan w:val="2"/>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r>
      <w:tr>
        <w:tblPrEx>
          <w:tblCellMar>
            <w:top w:w="0" w:type="dxa"/>
            <w:left w:w="108" w:type="dxa"/>
            <w:bottom w:w="0" w:type="dxa"/>
            <w:right w:w="108" w:type="dxa"/>
          </w:tblCellMar>
        </w:tblPrEx>
        <w:trPr>
          <w:trHeight w:val="645" w:hRule="atLeast"/>
          <w:jc w:val="center"/>
        </w:trPr>
        <w:tc>
          <w:tcPr>
            <w:tcW w:w="12800" w:type="dxa"/>
            <w:gridSpan w:val="14"/>
            <w:tcBorders>
              <w:top w:val="nil"/>
              <w:left w:val="nil"/>
              <w:bottom w:val="nil"/>
              <w:right w:val="nil"/>
            </w:tcBorders>
            <w:shd w:val="clear" w:color="000000" w:fill="FFFFFF"/>
            <w:vAlign w:val="center"/>
          </w:tcPr>
          <w:p>
            <w:pPr>
              <w:widowControl/>
              <w:jc w:val="center"/>
              <w:rPr>
                <w:rFonts w:ascii="宋体" w:hAnsi="宋体" w:eastAsia="宋体" w:cs="宋体"/>
                <w:b/>
                <w:bCs/>
                <w:kern w:val="0"/>
                <w:sz w:val="36"/>
                <w:szCs w:val="36"/>
              </w:rPr>
            </w:pPr>
            <w:r>
              <w:rPr>
                <w:rFonts w:hint="eastAsia" w:ascii="宋体" w:hAnsi="宋体" w:eastAsia="宋体" w:cs="宋体"/>
                <w:b/>
                <w:bCs/>
                <w:color w:val="000000"/>
                <w:kern w:val="0"/>
                <w:sz w:val="36"/>
                <w:szCs w:val="36"/>
                <w:lang w:eastAsia="zh-CN"/>
              </w:rPr>
              <w:t>平阿山非煤矿山生态修复专项生态管护</w:t>
            </w:r>
            <w:r>
              <w:rPr>
                <w:rFonts w:hint="eastAsia" w:ascii="宋体" w:hAnsi="宋体" w:eastAsia="宋体" w:cs="宋体"/>
                <w:b/>
                <w:bCs/>
                <w:kern w:val="0"/>
                <w:sz w:val="36"/>
                <w:szCs w:val="36"/>
              </w:rPr>
              <w:t>项目绩效评价评分情况表</w:t>
            </w:r>
          </w:p>
        </w:tc>
      </w:tr>
      <w:tr>
        <w:tblPrEx>
          <w:tblCellMar>
            <w:top w:w="0" w:type="dxa"/>
            <w:left w:w="108" w:type="dxa"/>
            <w:bottom w:w="0" w:type="dxa"/>
            <w:right w:w="108" w:type="dxa"/>
          </w:tblCellMar>
        </w:tblPrEx>
        <w:trPr>
          <w:trHeight w:val="537" w:hRule="atLeast"/>
          <w:jc w:val="center"/>
        </w:trPr>
        <w:tc>
          <w:tcPr>
            <w:tcW w:w="860" w:type="dxa"/>
            <w:tcBorders>
              <w:top w:val="nil"/>
              <w:left w:val="nil"/>
              <w:bottom w:val="nil"/>
              <w:right w:val="nil"/>
            </w:tcBorders>
            <w:shd w:val="clear" w:color="000000" w:fill="FFFFFF"/>
            <w:vAlign w:val="center"/>
          </w:tcPr>
          <w:p>
            <w:pPr>
              <w:widowControl/>
              <w:rPr>
                <w:rFonts w:ascii="宋体" w:hAnsi="宋体" w:eastAsia="宋体" w:cs="宋体"/>
                <w:b/>
                <w:bCs/>
                <w:kern w:val="0"/>
                <w:sz w:val="32"/>
                <w:szCs w:val="32"/>
              </w:rPr>
            </w:pPr>
          </w:p>
        </w:tc>
        <w:tc>
          <w:tcPr>
            <w:tcW w:w="1280" w:type="dxa"/>
            <w:tcBorders>
              <w:top w:val="nil"/>
              <w:left w:val="nil"/>
              <w:bottom w:val="nil"/>
              <w:right w:val="nil"/>
            </w:tcBorders>
            <w:shd w:val="clear" w:color="000000" w:fill="FFFFFF"/>
            <w:vAlign w:val="center"/>
          </w:tcPr>
          <w:p>
            <w:pPr>
              <w:widowControl/>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1300"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1240" w:type="dxa"/>
            <w:tcBorders>
              <w:top w:val="nil"/>
              <w:left w:val="nil"/>
              <w:bottom w:val="nil"/>
              <w:right w:val="nil"/>
            </w:tcBorders>
            <w:shd w:val="clear" w:color="000000" w:fill="FFFFFF"/>
            <w:vAlign w:val="center"/>
          </w:tcPr>
          <w:p>
            <w:pPr>
              <w:widowControl/>
              <w:rPr>
                <w:rFonts w:ascii="宋体" w:hAnsi="宋体" w:eastAsia="宋体" w:cs="宋体"/>
                <w:b/>
                <w:bCs/>
                <w:kern w:val="0"/>
                <w:sz w:val="32"/>
                <w:szCs w:val="32"/>
              </w:rPr>
            </w:pPr>
          </w:p>
        </w:tc>
        <w:tc>
          <w:tcPr>
            <w:tcW w:w="1120" w:type="dxa"/>
            <w:gridSpan w:val="2"/>
            <w:tcBorders>
              <w:top w:val="nil"/>
              <w:left w:val="nil"/>
              <w:bottom w:val="nil"/>
              <w:right w:val="nil"/>
            </w:tcBorders>
            <w:shd w:val="clear" w:color="000000" w:fill="FFFFFF"/>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4840" w:type="dxa"/>
            <w:gridSpan w:val="4"/>
            <w:tcBorders>
              <w:top w:val="nil"/>
              <w:left w:val="nil"/>
              <w:bottom w:val="nil"/>
              <w:right w:val="nil"/>
            </w:tcBorders>
            <w:shd w:val="clear" w:color="000000" w:fill="FFFFFF"/>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1080" w:type="dxa"/>
            <w:gridSpan w:val="2"/>
            <w:tcBorders>
              <w:top w:val="nil"/>
              <w:left w:val="nil"/>
              <w:bottom w:val="nil"/>
              <w:right w:val="nil"/>
            </w:tcBorders>
            <w:shd w:val="clear" w:color="000000" w:fill="FFFFFF"/>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1080" w:type="dxa"/>
            <w:gridSpan w:val="2"/>
            <w:tcBorders>
              <w:top w:val="nil"/>
              <w:left w:val="nil"/>
              <w:bottom w:val="nil"/>
              <w:right w:val="nil"/>
            </w:tcBorders>
            <w:shd w:val="clear" w:color="000000" w:fill="FFFFFF"/>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r>
    </w:tbl>
    <w:p>
      <w:pPr>
        <w:widowControl/>
        <w:jc w:val="left"/>
      </w:pPr>
    </w:p>
    <w:p>
      <w:pPr>
        <w:widowControl/>
        <w:jc w:val="left"/>
      </w:pPr>
    </w:p>
    <w:p/>
    <w:p/>
    <w:p/>
    <w:p/>
    <w:tbl>
      <w:tblPr>
        <w:tblStyle w:val="5"/>
        <w:tblpPr w:leftFromText="180" w:rightFromText="180" w:vertAnchor="text" w:horzAnchor="page" w:tblpX="2480" w:tblpY="430"/>
        <w:tblOverlap w:val="never"/>
        <w:tblW w:w="12445" w:type="dxa"/>
        <w:tblInd w:w="0" w:type="dxa"/>
        <w:tblLayout w:type="fixed"/>
        <w:tblCellMar>
          <w:top w:w="0" w:type="dxa"/>
          <w:left w:w="108" w:type="dxa"/>
          <w:bottom w:w="0" w:type="dxa"/>
          <w:right w:w="108" w:type="dxa"/>
        </w:tblCellMar>
      </w:tblPr>
      <w:tblGrid>
        <w:gridCol w:w="902"/>
        <w:gridCol w:w="879"/>
        <w:gridCol w:w="1321"/>
        <w:gridCol w:w="1478"/>
        <w:gridCol w:w="1401"/>
        <w:gridCol w:w="4257"/>
        <w:gridCol w:w="985"/>
        <w:gridCol w:w="1222"/>
      </w:tblGrid>
      <w:tr>
        <w:tblPrEx>
          <w:tblCellMar>
            <w:top w:w="0" w:type="dxa"/>
            <w:left w:w="108" w:type="dxa"/>
            <w:bottom w:w="0" w:type="dxa"/>
            <w:right w:w="108" w:type="dxa"/>
          </w:tblCellMar>
        </w:tblPrEx>
        <w:trPr>
          <w:trHeight w:val="90" w:hRule="atLeast"/>
        </w:trPr>
        <w:tc>
          <w:tcPr>
            <w:tcW w:w="9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一级</w:t>
            </w:r>
            <w:r>
              <w:rPr>
                <w:rFonts w:hint="eastAsia" w:ascii="仿宋" w:hAnsi="仿宋" w:eastAsia="仿宋" w:cs="宋体"/>
                <w:b/>
                <w:bCs/>
                <w:kern w:val="0"/>
                <w:sz w:val="18"/>
                <w:szCs w:val="18"/>
              </w:rPr>
              <w:br w:type="textWrapping"/>
            </w:r>
            <w:r>
              <w:rPr>
                <w:rFonts w:hint="eastAsia" w:ascii="仿宋" w:hAnsi="仿宋" w:eastAsia="仿宋" w:cs="宋体"/>
                <w:b/>
                <w:bCs/>
                <w:kern w:val="0"/>
                <w:sz w:val="18"/>
                <w:szCs w:val="18"/>
              </w:rPr>
              <w:t>指标</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二级</w:t>
            </w:r>
            <w:r>
              <w:rPr>
                <w:rFonts w:hint="eastAsia" w:ascii="仿宋" w:hAnsi="仿宋" w:eastAsia="仿宋" w:cs="宋体"/>
                <w:b/>
                <w:bCs/>
                <w:kern w:val="0"/>
                <w:sz w:val="18"/>
                <w:szCs w:val="18"/>
              </w:rPr>
              <w:br w:type="textWrapping"/>
            </w:r>
            <w:r>
              <w:rPr>
                <w:rFonts w:hint="eastAsia" w:ascii="仿宋" w:hAnsi="仿宋" w:eastAsia="仿宋" w:cs="宋体"/>
                <w:b/>
                <w:bCs/>
                <w:kern w:val="0"/>
                <w:sz w:val="18"/>
                <w:szCs w:val="18"/>
              </w:rPr>
              <w:t>指标</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三级</w:t>
            </w:r>
            <w:r>
              <w:rPr>
                <w:rFonts w:hint="eastAsia" w:ascii="仿宋" w:hAnsi="仿宋" w:eastAsia="仿宋" w:cs="宋体"/>
                <w:b/>
                <w:bCs/>
                <w:kern w:val="0"/>
                <w:sz w:val="18"/>
                <w:szCs w:val="18"/>
              </w:rPr>
              <w:br w:type="textWrapping"/>
            </w:r>
            <w:r>
              <w:rPr>
                <w:rFonts w:hint="eastAsia" w:ascii="仿宋" w:hAnsi="仿宋" w:eastAsia="仿宋" w:cs="宋体"/>
                <w:b/>
                <w:bCs/>
                <w:kern w:val="0"/>
                <w:sz w:val="18"/>
                <w:szCs w:val="18"/>
              </w:rPr>
              <w:t>指标</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标准分值</w:t>
            </w:r>
          </w:p>
        </w:tc>
        <w:tc>
          <w:tcPr>
            <w:tcW w:w="42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评分情况</w:t>
            </w: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得分</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扣分</w:t>
            </w:r>
          </w:p>
        </w:tc>
      </w:tr>
      <w:tr>
        <w:tblPrEx>
          <w:tblCellMar>
            <w:top w:w="0" w:type="dxa"/>
            <w:left w:w="108" w:type="dxa"/>
            <w:bottom w:w="0" w:type="dxa"/>
            <w:right w:w="108" w:type="dxa"/>
          </w:tblCellMar>
        </w:tblPrEx>
        <w:trPr>
          <w:trHeight w:val="1890" w:hRule="atLeast"/>
        </w:trPr>
        <w:tc>
          <w:tcPr>
            <w:tcW w:w="9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w:t>
            </w:r>
          </w:p>
        </w:tc>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决策（</w:t>
            </w:r>
            <w:r>
              <w:rPr>
                <w:rFonts w:hint="eastAsia" w:ascii="仿宋" w:hAnsi="仿宋" w:eastAsia="仿宋" w:cs="宋体"/>
                <w:kern w:val="0"/>
                <w:sz w:val="16"/>
                <w:szCs w:val="16"/>
                <w:lang w:val="en-US" w:eastAsia="zh-CN"/>
              </w:rPr>
              <w:t>20</w:t>
            </w:r>
            <w:r>
              <w:rPr>
                <w:rFonts w:hint="eastAsia" w:ascii="仿宋" w:hAnsi="仿宋" w:eastAsia="仿宋" w:cs="宋体"/>
                <w:kern w:val="0"/>
                <w:sz w:val="16"/>
                <w:szCs w:val="16"/>
              </w:rPr>
              <w:t>分）</w:t>
            </w:r>
          </w:p>
        </w:tc>
        <w:tc>
          <w:tcPr>
            <w:tcW w:w="132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项目立项（</w:t>
            </w:r>
            <w:r>
              <w:rPr>
                <w:rFonts w:hint="eastAsia" w:ascii="仿宋" w:hAnsi="仿宋" w:eastAsia="仿宋" w:cs="宋体"/>
                <w:kern w:val="0"/>
                <w:sz w:val="16"/>
                <w:szCs w:val="16"/>
                <w:lang w:val="en-US" w:eastAsia="zh-CN"/>
              </w:rPr>
              <w:t>10</w:t>
            </w:r>
            <w:r>
              <w:rPr>
                <w:rFonts w:hint="eastAsia" w:ascii="仿宋" w:hAnsi="仿宋" w:eastAsia="仿宋" w:cs="宋体"/>
                <w:kern w:val="0"/>
                <w:sz w:val="16"/>
                <w:szCs w:val="16"/>
              </w:rPr>
              <w:t>分）</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立项依据充分性</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5</w:t>
            </w:r>
          </w:p>
        </w:tc>
        <w:tc>
          <w:tcPr>
            <w:tcW w:w="42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该项目</w:t>
            </w:r>
            <w:r>
              <w:rPr>
                <w:rFonts w:hint="eastAsia" w:ascii="仿宋" w:hAnsi="仿宋" w:eastAsia="仿宋" w:cs="宋体"/>
                <w:kern w:val="0"/>
                <w:sz w:val="16"/>
                <w:szCs w:val="16"/>
                <w:lang w:eastAsia="zh-CN"/>
              </w:rPr>
              <w:t>根据</w:t>
            </w:r>
            <w:r>
              <w:rPr>
                <w:rFonts w:hint="eastAsia" w:ascii="仿宋" w:hAnsi="仿宋" w:eastAsia="仿宋" w:cs="宋体"/>
                <w:kern w:val="0"/>
                <w:sz w:val="16"/>
                <w:szCs w:val="16"/>
              </w:rPr>
              <w:t>《</w:t>
            </w:r>
            <w:r>
              <w:rPr>
                <w:rFonts w:hint="eastAsia" w:ascii="仿宋" w:hAnsi="仿宋" w:eastAsia="仿宋" w:cs="宋体"/>
                <w:kern w:val="0"/>
                <w:sz w:val="16"/>
                <w:szCs w:val="16"/>
                <w:lang w:eastAsia="zh-CN"/>
              </w:rPr>
              <w:t>中共中央、国务院《关于印发〈国有林场改革方案〉和〈国有林区改革指导意见〉的通知》（中发[2015]6号）</w:t>
            </w:r>
            <w:r>
              <w:rPr>
                <w:rFonts w:hint="eastAsia" w:ascii="仿宋" w:hAnsi="仿宋" w:eastAsia="仿宋" w:cs="宋体"/>
                <w:kern w:val="0"/>
                <w:sz w:val="16"/>
                <w:szCs w:val="16"/>
              </w:rPr>
              <w:t>的相关规定，不与相关部门同类项目或部门内部相关项目重复，得分。</w:t>
            </w: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lang w:val="en-US" w:eastAsia="zh-CN"/>
              </w:rPr>
              <w:t>5</w:t>
            </w:r>
            <w:r>
              <w:rPr>
                <w:rFonts w:hint="eastAsia" w:ascii="仿宋" w:hAnsi="仿宋" w:eastAsia="仿宋" w:cs="宋体"/>
                <w:kern w:val="0"/>
                <w:sz w:val="16"/>
                <w:szCs w:val="16"/>
              </w:rPr>
              <w:t xml:space="preserve"> </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420" w:hRule="atLeast"/>
        </w:trPr>
        <w:tc>
          <w:tcPr>
            <w:tcW w:w="9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w:t>
            </w:r>
          </w:p>
        </w:tc>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p>
        </w:tc>
        <w:tc>
          <w:tcPr>
            <w:tcW w:w="13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立项程序规范性</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5</w:t>
            </w:r>
          </w:p>
        </w:tc>
        <w:tc>
          <w:tcPr>
            <w:tcW w:w="42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该项目按照规定的程序申请设立，审批文件、材料符合相关要求得分</w:t>
            </w: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5</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840" w:hRule="atLeast"/>
        </w:trPr>
        <w:tc>
          <w:tcPr>
            <w:tcW w:w="9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3</w:t>
            </w:r>
          </w:p>
        </w:tc>
        <w:tc>
          <w:tcPr>
            <w:tcW w:w="87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16"/>
                <w:szCs w:val="16"/>
              </w:rPr>
            </w:pPr>
          </w:p>
        </w:tc>
        <w:tc>
          <w:tcPr>
            <w:tcW w:w="1321"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绩效目标（6分）</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绩效目标合理性</w:t>
            </w:r>
          </w:p>
        </w:tc>
        <w:tc>
          <w:tcPr>
            <w:tcW w:w="1401"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3</w:t>
            </w:r>
          </w:p>
        </w:tc>
        <w:tc>
          <w:tcPr>
            <w:tcW w:w="4257"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该项目绩效目标与实际工作内容有相关性得分，预期产出效益和效果符合正常的业绩水平得分。</w:t>
            </w:r>
          </w:p>
        </w:tc>
        <w:tc>
          <w:tcPr>
            <w:tcW w:w="985"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3 </w:t>
            </w:r>
          </w:p>
        </w:tc>
        <w:tc>
          <w:tcPr>
            <w:tcW w:w="1222"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630" w:hRule="atLeast"/>
        </w:trPr>
        <w:tc>
          <w:tcPr>
            <w:tcW w:w="90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4</w:t>
            </w:r>
          </w:p>
        </w:tc>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p>
        </w:tc>
        <w:tc>
          <w:tcPr>
            <w:tcW w:w="13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p>
        </w:tc>
        <w:tc>
          <w:tcPr>
            <w:tcW w:w="1478"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绩效指标明确性</w:t>
            </w:r>
          </w:p>
        </w:tc>
        <w:tc>
          <w:tcPr>
            <w:tcW w:w="140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3</w:t>
            </w:r>
          </w:p>
        </w:tc>
        <w:tc>
          <w:tcPr>
            <w:tcW w:w="4257"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该项目绩效目标已按奖励标准细化分解为具体的绩效指标，可以通过清晰、可衡量的指标值予以体现得分。</w:t>
            </w:r>
          </w:p>
        </w:tc>
        <w:tc>
          <w:tcPr>
            <w:tcW w:w="98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3 </w:t>
            </w:r>
          </w:p>
        </w:tc>
        <w:tc>
          <w:tcPr>
            <w:tcW w:w="1222"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420" w:hRule="atLeast"/>
        </w:trPr>
        <w:tc>
          <w:tcPr>
            <w:tcW w:w="9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5</w:t>
            </w:r>
          </w:p>
        </w:tc>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p>
        </w:tc>
        <w:tc>
          <w:tcPr>
            <w:tcW w:w="132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资金投入（4分）</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预算编制科学性</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2</w:t>
            </w:r>
          </w:p>
        </w:tc>
        <w:tc>
          <w:tcPr>
            <w:tcW w:w="42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该项目支出已纳入年度预算，预算内容与项目内容相匹配得分。</w:t>
            </w: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2 </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420" w:hRule="atLeast"/>
        </w:trPr>
        <w:tc>
          <w:tcPr>
            <w:tcW w:w="9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6</w:t>
            </w:r>
          </w:p>
        </w:tc>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p>
        </w:tc>
        <w:tc>
          <w:tcPr>
            <w:tcW w:w="13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资金分配合理性</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2</w:t>
            </w:r>
          </w:p>
        </w:tc>
        <w:tc>
          <w:tcPr>
            <w:tcW w:w="42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该项目预算资金分配依据充分，资金分配合理得分。</w:t>
            </w: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2 </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270" w:hRule="atLeast"/>
        </w:trPr>
        <w:tc>
          <w:tcPr>
            <w:tcW w:w="9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7</w:t>
            </w:r>
          </w:p>
        </w:tc>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过程（25分）</w:t>
            </w:r>
          </w:p>
        </w:tc>
        <w:tc>
          <w:tcPr>
            <w:tcW w:w="132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资金管理（2</w:t>
            </w:r>
            <w:r>
              <w:rPr>
                <w:rFonts w:hint="eastAsia" w:ascii="仿宋" w:hAnsi="仿宋" w:eastAsia="仿宋" w:cs="宋体"/>
                <w:kern w:val="0"/>
                <w:sz w:val="16"/>
                <w:szCs w:val="16"/>
                <w:lang w:val="en-US" w:eastAsia="zh-CN"/>
              </w:rPr>
              <w:t>1</w:t>
            </w:r>
            <w:r>
              <w:rPr>
                <w:rFonts w:hint="eastAsia" w:ascii="仿宋" w:hAnsi="仿宋" w:eastAsia="仿宋" w:cs="宋体"/>
                <w:kern w:val="0"/>
                <w:sz w:val="16"/>
                <w:szCs w:val="16"/>
              </w:rPr>
              <w:t>分）</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资金到位率</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2</w:t>
            </w:r>
          </w:p>
        </w:tc>
        <w:tc>
          <w:tcPr>
            <w:tcW w:w="42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该项目资金到位率为100%，</w:t>
            </w:r>
            <w:r>
              <w:rPr>
                <w:rFonts w:hint="eastAsia" w:ascii="仿宋" w:hAnsi="仿宋" w:eastAsia="仿宋" w:cs="宋体"/>
                <w:kern w:val="0"/>
                <w:sz w:val="16"/>
                <w:szCs w:val="16"/>
                <w:lang w:eastAsia="zh-CN"/>
              </w:rPr>
              <w:t>合理得分</w:t>
            </w:r>
            <w:r>
              <w:rPr>
                <w:rFonts w:hint="eastAsia" w:ascii="仿宋" w:hAnsi="仿宋" w:eastAsia="仿宋" w:cs="宋体"/>
                <w:kern w:val="0"/>
                <w:sz w:val="16"/>
                <w:szCs w:val="16"/>
              </w:rPr>
              <w:t>。</w:t>
            </w: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2</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w:t>
            </w:r>
          </w:p>
        </w:tc>
      </w:tr>
      <w:tr>
        <w:tblPrEx>
          <w:tblCellMar>
            <w:top w:w="0" w:type="dxa"/>
            <w:left w:w="108" w:type="dxa"/>
            <w:bottom w:w="0" w:type="dxa"/>
            <w:right w:w="108" w:type="dxa"/>
          </w:tblCellMar>
        </w:tblPrEx>
        <w:trPr>
          <w:trHeight w:val="270" w:hRule="atLeast"/>
        </w:trPr>
        <w:tc>
          <w:tcPr>
            <w:tcW w:w="9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8</w:t>
            </w:r>
          </w:p>
        </w:tc>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p>
        </w:tc>
        <w:tc>
          <w:tcPr>
            <w:tcW w:w="13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预算执行率</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10</w:t>
            </w:r>
          </w:p>
        </w:tc>
        <w:tc>
          <w:tcPr>
            <w:tcW w:w="42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项目预算执行率为</w:t>
            </w:r>
            <w:r>
              <w:rPr>
                <w:rFonts w:hint="eastAsia" w:ascii="仿宋" w:hAnsi="仿宋" w:eastAsia="仿宋" w:cs="宋体"/>
                <w:kern w:val="0"/>
                <w:sz w:val="16"/>
                <w:szCs w:val="16"/>
                <w:lang w:val="en-US" w:eastAsia="zh-CN"/>
              </w:rPr>
              <w:t>97</w:t>
            </w:r>
            <w:r>
              <w:rPr>
                <w:rFonts w:hint="eastAsia" w:ascii="仿宋" w:hAnsi="仿宋" w:eastAsia="仿宋" w:cs="宋体"/>
                <w:kern w:val="0"/>
                <w:sz w:val="16"/>
                <w:szCs w:val="16"/>
              </w:rPr>
              <w:t>%，</w:t>
            </w:r>
            <w:r>
              <w:rPr>
                <w:rFonts w:hint="eastAsia" w:ascii="仿宋" w:hAnsi="仿宋" w:eastAsia="仿宋" w:cs="宋体"/>
                <w:kern w:val="0"/>
                <w:sz w:val="16"/>
                <w:szCs w:val="16"/>
                <w:lang w:eastAsia="zh-CN"/>
              </w:rPr>
              <w:t>合理得分</w:t>
            </w:r>
            <w:r>
              <w:rPr>
                <w:rFonts w:hint="eastAsia" w:ascii="仿宋" w:hAnsi="仿宋" w:eastAsia="仿宋" w:cs="宋体"/>
                <w:kern w:val="0"/>
                <w:sz w:val="16"/>
                <w:szCs w:val="16"/>
              </w:rPr>
              <w:t>。</w:t>
            </w: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10</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0</w:t>
            </w:r>
          </w:p>
        </w:tc>
      </w:tr>
      <w:tr>
        <w:tblPrEx>
          <w:tblCellMar>
            <w:top w:w="0" w:type="dxa"/>
            <w:left w:w="108" w:type="dxa"/>
            <w:bottom w:w="0" w:type="dxa"/>
            <w:right w:w="108" w:type="dxa"/>
          </w:tblCellMar>
        </w:tblPrEx>
        <w:trPr>
          <w:trHeight w:val="630" w:hRule="atLeast"/>
        </w:trPr>
        <w:tc>
          <w:tcPr>
            <w:tcW w:w="9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9</w:t>
            </w:r>
          </w:p>
        </w:tc>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p>
        </w:tc>
        <w:tc>
          <w:tcPr>
            <w:tcW w:w="13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资金使用合规性</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3</w:t>
            </w:r>
          </w:p>
        </w:tc>
        <w:tc>
          <w:tcPr>
            <w:tcW w:w="42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该项目已制定财务管理办法，资金的拨付有完整的审批程序和手续，符合文件规定的用途，得分。</w:t>
            </w: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3 </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1260" w:hRule="atLeast"/>
        </w:trPr>
        <w:tc>
          <w:tcPr>
            <w:tcW w:w="9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10</w:t>
            </w:r>
          </w:p>
        </w:tc>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p>
        </w:tc>
        <w:tc>
          <w:tcPr>
            <w:tcW w:w="13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绩效自评内容准确、完整性</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3</w:t>
            </w:r>
          </w:p>
        </w:tc>
        <w:tc>
          <w:tcPr>
            <w:tcW w:w="42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该项目自评表中各项内容已按要求填写完整，财政资金执行进度符合当年财政大平台指标执行进度数据，绩效目标已完成，得</w:t>
            </w:r>
            <w:r>
              <w:rPr>
                <w:rFonts w:hint="eastAsia" w:ascii="仿宋" w:hAnsi="仿宋" w:eastAsia="仿宋" w:cs="宋体"/>
                <w:kern w:val="0"/>
                <w:sz w:val="16"/>
                <w:szCs w:val="16"/>
                <w:lang w:val="en-US" w:eastAsia="zh-CN"/>
              </w:rPr>
              <w:t>4</w:t>
            </w:r>
            <w:r>
              <w:rPr>
                <w:rFonts w:hint="eastAsia" w:ascii="仿宋" w:hAnsi="仿宋" w:eastAsia="仿宋" w:cs="宋体"/>
                <w:kern w:val="0"/>
                <w:sz w:val="16"/>
                <w:szCs w:val="16"/>
              </w:rPr>
              <w:t>分。</w:t>
            </w: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3</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0</w:t>
            </w:r>
          </w:p>
        </w:tc>
      </w:tr>
      <w:tr>
        <w:tblPrEx>
          <w:tblCellMar>
            <w:top w:w="0" w:type="dxa"/>
            <w:left w:w="108" w:type="dxa"/>
            <w:bottom w:w="0" w:type="dxa"/>
            <w:right w:w="108" w:type="dxa"/>
          </w:tblCellMar>
        </w:tblPrEx>
        <w:trPr>
          <w:trHeight w:val="420" w:hRule="atLeast"/>
        </w:trPr>
        <w:tc>
          <w:tcPr>
            <w:tcW w:w="9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11</w:t>
            </w:r>
          </w:p>
        </w:tc>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p>
        </w:tc>
        <w:tc>
          <w:tcPr>
            <w:tcW w:w="13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绩效自评结论真实性</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3</w:t>
            </w:r>
          </w:p>
        </w:tc>
        <w:tc>
          <w:tcPr>
            <w:tcW w:w="42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该项目实际绩效复评结论与单位自评结论相比一致，得分。</w:t>
            </w: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3</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420" w:hRule="atLeast"/>
        </w:trPr>
        <w:tc>
          <w:tcPr>
            <w:tcW w:w="9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12</w:t>
            </w:r>
          </w:p>
        </w:tc>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p>
        </w:tc>
        <w:tc>
          <w:tcPr>
            <w:tcW w:w="132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组织实施（</w:t>
            </w:r>
            <w:r>
              <w:rPr>
                <w:rFonts w:hint="eastAsia" w:ascii="仿宋" w:hAnsi="仿宋" w:eastAsia="仿宋" w:cs="宋体"/>
                <w:kern w:val="0"/>
                <w:sz w:val="16"/>
                <w:szCs w:val="16"/>
                <w:lang w:val="en-US" w:eastAsia="zh-CN"/>
              </w:rPr>
              <w:t>4</w:t>
            </w:r>
            <w:r>
              <w:rPr>
                <w:rFonts w:hint="eastAsia" w:ascii="仿宋" w:hAnsi="仿宋" w:eastAsia="仿宋" w:cs="宋体"/>
                <w:kern w:val="0"/>
                <w:sz w:val="16"/>
                <w:szCs w:val="16"/>
              </w:rPr>
              <w:t>分）</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管理制度健全性</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2</w:t>
            </w:r>
          </w:p>
        </w:tc>
        <w:tc>
          <w:tcPr>
            <w:tcW w:w="42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该项目已制定相应的财务和业务管理制度,财务和业务管理制度合规、完整,得分。</w:t>
            </w: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2</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420" w:hRule="atLeast"/>
        </w:trPr>
        <w:tc>
          <w:tcPr>
            <w:tcW w:w="9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13</w:t>
            </w:r>
          </w:p>
        </w:tc>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p>
        </w:tc>
        <w:tc>
          <w:tcPr>
            <w:tcW w:w="13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制度执行有效性</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2</w:t>
            </w:r>
          </w:p>
        </w:tc>
        <w:tc>
          <w:tcPr>
            <w:tcW w:w="42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该项目申报、总结资料齐全、完整，得分。</w:t>
            </w: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2</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630" w:hRule="atLeast"/>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14</w:t>
            </w: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产出（30分）</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产出数量（6分）</w:t>
            </w:r>
          </w:p>
        </w:tc>
        <w:tc>
          <w:tcPr>
            <w:tcW w:w="14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非煤矿山面积</w:t>
            </w:r>
          </w:p>
        </w:tc>
        <w:tc>
          <w:tcPr>
            <w:tcW w:w="14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6</w:t>
            </w:r>
          </w:p>
        </w:tc>
        <w:tc>
          <w:tcPr>
            <w:tcW w:w="42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该项目本年</w:t>
            </w:r>
            <w:r>
              <w:rPr>
                <w:rFonts w:hint="eastAsia" w:ascii="仿宋" w:hAnsi="仿宋" w:eastAsia="仿宋" w:cs="宋体"/>
                <w:kern w:val="0"/>
                <w:sz w:val="16"/>
                <w:szCs w:val="16"/>
                <w:lang w:val="en-US" w:eastAsia="zh-CN"/>
              </w:rPr>
              <w:t>完成完成看护面积5018亩</w:t>
            </w:r>
            <w:r>
              <w:rPr>
                <w:rFonts w:hint="eastAsia" w:ascii="仿宋" w:hAnsi="仿宋" w:eastAsia="仿宋" w:cs="宋体"/>
                <w:kern w:val="0"/>
                <w:sz w:val="16"/>
                <w:szCs w:val="16"/>
              </w:rPr>
              <w:t>。</w:t>
            </w: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6</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1086" w:hRule="atLeast"/>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6"/>
                <w:szCs w:val="16"/>
                <w:lang w:eastAsia="zh-CN"/>
              </w:rPr>
            </w:pPr>
            <w:r>
              <w:rPr>
                <w:rFonts w:hint="eastAsia" w:ascii="宋体" w:hAnsi="宋体" w:eastAsia="宋体" w:cs="宋体"/>
                <w:kern w:val="0"/>
                <w:sz w:val="16"/>
                <w:szCs w:val="16"/>
                <w:lang w:val="en-US" w:eastAsia="zh-CN"/>
              </w:rPr>
              <w:t>15</w:t>
            </w: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16"/>
                <w:szCs w:val="16"/>
              </w:rPr>
            </w:pPr>
          </w:p>
        </w:tc>
        <w:tc>
          <w:tcPr>
            <w:tcW w:w="132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产出质量（9分）</w:t>
            </w:r>
          </w:p>
        </w:tc>
        <w:tc>
          <w:tcPr>
            <w:tcW w:w="14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杜绝非法采挖山（皮）土石、破坏生态现象</w:t>
            </w:r>
          </w:p>
        </w:tc>
        <w:tc>
          <w:tcPr>
            <w:tcW w:w="14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lang w:val="en-US" w:eastAsia="zh-CN"/>
              </w:rPr>
              <w:t>5</w:t>
            </w:r>
          </w:p>
        </w:tc>
        <w:tc>
          <w:tcPr>
            <w:tcW w:w="42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lang w:val="en-US" w:eastAsia="zh-CN"/>
              </w:rPr>
              <w:t>本年度无</w:t>
            </w:r>
            <w:r>
              <w:rPr>
                <w:rFonts w:hint="eastAsia" w:ascii="仿宋" w:hAnsi="仿宋" w:eastAsia="仿宋" w:cs="宋体"/>
                <w:kern w:val="0"/>
                <w:sz w:val="16"/>
                <w:szCs w:val="16"/>
              </w:rPr>
              <w:t>杜绝非法采挖山（皮）土石、破坏生态现象</w:t>
            </w:r>
            <w:r>
              <w:rPr>
                <w:rFonts w:hint="eastAsia" w:ascii="仿宋" w:hAnsi="仿宋" w:eastAsia="仿宋" w:cs="宋体"/>
                <w:kern w:val="0"/>
                <w:sz w:val="16"/>
                <w:szCs w:val="16"/>
                <w:lang w:eastAsia="zh-CN"/>
              </w:rPr>
              <w:t>得分</w:t>
            </w: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lang w:val="en-US" w:eastAsia="zh-CN"/>
              </w:rPr>
              <w:t>5</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1050" w:hRule="atLeast"/>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16</w:t>
            </w: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16"/>
                <w:szCs w:val="16"/>
              </w:rPr>
            </w:pPr>
          </w:p>
        </w:tc>
        <w:tc>
          <w:tcPr>
            <w:tcW w:w="1321"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p>
        </w:tc>
        <w:tc>
          <w:tcPr>
            <w:tcW w:w="14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eastAsia="zh-CN"/>
              </w:rPr>
              <w:t>日常巡查覆盖率</w:t>
            </w:r>
          </w:p>
        </w:tc>
        <w:tc>
          <w:tcPr>
            <w:tcW w:w="14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4</w:t>
            </w:r>
          </w:p>
        </w:tc>
        <w:tc>
          <w:tcPr>
            <w:tcW w:w="42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lang w:eastAsia="zh-CN"/>
              </w:rPr>
              <w:t>本年度日常巡查覆盖率已达到</w:t>
            </w:r>
            <w:r>
              <w:rPr>
                <w:rFonts w:hint="eastAsia" w:ascii="仿宋" w:hAnsi="仿宋" w:eastAsia="仿宋" w:cs="宋体"/>
                <w:kern w:val="0"/>
                <w:sz w:val="16"/>
                <w:szCs w:val="16"/>
                <w:lang w:val="en-US" w:eastAsia="zh-CN"/>
              </w:rPr>
              <w:t>95%，得分</w:t>
            </w: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4</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lang w:val="en-US" w:eastAsia="zh-CN"/>
              </w:rPr>
              <w:t>0</w:t>
            </w:r>
          </w:p>
        </w:tc>
      </w:tr>
      <w:tr>
        <w:tblPrEx>
          <w:tblCellMar>
            <w:top w:w="0" w:type="dxa"/>
            <w:left w:w="108" w:type="dxa"/>
            <w:bottom w:w="0" w:type="dxa"/>
            <w:right w:w="108" w:type="dxa"/>
          </w:tblCellMar>
        </w:tblPrEx>
        <w:trPr>
          <w:trHeight w:val="420" w:hRule="atLeast"/>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rPr>
              <w:t>17</w:t>
            </w: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16"/>
                <w:szCs w:val="16"/>
              </w:rPr>
            </w:pP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kern w:val="0"/>
                <w:sz w:val="16"/>
                <w:szCs w:val="16"/>
              </w:rPr>
            </w:pPr>
            <w:r>
              <w:rPr>
                <w:rFonts w:hint="eastAsia" w:ascii="仿宋" w:hAnsi="仿宋" w:eastAsia="仿宋" w:cs="宋体"/>
                <w:kern w:val="0"/>
                <w:sz w:val="16"/>
                <w:szCs w:val="16"/>
              </w:rPr>
              <w:t>产出时效（9分）</w:t>
            </w:r>
          </w:p>
        </w:tc>
        <w:tc>
          <w:tcPr>
            <w:tcW w:w="14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宋体"/>
                <w:kern w:val="0"/>
                <w:sz w:val="16"/>
                <w:szCs w:val="16"/>
              </w:rPr>
            </w:pPr>
            <w:r>
              <w:rPr>
                <w:rFonts w:hint="eastAsia" w:ascii="仿宋" w:hAnsi="仿宋" w:eastAsia="仿宋" w:cs="宋体"/>
                <w:kern w:val="0"/>
                <w:sz w:val="16"/>
                <w:szCs w:val="16"/>
                <w:lang w:eastAsia="zh-CN"/>
              </w:rPr>
              <w:t>资金在规定时间内下达</w:t>
            </w:r>
          </w:p>
        </w:tc>
        <w:tc>
          <w:tcPr>
            <w:tcW w:w="14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9</w:t>
            </w:r>
          </w:p>
        </w:tc>
        <w:tc>
          <w:tcPr>
            <w:tcW w:w="42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kern w:val="0"/>
                <w:sz w:val="16"/>
                <w:szCs w:val="16"/>
              </w:rPr>
            </w:pPr>
            <w:r>
              <w:rPr>
                <w:rFonts w:hint="eastAsia" w:ascii="仿宋" w:hAnsi="仿宋" w:eastAsia="仿宋" w:cs="宋体"/>
                <w:kern w:val="0"/>
                <w:sz w:val="16"/>
                <w:szCs w:val="16"/>
                <w:lang w:eastAsia="zh-CN"/>
              </w:rPr>
              <w:t>该项目</w:t>
            </w:r>
            <w:r>
              <w:rPr>
                <w:rFonts w:hint="eastAsia" w:ascii="仿宋" w:hAnsi="仿宋" w:eastAsia="仿宋" w:cs="宋体"/>
                <w:kern w:val="0"/>
                <w:sz w:val="16"/>
                <w:szCs w:val="16"/>
                <w:lang w:val="en-US" w:eastAsia="zh-CN"/>
              </w:rPr>
              <w:t>严格按照</w:t>
            </w:r>
            <w:r>
              <w:rPr>
                <w:rFonts w:hint="eastAsia" w:ascii="仿宋" w:hAnsi="仿宋" w:eastAsia="仿宋" w:cs="宋体"/>
                <w:kern w:val="0"/>
                <w:sz w:val="16"/>
                <w:szCs w:val="16"/>
                <w:lang w:eastAsia="zh-CN"/>
              </w:rPr>
              <w:t>《预算法》等法律法规规定的期限内分配下达，得分。</w:t>
            </w: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9</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val="en-US" w:eastAsia="zh-CN"/>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420" w:hRule="atLeast"/>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18</w:t>
            </w: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16"/>
                <w:szCs w:val="16"/>
              </w:rPr>
            </w:pP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产出成本（6分）</w:t>
            </w:r>
          </w:p>
        </w:tc>
        <w:tc>
          <w:tcPr>
            <w:tcW w:w="14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预算控制率</w:t>
            </w:r>
          </w:p>
        </w:tc>
        <w:tc>
          <w:tcPr>
            <w:tcW w:w="14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6</w:t>
            </w:r>
          </w:p>
        </w:tc>
        <w:tc>
          <w:tcPr>
            <w:tcW w:w="42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该项目202</w:t>
            </w:r>
            <w:r>
              <w:rPr>
                <w:rFonts w:hint="eastAsia" w:ascii="仿宋" w:hAnsi="仿宋" w:eastAsia="仿宋" w:cs="宋体"/>
                <w:kern w:val="0"/>
                <w:sz w:val="16"/>
                <w:szCs w:val="16"/>
                <w:lang w:val="en-US" w:eastAsia="zh-CN"/>
              </w:rPr>
              <w:t>2</w:t>
            </w:r>
            <w:r>
              <w:rPr>
                <w:rFonts w:hint="eastAsia" w:ascii="仿宋" w:hAnsi="仿宋" w:eastAsia="仿宋" w:cs="宋体"/>
                <w:kern w:val="0"/>
                <w:sz w:val="16"/>
                <w:szCs w:val="16"/>
              </w:rPr>
              <w:t>年实际支付金额</w:t>
            </w:r>
            <w:r>
              <w:rPr>
                <w:rFonts w:hint="eastAsia" w:ascii="仿宋" w:hAnsi="仿宋" w:eastAsia="仿宋" w:cs="宋体"/>
                <w:kern w:val="0"/>
                <w:sz w:val="16"/>
                <w:szCs w:val="16"/>
                <w:lang w:val="en-US" w:eastAsia="zh-CN"/>
              </w:rPr>
              <w:t>3</w:t>
            </w:r>
            <w:r>
              <w:rPr>
                <w:rFonts w:hint="eastAsia" w:ascii="仿宋" w:hAnsi="仿宋" w:eastAsia="仿宋" w:cs="宋体"/>
                <w:kern w:val="0"/>
                <w:sz w:val="16"/>
                <w:szCs w:val="16"/>
              </w:rPr>
              <w:t>万元，</w:t>
            </w:r>
            <w:r>
              <w:rPr>
                <w:rFonts w:hint="eastAsia" w:ascii="仿宋" w:hAnsi="仿宋" w:eastAsia="仿宋" w:cs="宋体"/>
                <w:kern w:val="0"/>
                <w:sz w:val="16"/>
                <w:szCs w:val="16"/>
                <w:lang w:eastAsia="zh-CN"/>
              </w:rPr>
              <w:t>完成</w:t>
            </w:r>
            <w:r>
              <w:rPr>
                <w:rFonts w:hint="eastAsia" w:ascii="仿宋" w:hAnsi="仿宋" w:eastAsia="仿宋" w:cs="宋体"/>
                <w:kern w:val="0"/>
                <w:sz w:val="16"/>
                <w:szCs w:val="16"/>
                <w:lang w:val="en-US" w:eastAsia="zh-CN"/>
              </w:rPr>
              <w:t>100%</w:t>
            </w:r>
            <w:r>
              <w:rPr>
                <w:rFonts w:hint="eastAsia" w:ascii="仿宋" w:hAnsi="仿宋" w:eastAsia="仿宋" w:cs="宋体"/>
                <w:kern w:val="0"/>
                <w:sz w:val="16"/>
                <w:szCs w:val="16"/>
              </w:rPr>
              <w:t>，得分。</w:t>
            </w: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6 </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840" w:hRule="atLeast"/>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19</w:t>
            </w:r>
          </w:p>
        </w:tc>
        <w:tc>
          <w:tcPr>
            <w:tcW w:w="879"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效益（</w:t>
            </w:r>
            <w:r>
              <w:rPr>
                <w:rFonts w:hint="eastAsia" w:ascii="仿宋" w:hAnsi="仿宋" w:eastAsia="仿宋" w:cs="宋体"/>
                <w:kern w:val="0"/>
                <w:sz w:val="16"/>
                <w:szCs w:val="16"/>
                <w:lang w:val="en-US" w:eastAsia="zh-CN"/>
              </w:rPr>
              <w:t>25</w:t>
            </w:r>
            <w:r>
              <w:rPr>
                <w:rFonts w:hint="eastAsia" w:ascii="仿宋" w:hAnsi="仿宋" w:eastAsia="仿宋" w:cs="宋体"/>
                <w:kern w:val="0"/>
                <w:sz w:val="16"/>
                <w:szCs w:val="16"/>
              </w:rPr>
              <w:t>分）</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经济效益（</w:t>
            </w:r>
            <w:r>
              <w:rPr>
                <w:rFonts w:hint="eastAsia" w:ascii="仿宋" w:hAnsi="仿宋" w:eastAsia="仿宋" w:cs="宋体"/>
                <w:kern w:val="0"/>
                <w:sz w:val="16"/>
                <w:szCs w:val="16"/>
                <w:lang w:val="en-US" w:eastAsia="zh-CN"/>
              </w:rPr>
              <w:t>5</w:t>
            </w:r>
            <w:r>
              <w:rPr>
                <w:rFonts w:hint="eastAsia" w:ascii="仿宋" w:hAnsi="仿宋" w:eastAsia="仿宋" w:cs="宋体"/>
                <w:kern w:val="0"/>
                <w:sz w:val="16"/>
                <w:szCs w:val="16"/>
              </w:rPr>
              <w:t>分））</w:t>
            </w:r>
          </w:p>
        </w:tc>
        <w:tc>
          <w:tcPr>
            <w:tcW w:w="14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确保国有森林资源不破坏、国有资产不流失</w:t>
            </w:r>
          </w:p>
        </w:tc>
        <w:tc>
          <w:tcPr>
            <w:tcW w:w="14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5</w:t>
            </w:r>
          </w:p>
        </w:tc>
        <w:tc>
          <w:tcPr>
            <w:tcW w:w="42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lang w:eastAsia="zh-CN"/>
              </w:rPr>
              <w:t>该项目本年度确保国有森林资源不破坏、国有资产不流失，取得了显著效果，得分。</w:t>
            </w: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5</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420" w:hRule="atLeast"/>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20</w:t>
            </w: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16"/>
                <w:szCs w:val="16"/>
              </w:rPr>
            </w:pP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lang w:eastAsia="zh-CN"/>
              </w:rPr>
              <w:t>社会</w:t>
            </w:r>
            <w:r>
              <w:rPr>
                <w:rFonts w:hint="eastAsia" w:ascii="仿宋" w:hAnsi="仿宋" w:eastAsia="仿宋" w:cs="宋体"/>
                <w:kern w:val="0"/>
                <w:sz w:val="16"/>
                <w:szCs w:val="16"/>
              </w:rPr>
              <w:t>效益（</w:t>
            </w:r>
            <w:r>
              <w:rPr>
                <w:rFonts w:hint="eastAsia" w:ascii="仿宋" w:hAnsi="仿宋" w:eastAsia="仿宋" w:cs="宋体"/>
                <w:kern w:val="0"/>
                <w:sz w:val="16"/>
                <w:szCs w:val="16"/>
                <w:lang w:val="en-US" w:eastAsia="zh-CN"/>
              </w:rPr>
              <w:t>5</w:t>
            </w:r>
            <w:r>
              <w:rPr>
                <w:rFonts w:hint="eastAsia" w:ascii="仿宋" w:hAnsi="仿宋" w:eastAsia="仿宋" w:cs="宋体"/>
                <w:kern w:val="0"/>
                <w:sz w:val="16"/>
                <w:szCs w:val="16"/>
              </w:rPr>
              <w:t>分）</w:t>
            </w:r>
          </w:p>
        </w:tc>
        <w:tc>
          <w:tcPr>
            <w:tcW w:w="14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降低地质灾害</w:t>
            </w:r>
          </w:p>
        </w:tc>
        <w:tc>
          <w:tcPr>
            <w:tcW w:w="14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5</w:t>
            </w:r>
          </w:p>
        </w:tc>
        <w:tc>
          <w:tcPr>
            <w:tcW w:w="42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lang w:eastAsia="zh-CN"/>
              </w:rPr>
              <w:t>该项目本年度无地质灾害的发生，得分。</w:t>
            </w: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5</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1050" w:hRule="atLeast"/>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21</w:t>
            </w: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16"/>
                <w:szCs w:val="16"/>
              </w:rPr>
            </w:pP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生态效益（</w:t>
            </w:r>
            <w:r>
              <w:rPr>
                <w:rFonts w:hint="eastAsia" w:ascii="仿宋" w:hAnsi="仿宋" w:eastAsia="仿宋" w:cs="宋体"/>
                <w:kern w:val="0"/>
                <w:sz w:val="16"/>
                <w:szCs w:val="16"/>
                <w:lang w:val="en-US" w:eastAsia="zh-CN"/>
              </w:rPr>
              <w:t>5</w:t>
            </w:r>
            <w:r>
              <w:rPr>
                <w:rFonts w:hint="eastAsia" w:ascii="仿宋" w:hAnsi="仿宋" w:eastAsia="仿宋" w:cs="宋体"/>
                <w:kern w:val="0"/>
                <w:sz w:val="16"/>
                <w:szCs w:val="16"/>
              </w:rPr>
              <w:t>分）</w:t>
            </w:r>
          </w:p>
        </w:tc>
        <w:tc>
          <w:tcPr>
            <w:tcW w:w="14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实现资源的可持续利用与生态环境的协调发展</w:t>
            </w:r>
          </w:p>
        </w:tc>
        <w:tc>
          <w:tcPr>
            <w:tcW w:w="14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5</w:t>
            </w:r>
          </w:p>
        </w:tc>
        <w:tc>
          <w:tcPr>
            <w:tcW w:w="42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lang w:eastAsia="zh-CN"/>
              </w:rPr>
              <w:t>该项目本年度显著提高</w:t>
            </w:r>
            <w:r>
              <w:rPr>
                <w:rFonts w:hint="eastAsia" w:ascii="仿宋" w:hAnsi="仿宋" w:eastAsia="仿宋" w:cs="宋体"/>
                <w:kern w:val="0"/>
                <w:sz w:val="16"/>
                <w:szCs w:val="16"/>
              </w:rPr>
              <w:t>资源的可持续利用与生态环境的协调发展</w:t>
            </w:r>
            <w:r>
              <w:rPr>
                <w:rFonts w:hint="eastAsia" w:ascii="仿宋" w:hAnsi="仿宋" w:eastAsia="仿宋" w:cs="宋体"/>
                <w:kern w:val="0"/>
                <w:sz w:val="16"/>
                <w:szCs w:val="16"/>
                <w:lang w:eastAsia="zh-CN"/>
              </w:rPr>
              <w:t>，得分。</w:t>
            </w: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5</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lang w:val="en-US" w:eastAsia="zh-CN"/>
              </w:rPr>
              <w:t>0</w:t>
            </w:r>
          </w:p>
        </w:tc>
      </w:tr>
      <w:tr>
        <w:tblPrEx>
          <w:tblCellMar>
            <w:top w:w="0" w:type="dxa"/>
            <w:left w:w="108" w:type="dxa"/>
            <w:bottom w:w="0" w:type="dxa"/>
            <w:right w:w="108" w:type="dxa"/>
          </w:tblCellMar>
        </w:tblPrEx>
        <w:trPr>
          <w:trHeight w:val="420" w:hRule="atLeast"/>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lang w:val="en-US" w:eastAsia="zh-CN"/>
              </w:rPr>
              <w:t>22</w:t>
            </w: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kern w:val="0"/>
                <w:sz w:val="16"/>
                <w:szCs w:val="16"/>
              </w:rPr>
            </w:pP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kern w:val="0"/>
                <w:sz w:val="16"/>
                <w:szCs w:val="16"/>
              </w:rPr>
            </w:pPr>
            <w:r>
              <w:rPr>
                <w:rFonts w:hint="eastAsia" w:ascii="仿宋" w:hAnsi="仿宋" w:eastAsia="仿宋" w:cs="宋体"/>
                <w:kern w:val="0"/>
                <w:sz w:val="16"/>
                <w:szCs w:val="16"/>
              </w:rPr>
              <w:t>可持续影响指标 （</w:t>
            </w:r>
            <w:r>
              <w:rPr>
                <w:rFonts w:hint="eastAsia" w:ascii="仿宋" w:hAnsi="仿宋" w:eastAsia="仿宋" w:cs="宋体"/>
                <w:kern w:val="0"/>
                <w:sz w:val="16"/>
                <w:szCs w:val="16"/>
                <w:lang w:val="en-US" w:eastAsia="zh-CN"/>
              </w:rPr>
              <w:t>5</w:t>
            </w:r>
            <w:r>
              <w:rPr>
                <w:rFonts w:hint="eastAsia" w:ascii="仿宋" w:hAnsi="仿宋" w:eastAsia="仿宋" w:cs="宋体"/>
                <w:kern w:val="0"/>
                <w:sz w:val="16"/>
                <w:szCs w:val="16"/>
              </w:rPr>
              <w:t>分）</w:t>
            </w:r>
          </w:p>
        </w:tc>
        <w:tc>
          <w:tcPr>
            <w:tcW w:w="14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kern w:val="0"/>
                <w:sz w:val="16"/>
                <w:szCs w:val="16"/>
              </w:rPr>
            </w:pPr>
            <w:r>
              <w:rPr>
                <w:rFonts w:hint="eastAsia" w:ascii="仿宋" w:hAnsi="仿宋" w:eastAsia="仿宋" w:cs="宋体"/>
                <w:kern w:val="0"/>
                <w:sz w:val="16"/>
                <w:szCs w:val="16"/>
              </w:rPr>
              <w:t>改善生态环境</w:t>
            </w:r>
          </w:p>
        </w:tc>
        <w:tc>
          <w:tcPr>
            <w:tcW w:w="14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5</w:t>
            </w:r>
          </w:p>
        </w:tc>
        <w:tc>
          <w:tcPr>
            <w:tcW w:w="42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kern w:val="0"/>
                <w:sz w:val="16"/>
                <w:szCs w:val="16"/>
                <w:lang w:eastAsia="zh-CN"/>
              </w:rPr>
            </w:pPr>
            <w:r>
              <w:rPr>
                <w:rFonts w:hint="eastAsia" w:ascii="仿宋" w:hAnsi="仿宋" w:eastAsia="仿宋" w:cs="宋体"/>
                <w:kern w:val="0"/>
                <w:sz w:val="16"/>
                <w:szCs w:val="16"/>
                <w:lang w:eastAsia="zh-CN"/>
              </w:rPr>
              <w:t>本年度</w:t>
            </w:r>
            <w:r>
              <w:rPr>
                <w:rFonts w:hint="eastAsia" w:ascii="仿宋" w:hAnsi="仿宋" w:eastAsia="仿宋" w:cs="宋体"/>
                <w:kern w:val="0"/>
                <w:sz w:val="16"/>
                <w:szCs w:val="16"/>
              </w:rPr>
              <w:t>改善生态环境</w:t>
            </w:r>
            <w:r>
              <w:rPr>
                <w:rFonts w:hint="eastAsia" w:ascii="仿宋" w:hAnsi="仿宋" w:eastAsia="仿宋" w:cs="宋体"/>
                <w:kern w:val="0"/>
                <w:sz w:val="16"/>
                <w:szCs w:val="16"/>
                <w:lang w:eastAsia="zh-CN"/>
              </w:rPr>
              <w:t>，得分。</w:t>
            </w: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5</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rPr>
            </w:pPr>
            <w:r>
              <w:rPr>
                <w:rFonts w:hint="eastAsia" w:ascii="仿宋" w:hAnsi="仿宋" w:eastAsia="仿宋" w:cs="宋体"/>
                <w:kern w:val="0"/>
                <w:sz w:val="16"/>
                <w:szCs w:val="16"/>
              </w:rPr>
              <w:t xml:space="preserve">0 </w:t>
            </w:r>
          </w:p>
        </w:tc>
      </w:tr>
      <w:tr>
        <w:tblPrEx>
          <w:tblCellMar>
            <w:top w:w="0" w:type="dxa"/>
            <w:left w:w="108" w:type="dxa"/>
            <w:bottom w:w="0" w:type="dxa"/>
            <w:right w:w="108" w:type="dxa"/>
          </w:tblCellMar>
        </w:tblPrEx>
        <w:trPr>
          <w:trHeight w:val="420" w:hRule="atLeast"/>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23</w:t>
            </w: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16"/>
                <w:szCs w:val="16"/>
              </w:rPr>
            </w:pP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满意度指标（</w:t>
            </w:r>
            <w:r>
              <w:rPr>
                <w:rFonts w:hint="eastAsia" w:ascii="仿宋" w:hAnsi="仿宋" w:eastAsia="仿宋" w:cs="宋体"/>
                <w:kern w:val="0"/>
                <w:sz w:val="16"/>
                <w:szCs w:val="16"/>
                <w:lang w:val="en-US" w:eastAsia="zh-CN"/>
              </w:rPr>
              <w:t>5</w:t>
            </w:r>
            <w:r>
              <w:rPr>
                <w:rFonts w:hint="eastAsia" w:ascii="仿宋" w:hAnsi="仿宋" w:eastAsia="仿宋" w:cs="宋体"/>
                <w:kern w:val="0"/>
                <w:sz w:val="16"/>
                <w:szCs w:val="16"/>
              </w:rPr>
              <w:t>分）</w:t>
            </w:r>
          </w:p>
        </w:tc>
        <w:tc>
          <w:tcPr>
            <w:tcW w:w="14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lang w:eastAsia="zh-CN"/>
              </w:rPr>
              <w:t>群众</w:t>
            </w:r>
            <w:r>
              <w:rPr>
                <w:rFonts w:hint="eastAsia" w:ascii="仿宋" w:hAnsi="仿宋" w:eastAsia="仿宋" w:cs="宋体"/>
                <w:kern w:val="0"/>
                <w:sz w:val="16"/>
                <w:szCs w:val="16"/>
              </w:rPr>
              <w:t>满意度</w:t>
            </w:r>
          </w:p>
        </w:tc>
        <w:tc>
          <w:tcPr>
            <w:tcW w:w="14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5</w:t>
            </w:r>
          </w:p>
        </w:tc>
        <w:tc>
          <w:tcPr>
            <w:tcW w:w="42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满意度</w:t>
            </w:r>
            <w:r>
              <w:rPr>
                <w:rFonts w:hint="eastAsia" w:ascii="仿宋" w:hAnsi="仿宋" w:eastAsia="仿宋" w:cs="宋体"/>
                <w:kern w:val="0"/>
                <w:sz w:val="16"/>
                <w:szCs w:val="16"/>
                <w:lang w:val="en-US" w:eastAsia="zh-CN"/>
              </w:rPr>
              <w:t>96</w:t>
            </w:r>
            <w:r>
              <w:rPr>
                <w:rFonts w:hint="eastAsia" w:ascii="仿宋" w:hAnsi="仿宋" w:eastAsia="仿宋" w:cs="宋体"/>
                <w:kern w:val="0"/>
                <w:sz w:val="16"/>
                <w:szCs w:val="16"/>
              </w:rPr>
              <w:t>%，得分。</w:t>
            </w: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5</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6"/>
                <w:szCs w:val="16"/>
                <w:lang w:eastAsia="zh-CN"/>
              </w:rPr>
            </w:pPr>
            <w:r>
              <w:rPr>
                <w:rFonts w:hint="eastAsia" w:ascii="仿宋" w:hAnsi="仿宋" w:eastAsia="仿宋" w:cs="宋体"/>
                <w:kern w:val="0"/>
                <w:sz w:val="16"/>
                <w:szCs w:val="16"/>
                <w:lang w:val="en-US" w:eastAsia="zh-CN"/>
              </w:rPr>
              <w:t>0</w:t>
            </w:r>
          </w:p>
        </w:tc>
      </w:tr>
      <w:tr>
        <w:tblPrEx>
          <w:tblCellMar>
            <w:top w:w="0" w:type="dxa"/>
            <w:left w:w="108" w:type="dxa"/>
            <w:bottom w:w="0" w:type="dxa"/>
            <w:right w:w="108" w:type="dxa"/>
          </w:tblCellMar>
        </w:tblPrEx>
        <w:trPr>
          <w:trHeight w:val="270" w:hRule="atLeast"/>
        </w:trPr>
        <w:tc>
          <w:tcPr>
            <w:tcW w:w="458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合计</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100</w:t>
            </w:r>
          </w:p>
        </w:tc>
        <w:tc>
          <w:tcPr>
            <w:tcW w:w="425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　</w:t>
            </w: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100</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0</w:t>
            </w:r>
          </w:p>
        </w:tc>
      </w:tr>
    </w:tbl>
    <w:p/>
    <w:p/>
    <w:p/>
    <w:p/>
    <w:p/>
    <w:p/>
    <w:p/>
    <w:p/>
    <w:p/>
    <w:p/>
    <w:p/>
    <w:p/>
    <w:p/>
    <w:p/>
    <w:sectPr>
      <w:pgSz w:w="16838" w:h="11906" w:orient="landscape"/>
      <w:pgMar w:top="1800" w:right="1440" w:bottom="1800" w:left="1440"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楷体">
    <w:altName w:val="楷体_GB2312"/>
    <w:panose1 w:val="00000000000000000000"/>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等线">
    <w:altName w:val="仿宋_GB2312"/>
    <w:panose1 w:val="00000000000000000000"/>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15411B"/>
    <w:multiLevelType w:val="singleLevel"/>
    <w:tmpl w:val="A915411B"/>
    <w:lvl w:ilvl="0" w:tentative="0">
      <w:start w:val="1"/>
      <w:numFmt w:val="decimal"/>
      <w:suff w:val="nothing"/>
      <w:lvlText w:val="%1、"/>
      <w:lvlJc w:val="left"/>
    </w:lvl>
  </w:abstractNum>
  <w:abstractNum w:abstractNumId="1">
    <w:nsid w:val="AA21543F"/>
    <w:multiLevelType w:val="singleLevel"/>
    <w:tmpl w:val="AA21543F"/>
    <w:lvl w:ilvl="0" w:tentative="0">
      <w:start w:val="1"/>
      <w:numFmt w:val="decimal"/>
      <w:lvlText w:val="%1."/>
      <w:lvlJc w:val="left"/>
      <w:pPr>
        <w:tabs>
          <w:tab w:val="left" w:pos="312"/>
        </w:tabs>
      </w:pPr>
    </w:lvl>
  </w:abstractNum>
  <w:abstractNum w:abstractNumId="2">
    <w:nsid w:val="E9668CC0"/>
    <w:multiLevelType w:val="singleLevel"/>
    <w:tmpl w:val="E9668CC0"/>
    <w:lvl w:ilvl="0" w:tentative="0">
      <w:start w:val="1"/>
      <w:numFmt w:val="chineseCounting"/>
      <w:suff w:val="nothing"/>
      <w:lvlText w:val="（%1）"/>
      <w:lvlJc w:val="left"/>
      <w:rPr>
        <w:rFonts w:hint="eastAsia"/>
      </w:rPr>
    </w:lvl>
  </w:abstractNum>
  <w:abstractNum w:abstractNumId="3">
    <w:nsid w:val="FA173C23"/>
    <w:multiLevelType w:val="singleLevel"/>
    <w:tmpl w:val="FA173C23"/>
    <w:lvl w:ilvl="0" w:tentative="0">
      <w:start w:val="2"/>
      <w:numFmt w:val="chineseCounting"/>
      <w:suff w:val="nothing"/>
      <w:lvlText w:val="（%1）"/>
      <w:lvlJc w:val="left"/>
      <w:rPr>
        <w:rFonts w:hint="eastAsia"/>
      </w:rPr>
    </w:lvl>
  </w:abstractNum>
  <w:abstractNum w:abstractNumId="4">
    <w:nsid w:val="1C37F5BE"/>
    <w:multiLevelType w:val="singleLevel"/>
    <w:tmpl w:val="1C37F5BE"/>
    <w:lvl w:ilvl="0" w:tentative="0">
      <w:start w:val="1"/>
      <w:numFmt w:val="chineseCounting"/>
      <w:suff w:val="nothing"/>
      <w:lvlText w:val="%1、"/>
      <w:lvlJc w:val="left"/>
      <w:rPr>
        <w:rFonts w:hint="eastAsia"/>
      </w:rPr>
    </w:lvl>
  </w:abstractNum>
  <w:abstractNum w:abstractNumId="5">
    <w:nsid w:val="20616D8A"/>
    <w:multiLevelType w:val="singleLevel"/>
    <w:tmpl w:val="20616D8A"/>
    <w:lvl w:ilvl="0" w:tentative="0">
      <w:start w:val="3"/>
      <w:numFmt w:val="chineseCounting"/>
      <w:suff w:val="nothing"/>
      <w:lvlText w:val="%1、"/>
      <w:lvlJc w:val="left"/>
      <w:rPr>
        <w:rFonts w:hint="eastAsia"/>
      </w:rPr>
    </w:lvl>
  </w:abstractNum>
  <w:abstractNum w:abstractNumId="6">
    <w:nsid w:val="35ADD963"/>
    <w:multiLevelType w:val="singleLevel"/>
    <w:tmpl w:val="35ADD963"/>
    <w:lvl w:ilvl="0" w:tentative="0">
      <w:start w:val="1"/>
      <w:numFmt w:val="decimal"/>
      <w:suff w:val="nothing"/>
      <w:lvlText w:val="%1、"/>
      <w:lvlJc w:val="left"/>
    </w:lvl>
  </w:abstractNum>
  <w:num w:numId="1">
    <w:abstractNumId w:val="4"/>
  </w:num>
  <w:num w:numId="2">
    <w:abstractNumId w:val="2"/>
  </w:num>
  <w:num w:numId="3">
    <w:abstractNumId w:val="5"/>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F77E753C"/>
    <w:rsid w:val="000F52D5"/>
    <w:rsid w:val="00565FCD"/>
    <w:rsid w:val="00571AAC"/>
    <w:rsid w:val="006F5CE9"/>
    <w:rsid w:val="007474E2"/>
    <w:rsid w:val="00945E11"/>
    <w:rsid w:val="00C21761"/>
    <w:rsid w:val="00C93A29"/>
    <w:rsid w:val="00CA0B92"/>
    <w:rsid w:val="00D006F1"/>
    <w:rsid w:val="00D110A5"/>
    <w:rsid w:val="00F4113E"/>
    <w:rsid w:val="00F42CA8"/>
    <w:rsid w:val="00FF1FFC"/>
    <w:rsid w:val="017157C0"/>
    <w:rsid w:val="01C71806"/>
    <w:rsid w:val="01C90A70"/>
    <w:rsid w:val="02150AD9"/>
    <w:rsid w:val="03395043"/>
    <w:rsid w:val="034A3146"/>
    <w:rsid w:val="055A0275"/>
    <w:rsid w:val="05F9449F"/>
    <w:rsid w:val="06507D51"/>
    <w:rsid w:val="06726F2C"/>
    <w:rsid w:val="0688657F"/>
    <w:rsid w:val="068F2474"/>
    <w:rsid w:val="06997F5E"/>
    <w:rsid w:val="08301396"/>
    <w:rsid w:val="08382E95"/>
    <w:rsid w:val="09506E22"/>
    <w:rsid w:val="09D0358B"/>
    <w:rsid w:val="0A0C2487"/>
    <w:rsid w:val="0A366421"/>
    <w:rsid w:val="0A7A4A85"/>
    <w:rsid w:val="0C2775A9"/>
    <w:rsid w:val="0C5253C9"/>
    <w:rsid w:val="0D067C99"/>
    <w:rsid w:val="0DAD7A6C"/>
    <w:rsid w:val="0E9D75A4"/>
    <w:rsid w:val="10317F44"/>
    <w:rsid w:val="105A1B78"/>
    <w:rsid w:val="10963CD0"/>
    <w:rsid w:val="10C25E5F"/>
    <w:rsid w:val="11192B9F"/>
    <w:rsid w:val="119D0CA6"/>
    <w:rsid w:val="13620591"/>
    <w:rsid w:val="139647E1"/>
    <w:rsid w:val="13D54A72"/>
    <w:rsid w:val="1428355B"/>
    <w:rsid w:val="14EB445F"/>
    <w:rsid w:val="164D699E"/>
    <w:rsid w:val="170A6F08"/>
    <w:rsid w:val="17F07F55"/>
    <w:rsid w:val="180A0539"/>
    <w:rsid w:val="18DA015C"/>
    <w:rsid w:val="18F05248"/>
    <w:rsid w:val="19700330"/>
    <w:rsid w:val="197C2EBE"/>
    <w:rsid w:val="198A00EE"/>
    <w:rsid w:val="19C800F0"/>
    <w:rsid w:val="1A416DAD"/>
    <w:rsid w:val="1ABE5E25"/>
    <w:rsid w:val="1AD7116C"/>
    <w:rsid w:val="1AEC477F"/>
    <w:rsid w:val="1B1D0A96"/>
    <w:rsid w:val="1B9C0FE2"/>
    <w:rsid w:val="1BA51496"/>
    <w:rsid w:val="1C20731A"/>
    <w:rsid w:val="1C4617ED"/>
    <w:rsid w:val="1C9E50E3"/>
    <w:rsid w:val="1C9F3150"/>
    <w:rsid w:val="1DA27B8C"/>
    <w:rsid w:val="1E1D4AE9"/>
    <w:rsid w:val="1F067EE1"/>
    <w:rsid w:val="1F237698"/>
    <w:rsid w:val="1F973695"/>
    <w:rsid w:val="1FF962E4"/>
    <w:rsid w:val="221672A6"/>
    <w:rsid w:val="22696CD6"/>
    <w:rsid w:val="22DE3BDD"/>
    <w:rsid w:val="23256148"/>
    <w:rsid w:val="24ED6A96"/>
    <w:rsid w:val="24F83CED"/>
    <w:rsid w:val="25281D34"/>
    <w:rsid w:val="25634BF0"/>
    <w:rsid w:val="25E7097B"/>
    <w:rsid w:val="25FC3A28"/>
    <w:rsid w:val="261E113B"/>
    <w:rsid w:val="267D6A5F"/>
    <w:rsid w:val="26EF0DF0"/>
    <w:rsid w:val="287301AE"/>
    <w:rsid w:val="289A2BCC"/>
    <w:rsid w:val="29827BBD"/>
    <w:rsid w:val="2A462B65"/>
    <w:rsid w:val="2BB1308F"/>
    <w:rsid w:val="2D25442D"/>
    <w:rsid w:val="2D2B5B31"/>
    <w:rsid w:val="2D486D4F"/>
    <w:rsid w:val="2D68176D"/>
    <w:rsid w:val="2DC44EA7"/>
    <w:rsid w:val="2E1D3A39"/>
    <w:rsid w:val="2E3C4B46"/>
    <w:rsid w:val="2F541FC9"/>
    <w:rsid w:val="2FFC4DA8"/>
    <w:rsid w:val="2FFE070D"/>
    <w:rsid w:val="30D43C2F"/>
    <w:rsid w:val="30EE0EDB"/>
    <w:rsid w:val="314F56E8"/>
    <w:rsid w:val="31AE1D32"/>
    <w:rsid w:val="31CA676A"/>
    <w:rsid w:val="31DB251E"/>
    <w:rsid w:val="322D635E"/>
    <w:rsid w:val="32E06758"/>
    <w:rsid w:val="33FA04A7"/>
    <w:rsid w:val="341A4146"/>
    <w:rsid w:val="34DC7C57"/>
    <w:rsid w:val="34F83791"/>
    <w:rsid w:val="35C21F40"/>
    <w:rsid w:val="36031528"/>
    <w:rsid w:val="3699394E"/>
    <w:rsid w:val="369E5821"/>
    <w:rsid w:val="36BE1326"/>
    <w:rsid w:val="36D5213F"/>
    <w:rsid w:val="3769226B"/>
    <w:rsid w:val="379F7939"/>
    <w:rsid w:val="37F86CC7"/>
    <w:rsid w:val="38A45A24"/>
    <w:rsid w:val="3AB039FF"/>
    <w:rsid w:val="3B460DB8"/>
    <w:rsid w:val="3B5E589C"/>
    <w:rsid w:val="3BB43E06"/>
    <w:rsid w:val="3BEC6BE1"/>
    <w:rsid w:val="3C0171A2"/>
    <w:rsid w:val="3CE80510"/>
    <w:rsid w:val="3E47370C"/>
    <w:rsid w:val="3E58156D"/>
    <w:rsid w:val="3E6C781E"/>
    <w:rsid w:val="3EA94ACC"/>
    <w:rsid w:val="3EDD2B49"/>
    <w:rsid w:val="3F48701F"/>
    <w:rsid w:val="3FC04098"/>
    <w:rsid w:val="40712B59"/>
    <w:rsid w:val="41AB7F52"/>
    <w:rsid w:val="41C12B05"/>
    <w:rsid w:val="41C54C72"/>
    <w:rsid w:val="428C7DC5"/>
    <w:rsid w:val="429F4F7E"/>
    <w:rsid w:val="42DC135D"/>
    <w:rsid w:val="431E214D"/>
    <w:rsid w:val="434D4F59"/>
    <w:rsid w:val="443A3BBC"/>
    <w:rsid w:val="446E7511"/>
    <w:rsid w:val="44B4485B"/>
    <w:rsid w:val="45014005"/>
    <w:rsid w:val="458B610C"/>
    <w:rsid w:val="45F45BFB"/>
    <w:rsid w:val="46B83114"/>
    <w:rsid w:val="47771AC9"/>
    <w:rsid w:val="47C155AE"/>
    <w:rsid w:val="47D36BEE"/>
    <w:rsid w:val="485C2961"/>
    <w:rsid w:val="489B2324"/>
    <w:rsid w:val="48FA5E8E"/>
    <w:rsid w:val="49817800"/>
    <w:rsid w:val="4AB0743C"/>
    <w:rsid w:val="4AB12639"/>
    <w:rsid w:val="4ADA523E"/>
    <w:rsid w:val="4B215D15"/>
    <w:rsid w:val="4B381A0F"/>
    <w:rsid w:val="4BA135A4"/>
    <w:rsid w:val="4BE92984"/>
    <w:rsid w:val="4C075896"/>
    <w:rsid w:val="4C7C5B86"/>
    <w:rsid w:val="4C821CB1"/>
    <w:rsid w:val="4CB94727"/>
    <w:rsid w:val="4CCB39C7"/>
    <w:rsid w:val="4D2F3E65"/>
    <w:rsid w:val="4EBE098A"/>
    <w:rsid w:val="4ED51EC0"/>
    <w:rsid w:val="4EDC6691"/>
    <w:rsid w:val="4F371B52"/>
    <w:rsid w:val="4F7A3903"/>
    <w:rsid w:val="4FC62E13"/>
    <w:rsid w:val="50097DF8"/>
    <w:rsid w:val="51147DFE"/>
    <w:rsid w:val="51303A9C"/>
    <w:rsid w:val="52100096"/>
    <w:rsid w:val="5217438E"/>
    <w:rsid w:val="5259496F"/>
    <w:rsid w:val="52800080"/>
    <w:rsid w:val="529C28BF"/>
    <w:rsid w:val="533E160F"/>
    <w:rsid w:val="534F77BF"/>
    <w:rsid w:val="542075F7"/>
    <w:rsid w:val="54460DF3"/>
    <w:rsid w:val="549020B7"/>
    <w:rsid w:val="55E8418E"/>
    <w:rsid w:val="56AE47A0"/>
    <w:rsid w:val="57A70AE0"/>
    <w:rsid w:val="58C43DB0"/>
    <w:rsid w:val="5A7B643B"/>
    <w:rsid w:val="5AFB48EB"/>
    <w:rsid w:val="5BA516A0"/>
    <w:rsid w:val="5BA92B6C"/>
    <w:rsid w:val="5C01524A"/>
    <w:rsid w:val="5C6E1531"/>
    <w:rsid w:val="5D02595F"/>
    <w:rsid w:val="5D9F59BD"/>
    <w:rsid w:val="5EAD31E0"/>
    <w:rsid w:val="5F4C2D38"/>
    <w:rsid w:val="5FBB5E23"/>
    <w:rsid w:val="5FC57433"/>
    <w:rsid w:val="5FCB3905"/>
    <w:rsid w:val="60A949C0"/>
    <w:rsid w:val="60EC05AE"/>
    <w:rsid w:val="61472277"/>
    <w:rsid w:val="620C07C4"/>
    <w:rsid w:val="635D6594"/>
    <w:rsid w:val="64164A38"/>
    <w:rsid w:val="643E2D0A"/>
    <w:rsid w:val="64702528"/>
    <w:rsid w:val="64E338C4"/>
    <w:rsid w:val="65550C5A"/>
    <w:rsid w:val="656158A7"/>
    <w:rsid w:val="66515876"/>
    <w:rsid w:val="667E3B3D"/>
    <w:rsid w:val="66AC60F1"/>
    <w:rsid w:val="6735031E"/>
    <w:rsid w:val="674605E9"/>
    <w:rsid w:val="67F31DAE"/>
    <w:rsid w:val="68282C9A"/>
    <w:rsid w:val="68467407"/>
    <w:rsid w:val="69AF2D63"/>
    <w:rsid w:val="69C316AD"/>
    <w:rsid w:val="6A71228B"/>
    <w:rsid w:val="6A712E9F"/>
    <w:rsid w:val="6A7A6D44"/>
    <w:rsid w:val="6B33300C"/>
    <w:rsid w:val="6B72150D"/>
    <w:rsid w:val="6BA4431F"/>
    <w:rsid w:val="6BAC139B"/>
    <w:rsid w:val="6BED5CD6"/>
    <w:rsid w:val="6C555C75"/>
    <w:rsid w:val="6CC07836"/>
    <w:rsid w:val="6DDA01E6"/>
    <w:rsid w:val="6DF002A3"/>
    <w:rsid w:val="6E08030A"/>
    <w:rsid w:val="6E5E410A"/>
    <w:rsid w:val="6E7D72A9"/>
    <w:rsid w:val="6E846F83"/>
    <w:rsid w:val="6F64672A"/>
    <w:rsid w:val="6F830626"/>
    <w:rsid w:val="710C6566"/>
    <w:rsid w:val="71675380"/>
    <w:rsid w:val="72573A7B"/>
    <w:rsid w:val="72E77E13"/>
    <w:rsid w:val="72FB6093"/>
    <w:rsid w:val="7404268D"/>
    <w:rsid w:val="746E1784"/>
    <w:rsid w:val="74D34CB5"/>
    <w:rsid w:val="74ED21D3"/>
    <w:rsid w:val="75E11C35"/>
    <w:rsid w:val="761C3C8D"/>
    <w:rsid w:val="76421AE0"/>
    <w:rsid w:val="7688565F"/>
    <w:rsid w:val="76AC5BC7"/>
    <w:rsid w:val="770208D9"/>
    <w:rsid w:val="77D47289"/>
    <w:rsid w:val="792111F2"/>
    <w:rsid w:val="79A079DD"/>
    <w:rsid w:val="7AAA0959"/>
    <w:rsid w:val="7B6C4B7D"/>
    <w:rsid w:val="7BAB7452"/>
    <w:rsid w:val="7BC949B6"/>
    <w:rsid w:val="7BFB3E49"/>
    <w:rsid w:val="7C3A7619"/>
    <w:rsid w:val="7C736023"/>
    <w:rsid w:val="7D59580F"/>
    <w:rsid w:val="7DBD25B8"/>
    <w:rsid w:val="7E3E38F3"/>
    <w:rsid w:val="7EDD5456"/>
    <w:rsid w:val="F77E75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2"/>
    <w:basedOn w:val="1"/>
    <w:next w:val="1"/>
    <w:unhideWhenUsed/>
    <w:qFormat/>
    <w:uiPriority w:val="0"/>
    <w:pPr>
      <w:keepNext/>
      <w:keepLines/>
      <w:spacing w:before="260" w:after="260" w:line="412" w:lineRule="auto"/>
      <w:outlineLvl w:val="1"/>
    </w:pPr>
    <w:rPr>
      <w:rFonts w:ascii="Arial" w:hAnsi="Arial" w:eastAsia="黑体"/>
      <w:b/>
      <w:sz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cs="Times New Roman"/>
      <w:kern w:val="2"/>
      <w:sz w:val="18"/>
      <w:szCs w:val="18"/>
    </w:rPr>
  </w:style>
  <w:style w:type="character" w:customStyle="1" w:styleId="8">
    <w:name w:val="页脚 Char"/>
    <w:basedOn w:val="6"/>
    <w:link w:val="3"/>
    <w:qFormat/>
    <w:uiPriority w:val="0"/>
    <w:rPr>
      <w:rFonts w:ascii="Times New Roman" w:hAnsi="Times New Roman" w:eastAsia="仿宋_GB2312" w:cs="Times New Roman"/>
      <w:kern w:val="2"/>
      <w:sz w:val="18"/>
      <w:szCs w:val="18"/>
    </w:rPr>
  </w:style>
  <w:style w:type="character" w:customStyle="1" w:styleId="9">
    <w:name w:val="font51"/>
    <w:basedOn w:val="6"/>
    <w:qFormat/>
    <w:uiPriority w:val="0"/>
    <w:rPr>
      <w:rFonts w:hint="eastAsia" w:ascii="宋体" w:hAnsi="宋体" w:eastAsia="宋体" w:cs="宋体"/>
      <w:color w:val="000000"/>
      <w:sz w:val="20"/>
      <w:szCs w:val="20"/>
      <w:u w:val="none"/>
    </w:rPr>
  </w:style>
  <w:style w:type="character" w:customStyle="1" w:styleId="10">
    <w:name w:val="font1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231</Words>
  <Characters>1323</Characters>
  <Lines>11</Lines>
  <Paragraphs>3</Paragraphs>
  <TotalTime>0</TotalTime>
  <ScaleCrop>false</ScaleCrop>
  <LinksUpToDate>false</LinksUpToDate>
  <CharactersWithSpaces>1551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2021-03-15T23:15:00Z</dcterms:created>
  <dc:creator>bbcz</dc:creator>
  <cp:lastModifiedBy>Administrator</cp:lastModifiedBy>
  <cp:lastPrinted>2022-03-10T08:14:00Z</cp:lastPrinted>
  <dcterms:modified xsi:type="dcterms:W3CDTF">2023-08-21T02:21:47Z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