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59468">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jc w:val="left"/>
        <w:textAlignment w:val="baseline"/>
        <w:rPr>
          <w:rFonts w:hint="eastAsia" w:ascii="Times New Roman" w:hAnsi="Times New Roman" w:eastAsia="方正仿宋_GBK" w:cs="方正仿宋_GBK"/>
          <w:snapToGrid w:val="0"/>
          <w:color w:val="000000"/>
          <w:spacing w:val="0"/>
          <w:kern w:val="0"/>
          <w:sz w:val="32"/>
          <w:szCs w:val="32"/>
          <w:lang w:val="en-US" w:eastAsia="en-US" w:bidi="ar-SA"/>
        </w:rPr>
      </w:pPr>
      <w:bookmarkStart w:id="0" w:name="_Hlk180393182"/>
    </w:p>
    <w:p w14:paraId="094CC6B9">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jc w:val="left"/>
        <w:textAlignment w:val="baseline"/>
        <w:rPr>
          <w:rFonts w:hint="eastAsia" w:ascii="Times New Roman" w:hAnsi="Times New Roman" w:eastAsia="方正仿宋_GBK" w:cs="方正仿宋_GBK"/>
          <w:snapToGrid w:val="0"/>
          <w:color w:val="000000"/>
          <w:spacing w:val="0"/>
          <w:kern w:val="0"/>
          <w:sz w:val="32"/>
          <w:szCs w:val="32"/>
          <w:lang w:val="en-US" w:eastAsia="en-US" w:bidi="ar-SA"/>
        </w:rPr>
      </w:pPr>
    </w:p>
    <w:p w14:paraId="1E63402D">
      <w:pPr>
        <w:keepNext w:val="0"/>
        <w:keepLines w:val="0"/>
        <w:pageBreakBefore w:val="0"/>
        <w:kinsoku/>
        <w:wordWrap/>
        <w:overflowPunct/>
        <w:topLinePunct w:val="0"/>
        <w:bidi w:val="0"/>
        <w:spacing w:line="590" w:lineRule="exact"/>
        <w:ind w:right="0"/>
        <w:jc w:val="center"/>
        <w:textAlignment w:val="auto"/>
        <w:rPr>
          <w:rFonts w:hint="eastAsia" w:ascii="Times New Roman" w:hAnsi="Times New Roman" w:eastAsia="方正小标宋_GBK" w:cs="方正小标宋_GBK"/>
          <w:spacing w:val="0"/>
          <w:kern w:val="0"/>
          <w:sz w:val="44"/>
          <w:szCs w:val="44"/>
        </w:rPr>
      </w:pPr>
      <w:r>
        <w:rPr>
          <w:rFonts w:hint="eastAsia" w:ascii="Times New Roman" w:hAnsi="Times New Roman" w:eastAsia="方正小标宋_GBK" w:cs="方正小标宋_GBK"/>
          <w:spacing w:val="0"/>
          <w:kern w:val="0"/>
          <w:sz w:val="44"/>
          <w:szCs w:val="44"/>
        </w:rPr>
        <w:t>关于开展</w:t>
      </w:r>
      <w:r>
        <w:rPr>
          <w:rFonts w:hint="eastAsia" w:eastAsia="方正小标宋_GBK" w:cs="方正小标宋_GBK"/>
          <w:spacing w:val="0"/>
          <w:kern w:val="0"/>
          <w:sz w:val="44"/>
          <w:szCs w:val="44"/>
          <w:lang w:val="en-US" w:eastAsia="zh-CN"/>
        </w:rPr>
        <w:t>全</w:t>
      </w:r>
      <w:r>
        <w:rPr>
          <w:rFonts w:hint="eastAsia" w:eastAsia="方正小标宋_GBK" w:cs="方正小标宋_GBK"/>
          <w:b/>
          <w:bCs/>
          <w:spacing w:val="0"/>
          <w:kern w:val="0"/>
          <w:sz w:val="44"/>
          <w:szCs w:val="44"/>
          <w:lang w:val="en-US" w:eastAsia="zh-CN"/>
        </w:rPr>
        <w:t>镇</w:t>
      </w:r>
      <w:r>
        <w:rPr>
          <w:rFonts w:hint="eastAsia" w:ascii="Times New Roman" w:hAnsi="Times New Roman" w:eastAsia="方正小标宋_GBK" w:cs="方正小标宋_GBK"/>
          <w:spacing w:val="0"/>
          <w:kern w:val="0"/>
          <w:sz w:val="44"/>
          <w:szCs w:val="44"/>
        </w:rPr>
        <w:t>消防安全风险隐患大排查</w:t>
      </w:r>
    </w:p>
    <w:p w14:paraId="0CECAB2C">
      <w:pPr>
        <w:keepNext w:val="0"/>
        <w:keepLines w:val="0"/>
        <w:pageBreakBefore w:val="0"/>
        <w:kinsoku/>
        <w:wordWrap/>
        <w:overflowPunct/>
        <w:topLinePunct w:val="0"/>
        <w:bidi w:val="0"/>
        <w:spacing w:line="590" w:lineRule="exact"/>
        <w:ind w:right="0"/>
        <w:jc w:val="center"/>
        <w:textAlignment w:val="auto"/>
        <w:rPr>
          <w:rFonts w:hint="eastAsia" w:ascii="Times New Roman" w:hAnsi="Times New Roman" w:eastAsia="方正小标宋_GBK" w:cs="方正小标宋_GBK"/>
          <w:spacing w:val="0"/>
          <w:kern w:val="0"/>
          <w:sz w:val="44"/>
          <w:szCs w:val="44"/>
        </w:rPr>
      </w:pPr>
      <w:r>
        <w:rPr>
          <w:rFonts w:hint="eastAsia" w:ascii="Times New Roman" w:hAnsi="Times New Roman" w:eastAsia="方正小标宋_GBK" w:cs="方正小标宋_GBK"/>
          <w:spacing w:val="0"/>
          <w:kern w:val="0"/>
          <w:sz w:val="44"/>
          <w:szCs w:val="44"/>
        </w:rPr>
        <w:t>大整治行动的通知</w:t>
      </w:r>
    </w:p>
    <w:bookmarkEnd w:id="0"/>
    <w:p w14:paraId="55FAC794">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jc w:val="left"/>
        <w:textAlignment w:val="baseline"/>
        <w:rPr>
          <w:rFonts w:hint="eastAsia" w:ascii="Times New Roman" w:hAnsi="Times New Roman" w:eastAsia="方正仿宋_GBK" w:cs="方正仿宋_GBK"/>
          <w:snapToGrid w:val="0"/>
          <w:color w:val="000000"/>
          <w:spacing w:val="0"/>
          <w:kern w:val="0"/>
          <w:sz w:val="32"/>
          <w:szCs w:val="32"/>
          <w:lang w:val="en-US" w:eastAsia="en-US" w:bidi="ar-SA"/>
        </w:rPr>
      </w:pPr>
    </w:p>
    <w:p w14:paraId="77AF73C9">
      <w:pPr>
        <w:keepNext w:val="0"/>
        <w:keepLines w:val="0"/>
        <w:pageBreakBefore w:val="0"/>
        <w:kinsoku/>
        <w:wordWrap/>
        <w:overflowPunct/>
        <w:topLinePunct w:val="0"/>
        <w:bidi w:val="0"/>
        <w:spacing w:line="590" w:lineRule="exact"/>
        <w:ind w:right="0"/>
        <w:jc w:val="left"/>
        <w:textAlignment w:val="auto"/>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各</w:t>
      </w:r>
      <w:r>
        <w:rPr>
          <w:rFonts w:hint="eastAsia" w:ascii="Times New Roman" w:hAnsi="Times New Roman" w:eastAsia="方正仿宋_GBK" w:cs="方正仿宋_GBK"/>
          <w:spacing w:val="0"/>
          <w:kern w:val="0"/>
          <w:sz w:val="32"/>
          <w:szCs w:val="32"/>
          <w:lang w:val="en-US" w:eastAsia="zh-CN"/>
        </w:rPr>
        <w:t>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直有关单位</w:t>
      </w:r>
      <w:r>
        <w:rPr>
          <w:rFonts w:hint="eastAsia" w:ascii="Times New Roman" w:hAnsi="Times New Roman" w:eastAsia="方正仿宋_GBK" w:cs="方正仿宋_GBK"/>
          <w:spacing w:val="0"/>
          <w:kern w:val="0"/>
          <w:sz w:val="32"/>
          <w:szCs w:val="32"/>
        </w:rPr>
        <w:t>：</w:t>
      </w:r>
    </w:p>
    <w:p w14:paraId="0DC5EF9E">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2024年10月19日5时许，淮南市潘集区架河镇王圩村发生一起火灾事故，共造成9人死亡、1人轻伤，教训十分深刻。为认真贯彻落实省委、省政府和市委、市政府、区委、区政府主要负责同志批示要求，按照上级工作部署，决定从即日起至12月底，在全</w:t>
      </w:r>
      <w:r>
        <w:rPr>
          <w:rFonts w:hint="eastAsia" w:eastAsia="方正仿宋_GBK" w:cs="方正仿宋_GBK"/>
          <w:spacing w:val="0"/>
          <w:kern w:val="0"/>
          <w:sz w:val="32"/>
          <w:szCs w:val="32"/>
          <w:lang w:val="en-US" w:eastAsia="zh-CN" w:bidi="ar"/>
        </w:rPr>
        <w:t>镇</w:t>
      </w:r>
      <w:r>
        <w:rPr>
          <w:rFonts w:hint="eastAsia" w:ascii="Times New Roman" w:hAnsi="Times New Roman" w:eastAsia="方正仿宋_GBK" w:cs="方正仿宋_GBK"/>
          <w:spacing w:val="0"/>
          <w:kern w:val="0"/>
          <w:sz w:val="32"/>
          <w:szCs w:val="32"/>
          <w:lang w:bidi="ar"/>
        </w:rPr>
        <w:t>范围内集中开展消防安全风险隐患大排查大整治行动。现将工作事项通知如下：</w:t>
      </w:r>
    </w:p>
    <w:p w14:paraId="5552A841">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一、工作目标</w:t>
      </w:r>
    </w:p>
    <w:p w14:paraId="24CB8A27">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深入贯彻习近平总书记关于安全生产和消防工作重要批示指示要求，全面贯彻落实二十届三中全会精神和省委省政府、市委市政府、区委区政府决策部署，</w:t>
      </w:r>
      <w:r>
        <w:rPr>
          <w:rFonts w:hint="eastAsia" w:ascii="Times New Roman" w:hAnsi="Times New Roman" w:eastAsia="方正仿宋_GBK" w:cs="方正仿宋_GBK"/>
          <w:spacing w:val="0"/>
          <w:kern w:val="0"/>
          <w:sz w:val="32"/>
          <w:szCs w:val="32"/>
        </w:rPr>
        <w:t>紧盯重点领域、聚焦关键环节，精准发力、重拳除患，多措并举、综合施策，</w:t>
      </w:r>
      <w:r>
        <w:rPr>
          <w:rFonts w:hint="eastAsia" w:ascii="Times New Roman" w:hAnsi="Times New Roman" w:eastAsia="方正仿宋_GBK" w:cs="方正仿宋_GBK"/>
          <w:spacing w:val="0"/>
          <w:kern w:val="0"/>
          <w:sz w:val="32"/>
          <w:szCs w:val="32"/>
          <w:lang w:bidi="ar"/>
        </w:rPr>
        <w:t>举一反三开展消防安全风险隐患大排查大整治行动，深入排查整改消防安全重大风险，全面抓好秋冬季消防安全工作，</w:t>
      </w:r>
      <w:r>
        <w:rPr>
          <w:rFonts w:hint="eastAsia" w:ascii="Times New Roman" w:hAnsi="Times New Roman" w:eastAsia="方正仿宋_GBK" w:cs="方正仿宋_GBK"/>
          <w:spacing w:val="0"/>
          <w:kern w:val="0"/>
          <w:sz w:val="32"/>
          <w:szCs w:val="32"/>
        </w:rPr>
        <w:t>切实将压力传递到基层单元，传导到社会末梢，推动压实最末端火灾防范责任，坚决遏制火灾事故多发势头，</w:t>
      </w:r>
      <w:r>
        <w:rPr>
          <w:rFonts w:hint="eastAsia" w:ascii="Times New Roman" w:hAnsi="Times New Roman" w:eastAsia="方正仿宋_GBK" w:cs="方正仿宋_GBK"/>
          <w:spacing w:val="0"/>
          <w:kern w:val="0"/>
          <w:sz w:val="32"/>
          <w:szCs w:val="32"/>
          <w:lang w:bidi="ar"/>
        </w:rPr>
        <w:t>坚决遏制较大以上和有影响火灾事故发生，为全</w:t>
      </w:r>
      <w:bookmarkStart w:id="3" w:name="_GoBack"/>
      <w:bookmarkEnd w:id="3"/>
      <w:r>
        <w:rPr>
          <w:rFonts w:hint="eastAsia" w:eastAsia="方正仿宋_GBK" w:cs="方正仿宋_GBK"/>
          <w:spacing w:val="0"/>
          <w:kern w:val="0"/>
          <w:sz w:val="32"/>
          <w:szCs w:val="32"/>
          <w:lang w:val="en-US" w:eastAsia="zh-CN" w:bidi="ar"/>
        </w:rPr>
        <w:t>镇</w:t>
      </w:r>
      <w:r>
        <w:rPr>
          <w:rFonts w:hint="eastAsia" w:ascii="Times New Roman" w:hAnsi="Times New Roman" w:eastAsia="方正仿宋_GBK" w:cs="方正仿宋_GBK"/>
          <w:spacing w:val="0"/>
          <w:kern w:val="0"/>
          <w:sz w:val="32"/>
          <w:szCs w:val="32"/>
          <w:lang w:bidi="ar"/>
        </w:rPr>
        <w:t>高质量发展提供坚实有力的消防安全保障。</w:t>
      </w:r>
    </w:p>
    <w:p w14:paraId="21C75D65">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二、整治范围</w:t>
      </w:r>
    </w:p>
    <w:p w14:paraId="12A79380">
      <w:pPr>
        <w:pStyle w:val="18"/>
        <w:keepNext w:val="0"/>
        <w:keepLines w:val="0"/>
        <w:pageBreakBefore w:val="0"/>
        <w:kinsoku/>
        <w:wordWrap/>
        <w:overflowPunct/>
        <w:topLinePunct w:val="0"/>
        <w:bidi w:val="0"/>
        <w:spacing w:line="590" w:lineRule="exact"/>
        <w:ind w:right="0" w:firstLine="643" w:firstLineChars="200"/>
        <w:jc w:val="left"/>
        <w:textAlignment w:val="auto"/>
        <w:rPr>
          <w:rStyle w:val="28"/>
          <w:rFonts w:hint="eastAsia" w:ascii="Times New Roman" w:hAnsi="Times New Roman" w:eastAsia="方正仿宋_GBK" w:cs="方正仿宋_GBK"/>
          <w:b/>
          <w:bCs/>
          <w:color w:val="auto"/>
          <w:spacing w:val="0"/>
          <w:kern w:val="0"/>
          <w:sz w:val="32"/>
          <w:szCs w:val="32"/>
        </w:rPr>
      </w:pPr>
      <w:r>
        <w:rPr>
          <w:rStyle w:val="28"/>
          <w:rFonts w:hint="eastAsia" w:ascii="Times New Roman" w:hAnsi="Times New Roman" w:eastAsia="方正仿宋_GBK" w:cs="方正仿宋_GBK"/>
          <w:b/>
          <w:bCs/>
          <w:color w:val="auto"/>
          <w:spacing w:val="0"/>
          <w:kern w:val="0"/>
          <w:sz w:val="32"/>
          <w:szCs w:val="32"/>
        </w:rPr>
        <w:t>重点场所：</w:t>
      </w:r>
      <w:r>
        <w:rPr>
          <w:rFonts w:hint="eastAsia" w:ascii="Times New Roman" w:hAnsi="Times New Roman" w:eastAsia="方正仿宋_GBK" w:cs="方正仿宋_GBK"/>
          <w:color w:val="auto"/>
          <w:spacing w:val="0"/>
          <w:kern w:val="0"/>
          <w:sz w:val="32"/>
          <w:szCs w:val="32"/>
        </w:rPr>
        <w:t>医院、养老院、宾馆</w:t>
      </w:r>
      <w:r>
        <w:rPr>
          <w:rFonts w:hint="eastAsia" w:ascii="Times New Roman" w:hAnsi="Times New Roman" w:eastAsia="方正仿宋_GBK" w:cs="方正仿宋_GBK"/>
          <w:color w:val="auto"/>
          <w:spacing w:val="0"/>
          <w:kern w:val="0"/>
          <w:sz w:val="32"/>
          <w:szCs w:val="32"/>
          <w:lang w:eastAsia="zh-CN"/>
        </w:rPr>
        <w:t>、</w:t>
      </w:r>
      <w:r>
        <w:rPr>
          <w:rFonts w:hint="eastAsia" w:ascii="Times New Roman" w:hAnsi="Times New Roman" w:eastAsia="方正仿宋_GBK" w:cs="方正仿宋_GBK"/>
          <w:color w:val="auto"/>
          <w:spacing w:val="0"/>
          <w:kern w:val="0"/>
          <w:sz w:val="32"/>
          <w:szCs w:val="32"/>
          <w:lang w:val="en-US" w:eastAsia="zh-CN"/>
        </w:rPr>
        <w:t>饭店</w:t>
      </w:r>
      <w:r>
        <w:rPr>
          <w:rFonts w:hint="eastAsia" w:ascii="Times New Roman" w:hAnsi="Times New Roman" w:eastAsia="方正仿宋_GBK" w:cs="方正仿宋_GBK"/>
          <w:color w:val="auto"/>
          <w:spacing w:val="0"/>
          <w:kern w:val="0"/>
          <w:sz w:val="32"/>
          <w:szCs w:val="32"/>
        </w:rPr>
        <w:t>、劳动密集型企业等。</w:t>
      </w:r>
    </w:p>
    <w:p w14:paraId="7D38E1C7">
      <w:pPr>
        <w:pStyle w:val="18"/>
        <w:keepNext w:val="0"/>
        <w:keepLines w:val="0"/>
        <w:pageBreakBefore w:val="0"/>
        <w:kinsoku/>
        <w:wordWrap/>
        <w:overflowPunct/>
        <w:topLinePunct w:val="0"/>
        <w:bidi w:val="0"/>
        <w:spacing w:line="590" w:lineRule="exact"/>
        <w:ind w:right="0" w:firstLine="643" w:firstLineChars="200"/>
        <w:jc w:val="left"/>
        <w:textAlignment w:val="auto"/>
        <w:rPr>
          <w:rFonts w:hint="eastAsia" w:ascii="Times New Roman" w:hAnsi="Times New Roman" w:eastAsia="方正仿宋_GBK" w:cs="方正仿宋_GBK"/>
          <w:color w:val="auto"/>
          <w:spacing w:val="0"/>
          <w:kern w:val="0"/>
          <w:sz w:val="32"/>
          <w:szCs w:val="32"/>
        </w:rPr>
      </w:pPr>
      <w:r>
        <w:rPr>
          <w:rStyle w:val="28"/>
          <w:rFonts w:hint="eastAsia" w:ascii="Times New Roman" w:hAnsi="Times New Roman" w:eastAsia="方正仿宋_GBK" w:cs="方正仿宋_GBK"/>
          <w:b/>
          <w:bCs/>
          <w:color w:val="auto"/>
          <w:spacing w:val="0"/>
          <w:kern w:val="0"/>
          <w:sz w:val="32"/>
          <w:szCs w:val="32"/>
        </w:rPr>
        <w:t>“小火亡人”多发场所：</w:t>
      </w:r>
      <w:r>
        <w:rPr>
          <w:rFonts w:hint="eastAsia" w:ascii="Times New Roman" w:hAnsi="Times New Roman" w:eastAsia="方正仿宋_GBK" w:cs="方正仿宋_GBK"/>
          <w:color w:val="auto"/>
          <w:spacing w:val="0"/>
          <w:kern w:val="0"/>
          <w:sz w:val="32"/>
          <w:szCs w:val="32"/>
        </w:rPr>
        <w:t>“厂中厂”、员工宿舍、学生宿舍、群租房、“三合一”、“九小场所”、羽绒、服装、婚纱加工作坊等。</w:t>
      </w:r>
    </w:p>
    <w:p w14:paraId="407AF8D8">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三、整治重点</w:t>
      </w:r>
    </w:p>
    <w:p w14:paraId="7D82E70E">
      <w:pPr>
        <w:pStyle w:val="18"/>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color w:val="auto"/>
          <w:spacing w:val="0"/>
          <w:kern w:val="0"/>
          <w:sz w:val="32"/>
          <w:szCs w:val="32"/>
        </w:rPr>
      </w:pPr>
      <w:bookmarkStart w:id="1" w:name="_Hlk133414086"/>
      <w:r>
        <w:rPr>
          <w:rFonts w:hint="eastAsia" w:ascii="Times New Roman" w:hAnsi="Times New Roman" w:eastAsia="方正仿宋_GBK" w:cs="方正仿宋_GBK"/>
          <w:color w:val="auto"/>
          <w:spacing w:val="0"/>
          <w:kern w:val="0"/>
          <w:sz w:val="32"/>
          <w:szCs w:val="32"/>
        </w:rPr>
        <w:t>（一）单位消防安全责任人责任落实不到位；（二）单位场所管理责任落实不到位；（三）安全疏散条件不足；（四）防火分隔不满足要求；（五）消防设施设备故障损坏；（六）违规使用易燃可燃保温材料和装饰装修；（七）未建立初期火灾扑救力量；（八）违规住人；（九）电源火源管控不到位。</w:t>
      </w:r>
    </w:p>
    <w:bookmarkEnd w:id="1"/>
    <w:p w14:paraId="4C0F90E7">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四、整治措施</w:t>
      </w:r>
    </w:p>
    <w:p w14:paraId="3CB9A496">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color w:val="000000"/>
          <w:spacing w:val="0"/>
          <w:kern w:val="0"/>
          <w:sz w:val="32"/>
          <w:szCs w:val="32"/>
        </w:rPr>
      </w:pPr>
      <w:r>
        <w:rPr>
          <w:rStyle w:val="28"/>
          <w:rFonts w:hint="eastAsia" w:ascii="Times New Roman" w:hAnsi="Times New Roman" w:eastAsia="方正楷体_GBK" w:cs="方正楷体_GBK"/>
          <w:b w:val="0"/>
          <w:bCs w:val="0"/>
          <w:spacing w:val="0"/>
          <w:kern w:val="0"/>
          <w:sz w:val="32"/>
          <w:szCs w:val="32"/>
        </w:rPr>
        <w:t>（一）落实属地管理职责。</w:t>
      </w:r>
      <w:r>
        <w:rPr>
          <w:rFonts w:hint="eastAsia" w:ascii="Times New Roman" w:hAnsi="Times New Roman" w:eastAsia="方正仿宋_GBK" w:cs="方正仿宋_GBK"/>
          <w:color w:val="000000"/>
          <w:spacing w:val="0"/>
          <w:kern w:val="0"/>
          <w:sz w:val="32"/>
          <w:szCs w:val="32"/>
        </w:rPr>
        <w:t>各</w:t>
      </w:r>
      <w:r>
        <w:rPr>
          <w:rFonts w:hint="eastAsia" w:ascii="Times New Roman" w:hAnsi="Times New Roman" w:eastAsia="方正仿宋_GBK" w:cs="方正仿宋_GBK"/>
          <w:color w:val="000000"/>
          <w:spacing w:val="0"/>
          <w:kern w:val="0"/>
          <w:sz w:val="32"/>
          <w:szCs w:val="32"/>
          <w:lang w:val="en-US" w:eastAsia="zh-CN"/>
        </w:rPr>
        <w:t>村</w:t>
      </w:r>
      <w:r>
        <w:rPr>
          <w:rFonts w:hint="eastAsia" w:ascii="Times New Roman" w:hAnsi="Times New Roman" w:eastAsia="方正仿宋_GBK" w:cs="方正仿宋_GBK"/>
          <w:color w:val="000000"/>
          <w:spacing w:val="0"/>
          <w:kern w:val="0"/>
          <w:sz w:val="32"/>
          <w:szCs w:val="32"/>
        </w:rPr>
        <w:t>立即对本辖区消防安全形势进行一次专题分析研判，找准最不放心、最不托底、有可能引发群死群伤的区域或场所，因地制宜，部署安排本地区大排查大整治工作。</w:t>
      </w:r>
      <w:r>
        <w:rPr>
          <w:rFonts w:hint="eastAsia" w:ascii="Times New Roman" w:hAnsi="Times New Roman" w:eastAsia="方正仿宋_GBK" w:cs="方正仿宋_GBK"/>
          <w:spacing w:val="0"/>
          <w:kern w:val="0"/>
          <w:sz w:val="32"/>
          <w:szCs w:val="32"/>
        </w:rPr>
        <w:t>要采取“划分网格、分片包干”做法，要组织村委工作人员开展排查，</w:t>
      </w:r>
      <w:r>
        <w:rPr>
          <w:rFonts w:hint="eastAsia" w:ascii="Times New Roman" w:hAnsi="Times New Roman" w:eastAsia="方正仿宋_GBK" w:cs="方正仿宋_GBK"/>
          <w:color w:val="000000"/>
          <w:spacing w:val="0"/>
          <w:kern w:val="0"/>
          <w:sz w:val="32"/>
          <w:szCs w:val="32"/>
        </w:rPr>
        <w:t>常态化开展群租房、“三合一”、“九小场所”消防检查和宣传提示</w:t>
      </w:r>
      <w:r>
        <w:rPr>
          <w:rFonts w:hint="eastAsia" w:ascii="Times New Roman" w:hAnsi="Times New Roman" w:eastAsia="方正仿宋_GBK" w:cs="方正仿宋_GBK"/>
          <w:spacing w:val="0"/>
          <w:kern w:val="0"/>
          <w:sz w:val="32"/>
          <w:szCs w:val="32"/>
        </w:rPr>
        <w:t>，对于难以整治的突出风险隐患，及时</w:t>
      </w:r>
      <w:r>
        <w:rPr>
          <w:rFonts w:hint="eastAsia" w:ascii="Times New Roman" w:hAnsi="Times New Roman" w:eastAsia="方正仿宋_GBK" w:cs="方正仿宋_GBK"/>
          <w:spacing w:val="0"/>
          <w:kern w:val="0"/>
          <w:sz w:val="32"/>
          <w:szCs w:val="32"/>
          <w:lang w:val="en-US" w:eastAsia="zh-CN"/>
        </w:rPr>
        <w:t>上报</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相关</w:t>
      </w:r>
      <w:r>
        <w:rPr>
          <w:rFonts w:hint="eastAsia" w:ascii="Times New Roman" w:hAnsi="Times New Roman" w:eastAsia="方正仿宋_GBK" w:cs="方正仿宋_GBK"/>
          <w:spacing w:val="0"/>
          <w:kern w:val="0"/>
          <w:sz w:val="32"/>
          <w:szCs w:val="32"/>
        </w:rPr>
        <w:t>部门联合查处。</w:t>
      </w:r>
    </w:p>
    <w:p w14:paraId="1B6BB8F6">
      <w:pPr>
        <w:pStyle w:val="20"/>
        <w:keepNext w:val="0"/>
        <w:keepLines w:val="0"/>
        <w:pageBreakBefore w:val="0"/>
        <w:kinsoku/>
        <w:wordWrap/>
        <w:overflowPunct/>
        <w:topLinePunct w:val="0"/>
        <w:bidi w:val="0"/>
        <w:spacing w:line="590" w:lineRule="exact"/>
        <w:ind w:right="0" w:firstLine="643"/>
        <w:jc w:val="left"/>
        <w:textAlignment w:val="auto"/>
        <w:rPr>
          <w:rFonts w:hint="eastAsia" w:ascii="Times New Roman" w:hAnsi="Times New Roman" w:eastAsia="方正仿宋_GBK" w:cs="方正仿宋_GBK"/>
          <w:color w:val="000000"/>
          <w:spacing w:val="0"/>
          <w:kern w:val="0"/>
          <w:sz w:val="32"/>
          <w:szCs w:val="32"/>
        </w:rPr>
      </w:pPr>
      <w:r>
        <w:rPr>
          <w:rStyle w:val="28"/>
          <w:rFonts w:hint="eastAsia" w:ascii="Times New Roman" w:hAnsi="Times New Roman" w:cs="方正楷体_GBK"/>
          <w:b w:val="0"/>
          <w:bCs w:val="0"/>
          <w:spacing w:val="0"/>
          <w:sz w:val="32"/>
          <w:szCs w:val="32"/>
          <w:lang w:val="en-US" w:eastAsia="zh-CN" w:bidi="ar-SA"/>
        </w:rPr>
        <w:t>（二）落实行业监管职责。</w:t>
      </w:r>
      <w:r>
        <w:rPr>
          <w:rFonts w:hint="eastAsia" w:ascii="Times New Roman" w:hAnsi="Times New Roman" w:eastAsia="方正仿宋_GBK" w:cs="方正仿宋_GBK"/>
          <w:color w:val="000000"/>
          <w:spacing w:val="0"/>
          <w:kern w:val="0"/>
          <w:sz w:val="32"/>
          <w:szCs w:val="32"/>
        </w:rPr>
        <w:t>各行业部门要严格落实“三管三必须”要求，履行好本行业领域消防安全监管职责。</w:t>
      </w:r>
      <w:r>
        <w:rPr>
          <w:rFonts w:hint="eastAsia" w:ascii="Times New Roman" w:hAnsi="Times New Roman" w:eastAsia="方正仿宋_GBK" w:cs="方正仿宋_GBK"/>
          <w:b/>
          <w:bCs/>
          <w:color w:val="000000"/>
          <w:spacing w:val="0"/>
          <w:kern w:val="0"/>
          <w:sz w:val="32"/>
          <w:szCs w:val="32"/>
        </w:rPr>
        <w:t>教体、民政、住建、</w:t>
      </w:r>
      <w:r>
        <w:rPr>
          <w:rFonts w:hint="eastAsia" w:ascii="Times New Roman" w:hAnsi="Times New Roman" w:eastAsia="方正仿宋_GBK" w:cs="方正仿宋_GBK"/>
          <w:b/>
          <w:bCs/>
          <w:color w:val="000000"/>
          <w:spacing w:val="0"/>
          <w:kern w:val="0"/>
          <w:sz w:val="32"/>
          <w:szCs w:val="32"/>
          <w:lang w:val="en-US" w:eastAsia="zh-CN"/>
        </w:rPr>
        <w:t>农业</w:t>
      </w:r>
      <w:r>
        <w:rPr>
          <w:rFonts w:hint="eastAsia" w:ascii="Times New Roman" w:hAnsi="Times New Roman" w:eastAsia="方正仿宋_GBK" w:cs="方正仿宋_GBK"/>
          <w:b/>
          <w:bCs/>
          <w:color w:val="000000"/>
          <w:spacing w:val="0"/>
          <w:kern w:val="0"/>
          <w:sz w:val="32"/>
          <w:szCs w:val="32"/>
        </w:rPr>
        <w:t>、</w:t>
      </w:r>
      <w:r>
        <w:rPr>
          <w:rFonts w:hint="eastAsia" w:ascii="Times New Roman" w:hAnsi="Times New Roman" w:eastAsia="方正仿宋_GBK" w:cs="方正仿宋_GBK"/>
          <w:b/>
          <w:bCs/>
          <w:color w:val="000000"/>
          <w:spacing w:val="0"/>
          <w:kern w:val="0"/>
          <w:sz w:val="32"/>
          <w:szCs w:val="32"/>
          <w:lang w:val="en-US" w:eastAsia="zh-CN"/>
        </w:rPr>
        <w:t>环保</w:t>
      </w:r>
      <w:r>
        <w:rPr>
          <w:rFonts w:hint="eastAsia" w:ascii="Times New Roman" w:hAnsi="Times New Roman" w:eastAsia="方正仿宋_GBK" w:cs="方正仿宋_GBK"/>
          <w:b/>
          <w:bCs/>
          <w:color w:val="000000"/>
          <w:spacing w:val="0"/>
          <w:kern w:val="0"/>
          <w:sz w:val="32"/>
          <w:szCs w:val="32"/>
        </w:rPr>
        <w:t>、文旅、卫健、应急、公安</w:t>
      </w:r>
      <w:r>
        <w:rPr>
          <w:rFonts w:hint="eastAsia" w:ascii="Times New Roman" w:hAnsi="Times New Roman" w:eastAsia="方正仿宋_GBK" w:cs="方正仿宋_GBK"/>
          <w:color w:val="000000"/>
          <w:spacing w:val="0"/>
          <w:kern w:val="0"/>
          <w:sz w:val="32"/>
          <w:szCs w:val="32"/>
        </w:rPr>
        <w:t>等行业主管部门要在行业领域内部署开展消防安全风险隐患大排查大整治行动，建立健全场所底数、隐患、整改“三清单”，登记上账、分类施策、闭环管理、逐一销账。</w:t>
      </w:r>
      <w:r>
        <w:rPr>
          <w:rFonts w:hint="eastAsia" w:ascii="Times New Roman" w:hAnsi="Times New Roman" w:eastAsia="方正仿宋_GBK" w:cs="方正仿宋_GBK"/>
          <w:b/>
          <w:bCs/>
          <w:color w:val="000000"/>
          <w:spacing w:val="0"/>
          <w:kern w:val="0"/>
          <w:sz w:val="32"/>
          <w:szCs w:val="32"/>
        </w:rPr>
        <w:t>市场监管、自然资源、农业农村</w:t>
      </w:r>
      <w:r>
        <w:rPr>
          <w:rFonts w:hint="eastAsia" w:ascii="Times New Roman" w:hAnsi="Times New Roman" w:eastAsia="方正仿宋_GBK" w:cs="方正仿宋_GBK"/>
          <w:color w:val="000000"/>
          <w:spacing w:val="0"/>
          <w:kern w:val="0"/>
          <w:sz w:val="32"/>
          <w:szCs w:val="32"/>
          <w:lang w:val="en"/>
        </w:rPr>
        <w:t>等部门要对照整治要求，切实履行好自身消防工作职责。</w:t>
      </w:r>
    </w:p>
    <w:p w14:paraId="0967E5BC">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r>
        <w:rPr>
          <w:rStyle w:val="28"/>
          <w:rFonts w:hint="eastAsia" w:ascii="Times New Roman" w:hAnsi="Times New Roman" w:eastAsia="方正楷体_GBK" w:cs="方正楷体_GBK"/>
          <w:b w:val="0"/>
          <w:bCs w:val="0"/>
          <w:spacing w:val="0"/>
          <w:kern w:val="0"/>
          <w:sz w:val="32"/>
          <w:szCs w:val="32"/>
        </w:rPr>
        <w:t>（三）压实单位主体责任。</w:t>
      </w:r>
      <w:r>
        <w:rPr>
          <w:rFonts w:hint="eastAsia" w:ascii="Times New Roman" w:hAnsi="Times New Roman" w:eastAsia="方正仿宋_GBK" w:cs="方正仿宋_GBK"/>
          <w:spacing w:val="0"/>
          <w:kern w:val="0"/>
          <w:sz w:val="32"/>
          <w:szCs w:val="32"/>
        </w:rPr>
        <w:t>各</w:t>
      </w:r>
      <w:r>
        <w:rPr>
          <w:rFonts w:hint="eastAsia" w:ascii="Times New Roman" w:hAnsi="Times New Roman" w:eastAsia="方正仿宋_GBK" w:cs="方正仿宋_GBK"/>
          <w:spacing w:val="0"/>
          <w:kern w:val="0"/>
          <w:sz w:val="32"/>
          <w:szCs w:val="32"/>
          <w:lang w:val="en-US" w:eastAsia="zh-CN"/>
        </w:rPr>
        <w:t>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直有关单位</w:t>
      </w:r>
      <w:r>
        <w:rPr>
          <w:rFonts w:hint="eastAsia" w:ascii="Times New Roman" w:hAnsi="Times New Roman" w:eastAsia="方正仿宋_GBK" w:cs="方正仿宋_GBK"/>
          <w:spacing w:val="0"/>
          <w:kern w:val="0"/>
          <w:sz w:val="32"/>
          <w:szCs w:val="32"/>
        </w:rPr>
        <w:t>在街道社区广泛张贴整治通告，全面发动各类责任主体开展消防安全突出风险隐患自查自改，形成整治舆论声势。要结合检查工作，指导单位健全管理体系、理顺管理层级、细化责任分工、强化考评问效，落实落地全员岗位消防安全责任制，推动加强自我管理。</w:t>
      </w:r>
    </w:p>
    <w:p w14:paraId="08B76B47">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color w:val="000000"/>
          <w:spacing w:val="0"/>
          <w:kern w:val="0"/>
          <w:sz w:val="32"/>
          <w:szCs w:val="32"/>
          <w:lang w:val="en"/>
        </w:rPr>
      </w:pPr>
      <w:r>
        <w:rPr>
          <w:rStyle w:val="28"/>
          <w:rFonts w:hint="eastAsia" w:ascii="Times New Roman" w:hAnsi="Times New Roman" w:eastAsia="方正楷体_GBK" w:cs="方正楷体_GBK"/>
          <w:b w:val="0"/>
          <w:bCs w:val="0"/>
          <w:spacing w:val="0"/>
          <w:kern w:val="0"/>
          <w:sz w:val="32"/>
          <w:szCs w:val="32"/>
        </w:rPr>
        <w:t>（四）统筹开展专项治理。</w:t>
      </w:r>
      <w:r>
        <w:rPr>
          <w:rFonts w:hint="eastAsia" w:ascii="Times New Roman" w:hAnsi="Times New Roman" w:eastAsia="方正仿宋_GBK" w:cs="方正仿宋_GBK"/>
          <w:color w:val="000000"/>
          <w:spacing w:val="0"/>
          <w:kern w:val="0"/>
          <w:sz w:val="32"/>
          <w:szCs w:val="32"/>
          <w:lang w:val="en"/>
        </w:rPr>
        <w:t>要统筹推进消防安全治本攻坚三年行动、畅通消防生命通道、电动自行车全链条治理整治等专项行动，加大监督执法力度，</w:t>
      </w:r>
      <w:r>
        <w:rPr>
          <w:rFonts w:hint="eastAsia" w:eastAsia="方正仿宋_GBK" w:cs="方正仿宋_GBK"/>
          <w:color w:val="000000"/>
          <w:spacing w:val="0"/>
          <w:kern w:val="0"/>
          <w:sz w:val="32"/>
          <w:szCs w:val="32"/>
          <w:lang w:val="en-US" w:eastAsia="zh-CN"/>
        </w:rPr>
        <w:t>镇</w:t>
      </w:r>
      <w:r>
        <w:rPr>
          <w:rFonts w:hint="eastAsia" w:ascii="Times New Roman" w:hAnsi="Times New Roman" w:eastAsia="方正仿宋_GBK" w:cs="方正仿宋_GBK"/>
          <w:color w:val="000000"/>
          <w:spacing w:val="0"/>
          <w:kern w:val="0"/>
          <w:sz w:val="32"/>
          <w:szCs w:val="32"/>
        </w:rPr>
        <w:t>安委办采取</w:t>
      </w:r>
      <w:r>
        <w:rPr>
          <w:rFonts w:hint="eastAsia" w:ascii="Times New Roman" w:hAnsi="Times New Roman" w:eastAsia="方正仿宋_GBK" w:cs="方正仿宋_GBK"/>
          <w:color w:val="000000"/>
          <w:spacing w:val="0"/>
          <w:kern w:val="0"/>
          <w:sz w:val="32"/>
          <w:szCs w:val="32"/>
          <w:lang w:val="en"/>
        </w:rPr>
        <w:t>每月调度、每月研判、每月通报，充分发动相关行业部门和基层末端力量，开展联合执法、交叉检查，督促指导各类场所进一步落实消防安全主体责任，全面改善消防安全条件，提升本质安全水平。</w:t>
      </w:r>
    </w:p>
    <w:p w14:paraId="408BB008">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r>
        <w:rPr>
          <w:rStyle w:val="28"/>
          <w:rFonts w:hint="eastAsia" w:ascii="Times New Roman" w:hAnsi="Times New Roman" w:eastAsia="方正楷体_GBK" w:cs="方正楷体_GBK"/>
          <w:b w:val="0"/>
          <w:bCs w:val="0"/>
          <w:spacing w:val="0"/>
          <w:kern w:val="0"/>
          <w:sz w:val="32"/>
          <w:szCs w:val="32"/>
        </w:rPr>
        <w:t>（五）强化培训警示约谈。</w:t>
      </w:r>
      <w:r>
        <w:rPr>
          <w:rFonts w:hint="eastAsia" w:ascii="Times New Roman" w:hAnsi="Times New Roman" w:eastAsia="方正仿宋_GBK" w:cs="方正仿宋_GBK"/>
          <w:spacing w:val="0"/>
          <w:kern w:val="0"/>
          <w:sz w:val="32"/>
          <w:szCs w:val="32"/>
        </w:rPr>
        <w:t>各</w:t>
      </w:r>
      <w:r>
        <w:rPr>
          <w:rFonts w:hint="eastAsia" w:ascii="Times New Roman" w:hAnsi="Times New Roman" w:eastAsia="方正仿宋_GBK" w:cs="方正仿宋_GBK"/>
          <w:spacing w:val="0"/>
          <w:kern w:val="0"/>
          <w:sz w:val="32"/>
          <w:szCs w:val="32"/>
          <w:lang w:val="en-US" w:eastAsia="zh-CN"/>
        </w:rPr>
        <w:t>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直有关单位</w:t>
      </w:r>
      <w:r>
        <w:rPr>
          <w:rFonts w:hint="eastAsia" w:ascii="Times New Roman" w:hAnsi="Times New Roman" w:eastAsia="方正仿宋_GBK" w:cs="方正仿宋_GBK"/>
          <w:color w:val="000000"/>
          <w:spacing w:val="0"/>
          <w:kern w:val="0"/>
          <w:sz w:val="32"/>
          <w:szCs w:val="32"/>
        </w:rPr>
        <w:t>要按照分级分类原则组织开展培训警示工作。</w:t>
      </w:r>
      <w:r>
        <w:rPr>
          <w:rFonts w:hint="eastAsia" w:ascii="Times New Roman" w:hAnsi="Times New Roman" w:eastAsia="方正仿宋_GBK" w:cs="方正仿宋_GBK"/>
          <w:spacing w:val="0"/>
          <w:kern w:val="0"/>
          <w:sz w:val="32"/>
          <w:szCs w:val="32"/>
        </w:rPr>
        <w:t>对各类“三合一”、“九小场所”，属地政府要分片开展约谈警示，各</w:t>
      </w:r>
      <w:r>
        <w:rPr>
          <w:rFonts w:hint="eastAsia" w:ascii="Times New Roman" w:hAnsi="Times New Roman" w:eastAsia="方正仿宋_GBK" w:cs="方正仿宋_GBK"/>
          <w:color w:val="000000"/>
          <w:spacing w:val="0"/>
          <w:kern w:val="0"/>
          <w:sz w:val="32"/>
          <w:szCs w:val="32"/>
        </w:rPr>
        <w:t>行业领域内单位由</w:t>
      </w:r>
      <w:r>
        <w:rPr>
          <w:rFonts w:hint="eastAsia" w:ascii="Times New Roman" w:hAnsi="Times New Roman" w:eastAsia="方正仿宋_GBK" w:cs="方正仿宋_GBK"/>
          <w:color w:val="000000"/>
          <w:spacing w:val="0"/>
          <w:kern w:val="0"/>
          <w:sz w:val="32"/>
          <w:szCs w:val="32"/>
          <w:lang w:val="en"/>
        </w:rPr>
        <w:t>各</w:t>
      </w:r>
      <w:r>
        <w:rPr>
          <w:rFonts w:hint="eastAsia" w:ascii="Times New Roman" w:hAnsi="Times New Roman" w:eastAsia="方正仿宋_GBK" w:cs="方正仿宋_GBK"/>
          <w:color w:val="000000"/>
          <w:spacing w:val="0"/>
          <w:kern w:val="0"/>
          <w:sz w:val="32"/>
          <w:szCs w:val="32"/>
        </w:rPr>
        <w:t>级行业部门组织开展培训警示工作。</w:t>
      </w:r>
    </w:p>
    <w:p w14:paraId="7A655B39">
      <w:pPr>
        <w:keepNext w:val="0"/>
        <w:keepLines w:val="0"/>
        <w:pageBreakBefore w:val="0"/>
        <w:kinsoku/>
        <w:wordWrap/>
        <w:overflowPunct/>
        <w:topLinePunct w:val="0"/>
        <w:bidi w:val="0"/>
        <w:spacing w:line="590" w:lineRule="exact"/>
        <w:ind w:right="0" w:firstLine="636"/>
        <w:jc w:val="left"/>
        <w:textAlignment w:val="auto"/>
        <w:rPr>
          <w:rFonts w:hint="eastAsia" w:ascii="Times New Roman" w:hAnsi="Times New Roman" w:eastAsia="方正仿宋_GBK" w:cs="方正仿宋_GBK"/>
          <w:bCs/>
          <w:spacing w:val="0"/>
          <w:kern w:val="0"/>
          <w:sz w:val="32"/>
          <w:szCs w:val="32"/>
        </w:rPr>
      </w:pPr>
      <w:r>
        <w:rPr>
          <w:rStyle w:val="28"/>
          <w:rFonts w:hint="eastAsia" w:ascii="Times New Roman" w:hAnsi="Times New Roman" w:eastAsia="方正楷体_GBK" w:cs="方正楷体_GBK"/>
          <w:b w:val="0"/>
          <w:bCs w:val="0"/>
          <w:spacing w:val="0"/>
          <w:kern w:val="0"/>
          <w:sz w:val="32"/>
          <w:szCs w:val="32"/>
        </w:rPr>
        <w:t>（六）加强应急疏散演练</w:t>
      </w:r>
      <w:r>
        <w:rPr>
          <w:rFonts w:hint="eastAsia" w:ascii="Times New Roman" w:hAnsi="Times New Roman" w:eastAsia="方正仿宋_GBK" w:cs="方正仿宋_GBK"/>
          <w:spacing w:val="0"/>
          <w:kern w:val="0"/>
          <w:sz w:val="32"/>
          <w:szCs w:val="32"/>
        </w:rPr>
        <w:t>各</w:t>
      </w:r>
      <w:r>
        <w:rPr>
          <w:rFonts w:hint="eastAsia" w:ascii="Times New Roman" w:hAnsi="Times New Roman" w:eastAsia="方正仿宋_GBK" w:cs="方正仿宋_GBK"/>
          <w:spacing w:val="0"/>
          <w:kern w:val="0"/>
          <w:sz w:val="32"/>
          <w:szCs w:val="32"/>
          <w:lang w:val="en-US" w:eastAsia="zh-CN"/>
        </w:rPr>
        <w:t>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直有关单位</w:t>
      </w:r>
      <w:r>
        <w:rPr>
          <w:rFonts w:hint="eastAsia" w:ascii="Times New Roman" w:hAnsi="Times New Roman" w:eastAsia="方正仿宋_GBK" w:cs="方正仿宋_GBK"/>
          <w:bCs/>
          <w:spacing w:val="0"/>
          <w:kern w:val="0"/>
          <w:sz w:val="32"/>
          <w:szCs w:val="32"/>
        </w:rPr>
        <w:t>要科学指导各类场所组织开展全员消防安全培训，根据不同场所火灾风险，明确各岗位员工需要掌握的消防技能，能够扑救本岗位发生的初起火灾，具备组织疏散和自救逃生能力，新入职员工必须培训后上岗</w:t>
      </w:r>
      <w:r>
        <w:rPr>
          <w:rFonts w:hint="eastAsia" w:ascii="Times New Roman" w:hAnsi="Times New Roman" w:eastAsia="方正仿宋_GBK" w:cs="方正仿宋_GBK"/>
          <w:bCs/>
          <w:spacing w:val="0"/>
          <w:kern w:val="0"/>
          <w:sz w:val="32"/>
          <w:szCs w:val="32"/>
          <w:lang w:eastAsia="zh-CN"/>
        </w:rPr>
        <w:t>，</w:t>
      </w:r>
      <w:r>
        <w:rPr>
          <w:rFonts w:hint="eastAsia" w:ascii="Times New Roman" w:hAnsi="Times New Roman" w:eastAsia="方正仿宋_GBK" w:cs="方正仿宋_GBK"/>
          <w:bCs/>
          <w:spacing w:val="0"/>
          <w:kern w:val="0"/>
          <w:sz w:val="32"/>
          <w:szCs w:val="32"/>
        </w:rPr>
        <w:t>切实做到灭早、灭小、灭初期。</w:t>
      </w:r>
    </w:p>
    <w:p w14:paraId="55842F3C">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五、组织领导</w:t>
      </w:r>
    </w:p>
    <w:p w14:paraId="0B26649F">
      <w:pPr>
        <w:keepNext w:val="0"/>
        <w:keepLines w:val="0"/>
        <w:pageBreakBefore w:val="0"/>
        <w:kinsoku/>
        <w:wordWrap/>
        <w:overflowPunct/>
        <w:topLinePunct w:val="0"/>
        <w:bidi w:val="0"/>
        <w:adjustRightInd w:val="0"/>
        <w:snapToGrid w:val="0"/>
        <w:spacing w:line="590" w:lineRule="exact"/>
        <w:ind w:right="0" w:firstLine="640" w:firstLineChars="200"/>
        <w:jc w:val="left"/>
        <w:textAlignment w:val="auto"/>
        <w:rPr>
          <w:rFonts w:hint="eastAsia" w:ascii="Times New Roman" w:hAnsi="Times New Roman" w:eastAsia="方正仿宋_GBK" w:cs="方正仿宋_GBK"/>
          <w:color w:val="000000"/>
          <w:spacing w:val="0"/>
          <w:kern w:val="0"/>
          <w:sz w:val="32"/>
          <w:szCs w:val="32"/>
        </w:rPr>
      </w:pP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rPr>
        <w:t>安委会办公室牵头组织实施消防安全风险隐患大排查大整治行动。</w:t>
      </w:r>
      <w:r>
        <w:rPr>
          <w:rFonts w:hint="eastAsia" w:ascii="Times New Roman" w:hAnsi="Times New Roman" w:eastAsia="方正仿宋_GBK" w:cs="方正仿宋_GBK"/>
          <w:color w:val="000000"/>
          <w:spacing w:val="0"/>
          <w:kern w:val="0"/>
          <w:sz w:val="32"/>
          <w:szCs w:val="32"/>
        </w:rPr>
        <w:t>具体负责本地区、本行业领域</w:t>
      </w:r>
      <w:r>
        <w:rPr>
          <w:rFonts w:hint="eastAsia" w:ascii="Times New Roman" w:hAnsi="Times New Roman" w:eastAsia="方正仿宋_GBK" w:cs="方正仿宋_GBK"/>
          <w:spacing w:val="0"/>
          <w:kern w:val="0"/>
          <w:sz w:val="32"/>
          <w:szCs w:val="32"/>
        </w:rPr>
        <w:t>消防安全风险隐患大排查大整治行动</w:t>
      </w:r>
      <w:r>
        <w:rPr>
          <w:rFonts w:hint="eastAsia" w:ascii="Times New Roman" w:hAnsi="Times New Roman" w:eastAsia="方正仿宋_GBK" w:cs="方正仿宋_GBK"/>
          <w:color w:val="000000"/>
          <w:spacing w:val="0"/>
          <w:kern w:val="0"/>
          <w:sz w:val="32"/>
          <w:szCs w:val="32"/>
        </w:rPr>
        <w:t>。每月汇总全</w:t>
      </w:r>
      <w:r>
        <w:rPr>
          <w:rFonts w:hint="eastAsia" w:eastAsia="方正仿宋_GBK" w:cs="方正仿宋_GBK"/>
          <w:color w:val="000000"/>
          <w:spacing w:val="0"/>
          <w:kern w:val="0"/>
          <w:sz w:val="32"/>
          <w:szCs w:val="32"/>
          <w:lang w:val="en-US" w:eastAsia="zh-CN"/>
        </w:rPr>
        <w:t>镇</w:t>
      </w:r>
      <w:r>
        <w:rPr>
          <w:rFonts w:hint="eastAsia" w:ascii="Times New Roman" w:hAnsi="Times New Roman" w:eastAsia="方正仿宋_GBK" w:cs="方正仿宋_GBK"/>
          <w:color w:val="000000"/>
          <w:spacing w:val="0"/>
          <w:kern w:val="0"/>
          <w:sz w:val="32"/>
          <w:szCs w:val="32"/>
        </w:rPr>
        <w:t>各地、各行业部门工作情况，上报</w:t>
      </w:r>
      <w:r>
        <w:rPr>
          <w:rFonts w:hint="eastAsia" w:ascii="Times New Roman" w:hAnsi="Times New Roman" w:eastAsia="方正仿宋_GBK" w:cs="方正仿宋_GBK"/>
          <w:color w:val="000000"/>
          <w:spacing w:val="0"/>
          <w:kern w:val="0"/>
          <w:sz w:val="32"/>
          <w:szCs w:val="32"/>
          <w:lang w:val="en-US" w:eastAsia="zh-CN"/>
        </w:rPr>
        <w:t>区安委会。</w:t>
      </w:r>
    </w:p>
    <w:p w14:paraId="4A772D1F">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六、工作步骤</w:t>
      </w:r>
    </w:p>
    <w:p w14:paraId="3D85D5D6">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r>
        <w:rPr>
          <w:rStyle w:val="28"/>
          <w:rFonts w:hint="eastAsia" w:ascii="Times New Roman" w:hAnsi="Times New Roman" w:eastAsia="方正楷体_GBK" w:cs="方正楷体_GBK"/>
          <w:b w:val="0"/>
          <w:bCs w:val="0"/>
          <w:spacing w:val="0"/>
          <w:kern w:val="0"/>
          <w:sz w:val="32"/>
          <w:szCs w:val="32"/>
        </w:rPr>
        <w:t>（一）动员部署阶段（2024年11月1日前）。</w:t>
      </w:r>
      <w:r>
        <w:rPr>
          <w:rFonts w:hint="eastAsia" w:ascii="Times New Roman" w:hAnsi="Times New Roman" w:eastAsia="方正仿宋_GBK" w:cs="方正仿宋_GBK"/>
          <w:spacing w:val="0"/>
          <w:kern w:val="0"/>
          <w:sz w:val="32"/>
          <w:szCs w:val="32"/>
        </w:rPr>
        <w:t>各</w:t>
      </w:r>
      <w:r>
        <w:rPr>
          <w:rFonts w:hint="eastAsia" w:ascii="Times New Roman" w:hAnsi="Times New Roman" w:eastAsia="方正仿宋_GBK" w:cs="方正仿宋_GBK"/>
          <w:spacing w:val="0"/>
          <w:kern w:val="0"/>
          <w:sz w:val="32"/>
          <w:szCs w:val="32"/>
          <w:lang w:val="en-US" w:eastAsia="zh-CN"/>
        </w:rPr>
        <w:t>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直有关单位</w:t>
      </w:r>
      <w:r>
        <w:rPr>
          <w:rFonts w:hint="eastAsia" w:ascii="Times New Roman" w:hAnsi="Times New Roman" w:eastAsia="方正仿宋_GBK" w:cs="方正仿宋_GBK"/>
          <w:spacing w:val="0"/>
          <w:kern w:val="0"/>
          <w:sz w:val="32"/>
          <w:szCs w:val="32"/>
        </w:rPr>
        <w:t>要结合实际，进一步细化制定本地、本行业领域实施方案，明确排查整治范围、整治重点、检查事项、责任分工，完善工作机制，召开会议部署发动，组织开展业务培训，向社会广泛发布整治通告，形成强大整治声势。</w:t>
      </w:r>
    </w:p>
    <w:p w14:paraId="53747986">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r>
        <w:rPr>
          <w:rStyle w:val="28"/>
          <w:rFonts w:hint="eastAsia" w:ascii="Times New Roman" w:hAnsi="Times New Roman" w:eastAsia="方正楷体_GBK" w:cs="方正楷体_GBK"/>
          <w:b w:val="0"/>
          <w:bCs w:val="0"/>
          <w:spacing w:val="0"/>
          <w:kern w:val="0"/>
          <w:sz w:val="32"/>
          <w:szCs w:val="32"/>
        </w:rPr>
        <w:t>（二）集中整治阶段（2024年11月2日至12月20日）。</w:t>
      </w:r>
      <w:r>
        <w:rPr>
          <w:rFonts w:hint="eastAsia" w:ascii="Times New Roman" w:hAnsi="Times New Roman" w:eastAsia="方正仿宋_GBK" w:cs="方正仿宋_GBK"/>
          <w:spacing w:val="0"/>
          <w:kern w:val="0"/>
          <w:sz w:val="32"/>
          <w:szCs w:val="32"/>
        </w:rPr>
        <w:t>聚焦消防安全重大风险隐患和检查事项，深入单位场所开展执法检查，严查火灾隐患和违法行为。对严重危害公共安全、整改难度较大的，要会同相关职能部门协调解决，推动部门齐抓共管。</w:t>
      </w:r>
    </w:p>
    <w:p w14:paraId="6ABBE80A">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r>
        <w:rPr>
          <w:rStyle w:val="28"/>
          <w:rFonts w:hint="eastAsia" w:ascii="Times New Roman" w:hAnsi="Times New Roman" w:eastAsia="方正楷体_GBK" w:cs="方正楷体_GBK"/>
          <w:b w:val="0"/>
          <w:bCs w:val="0"/>
          <w:spacing w:val="0"/>
          <w:kern w:val="0"/>
          <w:sz w:val="32"/>
          <w:szCs w:val="32"/>
        </w:rPr>
        <w:t>（三）总结提升阶段（2024年12月21日至12月31日）。</w:t>
      </w:r>
      <w:r>
        <w:rPr>
          <w:rFonts w:hint="eastAsia" w:ascii="Times New Roman" w:hAnsi="Times New Roman" w:eastAsia="方正仿宋_GBK" w:cs="方正仿宋_GBK"/>
          <w:spacing w:val="0"/>
          <w:kern w:val="0"/>
          <w:sz w:val="32"/>
          <w:szCs w:val="32"/>
        </w:rPr>
        <w:t>各</w:t>
      </w:r>
      <w:r>
        <w:rPr>
          <w:rFonts w:hint="eastAsia" w:ascii="Times New Roman" w:hAnsi="Times New Roman" w:eastAsia="方正仿宋_GBK" w:cs="方正仿宋_GBK"/>
          <w:spacing w:val="0"/>
          <w:kern w:val="0"/>
          <w:sz w:val="32"/>
          <w:szCs w:val="32"/>
          <w:lang w:val="en-US" w:eastAsia="zh-CN"/>
        </w:rPr>
        <w:t>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直有关单位</w:t>
      </w:r>
      <w:r>
        <w:rPr>
          <w:rFonts w:hint="eastAsia" w:ascii="Times New Roman" w:hAnsi="Times New Roman" w:eastAsia="方正仿宋_GBK" w:cs="方正仿宋_GBK"/>
          <w:spacing w:val="0"/>
          <w:kern w:val="0"/>
          <w:sz w:val="32"/>
          <w:szCs w:val="32"/>
        </w:rPr>
        <w:t>要及时总结工作成效，固化经验做法，分析存在问题，提出改进措施，谋划下步工作，健全完善消防安全治理长效机制。</w:t>
      </w:r>
    </w:p>
    <w:p w14:paraId="32B5D892">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七、工作要求</w:t>
      </w:r>
    </w:p>
    <w:p w14:paraId="4A8A361C">
      <w:pPr>
        <w:keepNext w:val="0"/>
        <w:keepLines w:val="0"/>
        <w:pageBreakBefore w:val="0"/>
        <w:kinsoku/>
        <w:wordWrap/>
        <w:overflowPunct/>
        <w:topLinePunct w:val="0"/>
        <w:bidi w:val="0"/>
        <w:spacing w:line="590" w:lineRule="exact"/>
        <w:ind w:right="0" w:firstLine="640" w:firstLineChars="200"/>
        <w:jc w:val="left"/>
        <w:textAlignment w:val="auto"/>
        <w:rPr>
          <w:rStyle w:val="21"/>
          <w:rFonts w:hint="eastAsia" w:ascii="Times New Roman" w:hAnsi="Times New Roman" w:eastAsia="方正仿宋_GBK" w:cs="方正仿宋_GBK"/>
          <w:spacing w:val="0"/>
          <w:kern w:val="0"/>
          <w:sz w:val="32"/>
          <w:szCs w:val="32"/>
        </w:rPr>
      </w:pPr>
      <w:r>
        <w:rPr>
          <w:rStyle w:val="28"/>
          <w:rFonts w:hint="eastAsia" w:ascii="Times New Roman" w:hAnsi="Times New Roman" w:eastAsia="方正楷体_GBK" w:cs="方正楷体_GBK"/>
          <w:b w:val="0"/>
          <w:bCs w:val="0"/>
          <w:spacing w:val="0"/>
          <w:kern w:val="0"/>
          <w:sz w:val="32"/>
          <w:szCs w:val="32"/>
        </w:rPr>
        <w:t>（一）强化组织领导。</w:t>
      </w:r>
      <w:r>
        <w:rPr>
          <w:rStyle w:val="21"/>
          <w:rFonts w:hint="eastAsia" w:ascii="Times New Roman" w:hAnsi="Times New Roman" w:eastAsia="方正仿宋_GBK" w:cs="方正仿宋_GBK"/>
          <w:bCs/>
          <w:spacing w:val="0"/>
          <w:kern w:val="0"/>
          <w:sz w:val="32"/>
          <w:szCs w:val="32"/>
        </w:rPr>
        <w:t>开展消防安全风险隐患大排查大整治是贯彻落实习近平总书记等中央领导同志批示指示精神的重要举措，</w:t>
      </w:r>
      <w:r>
        <w:rPr>
          <w:rFonts w:hint="eastAsia" w:ascii="Times New Roman" w:hAnsi="Times New Roman" w:eastAsia="方正仿宋_GBK" w:cs="方正仿宋_GBK"/>
          <w:spacing w:val="0"/>
          <w:kern w:val="0"/>
          <w:sz w:val="32"/>
          <w:szCs w:val="32"/>
        </w:rPr>
        <w:t>各</w:t>
      </w:r>
      <w:r>
        <w:rPr>
          <w:rFonts w:hint="eastAsia" w:ascii="Times New Roman" w:hAnsi="Times New Roman" w:eastAsia="方正仿宋_GBK" w:cs="方正仿宋_GBK"/>
          <w:spacing w:val="0"/>
          <w:kern w:val="0"/>
          <w:sz w:val="32"/>
          <w:szCs w:val="32"/>
          <w:lang w:val="en-US" w:eastAsia="zh-CN"/>
        </w:rPr>
        <w:t>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直有关单位</w:t>
      </w:r>
      <w:r>
        <w:rPr>
          <w:rStyle w:val="21"/>
          <w:rFonts w:hint="eastAsia" w:ascii="Times New Roman" w:hAnsi="Times New Roman" w:eastAsia="方正仿宋_GBK" w:cs="方正仿宋_GBK"/>
          <w:bCs/>
          <w:spacing w:val="0"/>
          <w:kern w:val="0"/>
          <w:sz w:val="32"/>
          <w:szCs w:val="32"/>
        </w:rPr>
        <w:t>要</w:t>
      </w:r>
      <w:r>
        <w:rPr>
          <w:rStyle w:val="23"/>
          <w:rFonts w:hint="eastAsia" w:ascii="Times New Roman" w:hAnsi="Times New Roman" w:eastAsia="方正仿宋_GBK" w:cs="方正仿宋_GBK"/>
          <w:spacing w:val="0"/>
          <w:kern w:val="0"/>
          <w:sz w:val="32"/>
          <w:szCs w:val="32"/>
        </w:rPr>
        <w:t>牢固树</w:t>
      </w:r>
      <w:r>
        <w:rPr>
          <w:rStyle w:val="21"/>
          <w:rFonts w:hint="eastAsia" w:ascii="Times New Roman" w:hAnsi="Times New Roman" w:eastAsia="方正仿宋_GBK" w:cs="方正仿宋_GBK"/>
          <w:bCs/>
          <w:spacing w:val="0"/>
          <w:kern w:val="0"/>
          <w:sz w:val="32"/>
          <w:szCs w:val="32"/>
        </w:rPr>
        <w:t>立</w:t>
      </w:r>
      <w:r>
        <w:rPr>
          <w:rStyle w:val="23"/>
          <w:rFonts w:hint="eastAsia" w:ascii="Times New Roman" w:hAnsi="Times New Roman" w:eastAsia="方正仿宋_GBK" w:cs="方正仿宋_GBK"/>
          <w:spacing w:val="0"/>
          <w:kern w:val="0"/>
          <w:sz w:val="32"/>
          <w:szCs w:val="32"/>
        </w:rPr>
        <w:t>“隐患未消除等同事故”的理念，站在统筹发展和安全的高度，</w:t>
      </w:r>
      <w:r>
        <w:rPr>
          <w:rStyle w:val="21"/>
          <w:rFonts w:hint="eastAsia" w:ascii="Times New Roman" w:hAnsi="Times New Roman" w:eastAsia="方正仿宋_GBK" w:cs="方正仿宋_GBK"/>
          <w:bCs/>
          <w:spacing w:val="0"/>
          <w:kern w:val="0"/>
          <w:sz w:val="32"/>
          <w:szCs w:val="32"/>
        </w:rPr>
        <w:t>自觉对标对表上级决策部署，将其作为捍卫“两个确立”、增强“四个意识”、坚定“四个自信”、做到“两个维护”的重大政治检验，</w:t>
      </w:r>
      <w:r>
        <w:rPr>
          <w:rStyle w:val="21"/>
          <w:rFonts w:hint="eastAsia" w:ascii="Times New Roman" w:hAnsi="Times New Roman" w:eastAsia="方正仿宋_GBK" w:cs="方正仿宋_GBK"/>
          <w:spacing w:val="0"/>
          <w:kern w:val="0"/>
          <w:sz w:val="32"/>
          <w:szCs w:val="32"/>
        </w:rPr>
        <w:t>以</w:t>
      </w:r>
      <w:r>
        <w:rPr>
          <w:rStyle w:val="21"/>
          <w:rFonts w:hint="eastAsia" w:ascii="Times New Roman" w:hAnsi="Times New Roman" w:eastAsia="方正仿宋_GBK" w:cs="方正仿宋_GBK"/>
          <w:bCs/>
          <w:spacing w:val="0"/>
          <w:kern w:val="0"/>
          <w:sz w:val="32"/>
          <w:szCs w:val="32"/>
        </w:rPr>
        <w:t>“时时放心不下”的政治责任感和工作紧迫感，扎实抓好各项措施落实</w:t>
      </w:r>
      <w:r>
        <w:rPr>
          <w:rStyle w:val="21"/>
          <w:rFonts w:hint="eastAsia" w:ascii="Times New Roman" w:hAnsi="Times New Roman" w:eastAsia="方正仿宋_GBK" w:cs="方正仿宋_GBK"/>
          <w:spacing w:val="0"/>
          <w:kern w:val="0"/>
          <w:sz w:val="32"/>
          <w:szCs w:val="32"/>
        </w:rPr>
        <w:t>。</w:t>
      </w:r>
      <w:r>
        <w:rPr>
          <w:rFonts w:hint="eastAsia" w:ascii="Times New Roman" w:hAnsi="Times New Roman" w:eastAsia="方正仿宋_GBK" w:cs="方正仿宋_GBK"/>
          <w:spacing w:val="0"/>
          <w:kern w:val="0"/>
          <w:sz w:val="32"/>
          <w:szCs w:val="32"/>
        </w:rPr>
        <w:t>各</w:t>
      </w:r>
      <w:r>
        <w:rPr>
          <w:rFonts w:hint="eastAsia" w:ascii="Times New Roman" w:hAnsi="Times New Roman" w:eastAsia="方正仿宋_GBK" w:cs="方正仿宋_GBK"/>
          <w:spacing w:val="0"/>
          <w:kern w:val="0"/>
          <w:sz w:val="32"/>
          <w:szCs w:val="32"/>
          <w:lang w:val="en-US" w:eastAsia="zh-CN"/>
        </w:rPr>
        <w:t>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直有关单位</w:t>
      </w:r>
      <w:r>
        <w:rPr>
          <w:rFonts w:hint="eastAsia" w:ascii="Times New Roman" w:hAnsi="Times New Roman" w:eastAsia="方正仿宋_GBK" w:cs="方正仿宋_GBK"/>
          <w:spacing w:val="0"/>
          <w:kern w:val="0"/>
          <w:sz w:val="32"/>
          <w:szCs w:val="32"/>
        </w:rPr>
        <w:t>主要领导是本地、本部门整治行动第一责任人</w:t>
      </w:r>
      <w:r>
        <w:rPr>
          <w:rFonts w:hint="eastAsia" w:ascii="Times New Roman" w:hAnsi="Times New Roman" w:eastAsia="方正仿宋_GBK" w:cs="方正仿宋_GBK"/>
          <w:spacing w:val="0"/>
          <w:kern w:val="0"/>
          <w:sz w:val="32"/>
          <w:szCs w:val="32"/>
          <w:lang w:bidi="en-US"/>
        </w:rPr>
        <w:t>，</w:t>
      </w:r>
      <w:r>
        <w:rPr>
          <w:rFonts w:hint="eastAsia" w:ascii="Times New Roman" w:hAnsi="Times New Roman" w:eastAsia="方正仿宋_GBK" w:cs="方正仿宋_GBK"/>
          <w:spacing w:val="0"/>
          <w:kern w:val="0"/>
          <w:sz w:val="32"/>
          <w:szCs w:val="32"/>
        </w:rPr>
        <w:t>要亲自部署，跟踪问效；分管领导是直接责任人，要全面负责，持续推进，确保各项工作落实落细、取得实效。</w:t>
      </w:r>
    </w:p>
    <w:p w14:paraId="2F2C9367">
      <w:pPr>
        <w:keepNext w:val="0"/>
        <w:keepLines w:val="0"/>
        <w:pageBreakBefore w:val="0"/>
        <w:kinsoku/>
        <w:wordWrap/>
        <w:overflowPunct/>
        <w:topLinePunct w:val="0"/>
        <w:bidi w:val="0"/>
        <w:spacing w:line="590" w:lineRule="exact"/>
        <w:ind w:right="0" w:firstLine="640" w:firstLineChars="200"/>
        <w:jc w:val="left"/>
        <w:textAlignment w:val="auto"/>
        <w:rPr>
          <w:rStyle w:val="23"/>
          <w:rFonts w:hint="eastAsia" w:ascii="Times New Roman" w:hAnsi="Times New Roman" w:eastAsia="方正仿宋_GBK" w:cs="方正仿宋_GBK"/>
          <w:spacing w:val="0"/>
          <w:kern w:val="0"/>
          <w:sz w:val="32"/>
          <w:szCs w:val="32"/>
        </w:rPr>
      </w:pPr>
      <w:r>
        <w:rPr>
          <w:rStyle w:val="28"/>
          <w:rFonts w:hint="eastAsia" w:ascii="Times New Roman" w:hAnsi="Times New Roman" w:eastAsia="方正楷体_GBK" w:cs="方正楷体_GBK"/>
          <w:b w:val="0"/>
          <w:bCs w:val="0"/>
          <w:spacing w:val="0"/>
          <w:kern w:val="0"/>
          <w:sz w:val="32"/>
          <w:szCs w:val="32"/>
        </w:rPr>
        <w:t>（二）</w:t>
      </w:r>
      <w:bookmarkStart w:id="2" w:name="_Hlk133416359"/>
      <w:r>
        <w:rPr>
          <w:rStyle w:val="28"/>
          <w:rFonts w:hint="eastAsia" w:ascii="Times New Roman" w:hAnsi="Times New Roman" w:eastAsia="方正楷体_GBK" w:cs="方正楷体_GBK"/>
          <w:b w:val="0"/>
          <w:bCs w:val="0"/>
          <w:spacing w:val="0"/>
          <w:kern w:val="0"/>
          <w:sz w:val="32"/>
          <w:szCs w:val="32"/>
        </w:rPr>
        <w:t>强化统筹调度。</w:t>
      </w:r>
      <w:r>
        <w:rPr>
          <w:rFonts w:hint="eastAsia" w:ascii="Times New Roman" w:hAnsi="Times New Roman" w:eastAsia="方正仿宋_GBK" w:cs="方正仿宋_GBK"/>
          <w:spacing w:val="0"/>
          <w:kern w:val="0"/>
          <w:sz w:val="32"/>
          <w:szCs w:val="32"/>
        </w:rPr>
        <w:t>各</w:t>
      </w:r>
      <w:r>
        <w:rPr>
          <w:rFonts w:hint="eastAsia" w:ascii="Times New Roman" w:hAnsi="Times New Roman" w:eastAsia="方正仿宋_GBK" w:cs="方正仿宋_GBK"/>
          <w:spacing w:val="0"/>
          <w:kern w:val="0"/>
          <w:sz w:val="32"/>
          <w:szCs w:val="32"/>
          <w:lang w:val="en-US" w:eastAsia="zh-CN"/>
        </w:rPr>
        <w:t>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直有关单位</w:t>
      </w:r>
      <w:r>
        <w:rPr>
          <w:rStyle w:val="23"/>
          <w:rFonts w:hint="eastAsia" w:ascii="Times New Roman" w:hAnsi="Times New Roman" w:eastAsia="方正仿宋_GBK" w:cs="方正仿宋_GBK"/>
          <w:spacing w:val="0"/>
          <w:kern w:val="0"/>
          <w:sz w:val="32"/>
          <w:szCs w:val="32"/>
        </w:rPr>
        <w:t>要结合地区和行业系统实际情况，细化制定专项检查方案，突出重点场所和重点情形，进一步明确检查重点和工作要求；要逐月列出检查计划，对照《主要消防风险情形》（附件1），切实组织开展好本地区、本行业领域大排查大整治工作。对排查发现的重大风险隐患，要建立健全《重大风险隐患场所台账》（附件2），逐一列出整改措施，推动限期整改到位。各部门月度检查计划和《重大风险隐患场所台账》，每月20日前报</w:t>
      </w:r>
      <w:r>
        <w:rPr>
          <w:rStyle w:val="23"/>
          <w:rFonts w:hint="eastAsia" w:eastAsia="方正仿宋_GBK" w:cs="方正仿宋_GBK"/>
          <w:spacing w:val="0"/>
          <w:kern w:val="0"/>
          <w:sz w:val="32"/>
          <w:szCs w:val="32"/>
          <w:lang w:val="en-US" w:eastAsia="zh-CN"/>
        </w:rPr>
        <w:t>镇平安建设办公室</w:t>
      </w:r>
      <w:r>
        <w:rPr>
          <w:rStyle w:val="23"/>
          <w:rFonts w:hint="eastAsia" w:ascii="Times New Roman" w:hAnsi="Times New Roman" w:eastAsia="方正仿宋_GBK" w:cs="方正仿宋_GBK"/>
          <w:spacing w:val="0"/>
          <w:kern w:val="0"/>
          <w:sz w:val="32"/>
          <w:szCs w:val="32"/>
        </w:rPr>
        <w:t>。</w:t>
      </w:r>
    </w:p>
    <w:bookmarkEnd w:id="2"/>
    <w:p w14:paraId="20BC9BA1">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r>
        <w:rPr>
          <w:rStyle w:val="28"/>
          <w:rFonts w:hint="eastAsia" w:ascii="Times New Roman" w:hAnsi="Times New Roman" w:eastAsia="方正楷体_GBK" w:cs="方正楷体_GBK"/>
          <w:b w:val="0"/>
          <w:bCs w:val="0"/>
          <w:spacing w:val="0"/>
          <w:kern w:val="0"/>
          <w:sz w:val="32"/>
          <w:szCs w:val="32"/>
        </w:rPr>
        <w:t>（三）强化督导问责。</w:t>
      </w:r>
      <w:r>
        <w:rPr>
          <w:rFonts w:hint="eastAsia" w:ascii="Times New Roman" w:hAnsi="Times New Roman" w:eastAsia="方正仿宋_GBK" w:cs="方正仿宋_GBK"/>
          <w:spacing w:val="0"/>
          <w:kern w:val="0"/>
          <w:sz w:val="32"/>
          <w:szCs w:val="32"/>
        </w:rPr>
        <w:t>各</w:t>
      </w:r>
      <w:r>
        <w:rPr>
          <w:rFonts w:hint="eastAsia" w:ascii="Times New Roman" w:hAnsi="Times New Roman" w:eastAsia="方正仿宋_GBK" w:cs="方正仿宋_GBK"/>
          <w:spacing w:val="0"/>
          <w:kern w:val="0"/>
          <w:sz w:val="32"/>
          <w:szCs w:val="32"/>
          <w:lang w:val="en-US" w:eastAsia="zh-CN"/>
        </w:rPr>
        <w:t>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直有关单位</w:t>
      </w:r>
      <w:r>
        <w:rPr>
          <w:rStyle w:val="21"/>
          <w:rFonts w:hint="eastAsia" w:ascii="Times New Roman" w:hAnsi="Times New Roman" w:eastAsia="方正仿宋_GBK" w:cs="方正仿宋_GBK"/>
          <w:bCs/>
          <w:spacing w:val="0"/>
          <w:kern w:val="0"/>
          <w:sz w:val="32"/>
          <w:szCs w:val="32"/>
        </w:rPr>
        <w:t>主要领导要定期研判辖区消防形势、定期带队检查督导、定期调度消防工作，其他负责同志按照职责分工，督促做好分管领域消防安全排查整治工作。行业主管部门要深入开展行业系统消防安全风险隐患大排查大整治，形成齐抓共管的强大合力。</w:t>
      </w:r>
      <w:r>
        <w:rPr>
          <w:rStyle w:val="21"/>
          <w:rFonts w:hint="eastAsia" w:ascii="Times New Roman" w:hAnsi="Times New Roman" w:eastAsia="方正仿宋_GBK" w:cs="方正仿宋_GBK"/>
          <w:bCs/>
          <w:spacing w:val="0"/>
          <w:kern w:val="0"/>
          <w:sz w:val="32"/>
          <w:szCs w:val="32"/>
          <w:lang w:val="en-US" w:eastAsia="zh-CN"/>
        </w:rPr>
        <w:t>对</w:t>
      </w:r>
      <w:r>
        <w:rPr>
          <w:rFonts w:hint="eastAsia" w:ascii="Times New Roman" w:hAnsi="Times New Roman" w:eastAsia="方正仿宋_GBK" w:cs="方正仿宋_GBK"/>
          <w:spacing w:val="0"/>
          <w:kern w:val="0"/>
          <w:sz w:val="32"/>
          <w:szCs w:val="32"/>
        </w:rPr>
        <w:t>凡发现行动迟缓、工作敷衍的，查不出问题、发现问题不处理的，将通报批评、督办整改，问题严重的严肃问责追责。整治行动期间，发生亡人或有影响火灾事故的，按程序启动责任倒查机制，依规依纪依法严肃追究相关人员责任。</w:t>
      </w:r>
    </w:p>
    <w:p w14:paraId="021FA800">
      <w:pPr>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p>
    <w:p w14:paraId="3EEBE63B">
      <w:pPr>
        <w:pStyle w:val="24"/>
        <w:keepNext w:val="0"/>
        <w:keepLines w:val="0"/>
        <w:pageBreakBefore w:val="0"/>
        <w:kinsoku/>
        <w:wordWrap/>
        <w:overflowPunct/>
        <w:topLinePunct w:val="0"/>
        <w:bidi w:val="0"/>
        <w:spacing w:line="590" w:lineRule="exact"/>
        <w:ind w:right="0" w:firstLine="640" w:firstLineChars="200"/>
        <w:jc w:val="left"/>
        <w:textAlignment w:val="auto"/>
        <w:rPr>
          <w:rFonts w:hint="eastAsia" w:ascii="Times New Roman" w:hAnsi="Times New Roman" w:eastAsia="方正仿宋_GBK" w:cs="方正仿宋_GBK"/>
          <w:b/>
          <w:spacing w:val="0"/>
          <w:kern w:val="0"/>
          <w:sz w:val="32"/>
          <w:szCs w:val="32"/>
        </w:rPr>
      </w:pPr>
      <w:r>
        <w:rPr>
          <w:rFonts w:hint="eastAsia" w:ascii="Times New Roman" w:hAnsi="Times New Roman" w:eastAsia="方正仿宋_GBK" w:cs="方正仿宋_GBK"/>
          <w:spacing w:val="0"/>
          <w:kern w:val="0"/>
          <w:sz w:val="32"/>
          <w:szCs w:val="32"/>
          <w:lang w:val="en-US" w:eastAsia="zh-CN"/>
        </w:rPr>
        <w:t>附件：1.</w:t>
      </w:r>
      <w:r>
        <w:rPr>
          <w:rFonts w:hint="eastAsia" w:ascii="Times New Roman" w:hAnsi="Times New Roman" w:eastAsia="方正仿宋_GBK" w:cs="方正仿宋_GBK"/>
          <w:spacing w:val="0"/>
          <w:kern w:val="0"/>
          <w:sz w:val="32"/>
          <w:szCs w:val="32"/>
        </w:rPr>
        <w:t>主要消防安全风险情形</w:t>
      </w:r>
    </w:p>
    <w:p w14:paraId="317E7E67">
      <w:pPr>
        <w:pStyle w:val="24"/>
        <w:keepNext w:val="0"/>
        <w:keepLines w:val="0"/>
        <w:pageBreakBefore w:val="0"/>
        <w:kinsoku/>
        <w:wordWrap/>
        <w:overflowPunct/>
        <w:topLinePunct w:val="0"/>
        <w:bidi w:val="0"/>
        <w:spacing w:line="590" w:lineRule="exact"/>
        <w:ind w:right="0" w:firstLine="1600" w:firstLineChars="500"/>
        <w:jc w:val="left"/>
        <w:textAlignment w:val="auto"/>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lang w:val="en-US" w:eastAsia="zh-CN"/>
        </w:rPr>
        <w:t>2.</w:t>
      </w:r>
      <w:r>
        <w:rPr>
          <w:rFonts w:hint="eastAsia" w:ascii="Times New Roman" w:hAnsi="Times New Roman" w:eastAsia="方正仿宋_GBK" w:cs="方正仿宋_GBK"/>
          <w:spacing w:val="0"/>
          <w:kern w:val="0"/>
          <w:sz w:val="32"/>
          <w:szCs w:val="32"/>
        </w:rPr>
        <w:t>重大风险隐患场所台账</w:t>
      </w:r>
    </w:p>
    <w:p w14:paraId="199519C1">
      <w:pPr>
        <w:keepNext w:val="0"/>
        <w:keepLines w:val="0"/>
        <w:pageBreakBefore w:val="0"/>
        <w:widowControl w:val="0"/>
        <w:kinsoku/>
        <w:wordWrap/>
        <w:overflowPunct/>
        <w:topLinePunct w:val="0"/>
        <w:autoSpaceDE/>
        <w:autoSpaceDN/>
        <w:bidi w:val="0"/>
        <w:adjustRightInd/>
        <w:snapToGrid/>
        <w:spacing w:line="590" w:lineRule="exact"/>
        <w:ind w:right="0" w:firstLine="1600" w:firstLineChars="500"/>
        <w:jc w:val="left"/>
        <w:textAlignment w:val="auto"/>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val="en-US" w:eastAsia="zh-CN"/>
        </w:rPr>
        <w:t>3.</w:t>
      </w:r>
      <w:r>
        <w:rPr>
          <w:rFonts w:hint="eastAsia" w:ascii="Times New Roman" w:hAnsi="Times New Roman" w:eastAsia="方正仿宋_GBK" w:cs="方正仿宋_GBK"/>
          <w:spacing w:val="0"/>
          <w:kern w:val="0"/>
          <w:sz w:val="32"/>
          <w:szCs w:val="32"/>
        </w:rPr>
        <w:t>全</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rPr>
        <w:t>消防安全风险隐患大排查大整治行动</w:t>
      </w:r>
      <w:r>
        <w:rPr>
          <w:rFonts w:hint="eastAsia" w:ascii="Times New Roman" w:hAnsi="Times New Roman" w:eastAsia="方正仿宋_GBK" w:cs="方正仿宋_GBK"/>
          <w:spacing w:val="0"/>
          <w:kern w:val="0"/>
          <w:sz w:val="32"/>
          <w:szCs w:val="32"/>
          <w:lang w:bidi="ar"/>
        </w:rPr>
        <w:t>每月小</w:t>
      </w:r>
    </w:p>
    <w:p w14:paraId="53E69CBC">
      <w:pPr>
        <w:keepNext w:val="0"/>
        <w:keepLines w:val="0"/>
        <w:pageBreakBefore w:val="0"/>
        <w:widowControl w:val="0"/>
        <w:kinsoku/>
        <w:wordWrap/>
        <w:overflowPunct/>
        <w:topLinePunct w:val="0"/>
        <w:autoSpaceDE/>
        <w:autoSpaceDN/>
        <w:bidi w:val="0"/>
        <w:adjustRightInd/>
        <w:snapToGrid/>
        <w:spacing w:line="590" w:lineRule="exact"/>
        <w:ind w:right="0" w:firstLine="1820" w:firstLineChars="569"/>
        <w:jc w:val="left"/>
        <w:textAlignment w:val="auto"/>
        <w:rPr>
          <w:rFonts w:hint="eastAsia" w:ascii="Times New Roman" w:hAnsi="Times New Roman" w:eastAsia="方正仿宋_GBK" w:cs="方正仿宋_GBK"/>
          <w:spacing w:val="0"/>
          <w:kern w:val="0"/>
          <w:sz w:val="32"/>
          <w:szCs w:val="32"/>
          <w:lang w:bidi="ar"/>
        </w:rPr>
      </w:pPr>
      <w:r>
        <w:rPr>
          <w:rFonts w:hint="eastAsia" w:ascii="Times New Roman" w:hAnsi="Times New Roman" w:eastAsia="方正仿宋_GBK" w:cs="方正仿宋_GBK"/>
          <w:spacing w:val="0"/>
          <w:kern w:val="0"/>
          <w:sz w:val="32"/>
          <w:szCs w:val="32"/>
          <w:lang w:bidi="ar"/>
        </w:rPr>
        <w:t>结（提纲）</w:t>
      </w:r>
    </w:p>
    <w:p w14:paraId="7F5F08E1">
      <w:pPr>
        <w:keepNext w:val="0"/>
        <w:keepLines w:val="0"/>
        <w:pageBreakBefore w:val="0"/>
        <w:widowControl w:val="0"/>
        <w:kinsoku/>
        <w:wordWrap/>
        <w:overflowPunct/>
        <w:topLinePunct w:val="0"/>
        <w:autoSpaceDE/>
        <w:autoSpaceDN/>
        <w:bidi w:val="0"/>
        <w:adjustRightInd/>
        <w:snapToGrid/>
        <w:spacing w:line="590" w:lineRule="exact"/>
        <w:ind w:right="0" w:firstLine="1920" w:firstLineChars="600"/>
        <w:jc w:val="left"/>
        <w:textAlignment w:val="auto"/>
        <w:rPr>
          <w:rFonts w:hint="eastAsia" w:ascii="Times New Roman" w:hAnsi="Times New Roman" w:eastAsia="方正仿宋_GBK" w:cs="方正仿宋_GBK"/>
          <w:spacing w:val="0"/>
          <w:kern w:val="0"/>
          <w:sz w:val="32"/>
          <w:szCs w:val="32"/>
          <w:lang w:bidi="ar"/>
        </w:rPr>
      </w:pPr>
    </w:p>
    <w:p w14:paraId="0766ED9F">
      <w:pPr>
        <w:keepNext w:val="0"/>
        <w:keepLines w:val="0"/>
        <w:pageBreakBefore w:val="0"/>
        <w:widowControl w:val="0"/>
        <w:kinsoku/>
        <w:wordWrap/>
        <w:overflowPunct/>
        <w:topLinePunct w:val="0"/>
        <w:autoSpaceDE/>
        <w:autoSpaceDN/>
        <w:bidi w:val="0"/>
        <w:adjustRightInd/>
        <w:snapToGrid/>
        <w:spacing w:line="590" w:lineRule="exact"/>
        <w:ind w:right="0" w:firstLine="1920" w:firstLineChars="600"/>
        <w:jc w:val="left"/>
        <w:textAlignment w:val="auto"/>
        <w:rPr>
          <w:rFonts w:hint="eastAsia" w:ascii="Times New Roman" w:hAnsi="Times New Roman" w:eastAsia="方正仿宋_GBK" w:cs="方正仿宋_GBK"/>
          <w:spacing w:val="0"/>
          <w:kern w:val="0"/>
          <w:sz w:val="32"/>
          <w:szCs w:val="32"/>
          <w:lang w:val="en-US" w:eastAsia="zh-CN" w:bidi="ar"/>
        </w:rPr>
      </w:pPr>
    </w:p>
    <w:p w14:paraId="623CEE71">
      <w:pPr>
        <w:keepNext w:val="0"/>
        <w:keepLines w:val="0"/>
        <w:pageBreakBefore w:val="0"/>
        <w:widowControl w:val="0"/>
        <w:kinsoku/>
        <w:wordWrap/>
        <w:overflowPunct/>
        <w:topLinePunct w:val="0"/>
        <w:autoSpaceDE/>
        <w:autoSpaceDN/>
        <w:bidi w:val="0"/>
        <w:adjustRightInd/>
        <w:snapToGrid/>
        <w:spacing w:line="590" w:lineRule="exact"/>
        <w:ind w:right="640" w:rightChars="200" w:firstLine="0" w:firstLineChars="0"/>
        <w:jc w:val="right"/>
        <w:textAlignment w:val="auto"/>
        <w:rPr>
          <w:rFonts w:hint="eastAsia" w:ascii="Times New Roman" w:hAnsi="Times New Roman" w:eastAsia="方正仿宋_GBK" w:cs="方正仿宋_GBK"/>
          <w:spacing w:val="0"/>
          <w:kern w:val="0"/>
          <w:sz w:val="32"/>
          <w:szCs w:val="32"/>
          <w:lang w:val="en-US" w:eastAsia="zh-CN"/>
        </w:rPr>
      </w:pPr>
      <w:r>
        <w:rPr>
          <w:rFonts w:hint="eastAsia" w:ascii="Times New Roman" w:hAnsi="Times New Roman" w:eastAsia="方正仿宋_GBK" w:cs="方正仿宋_GBK"/>
          <w:spacing w:val="0"/>
          <w:kern w:val="0"/>
          <w:sz w:val="32"/>
          <w:szCs w:val="32"/>
          <w:lang w:val="en-US" w:eastAsia="zh-CN"/>
        </w:rPr>
        <w:t xml:space="preserve">                  怀远县常坟镇人民政府</w:t>
      </w:r>
    </w:p>
    <w:p w14:paraId="72949E5F">
      <w:pPr>
        <w:pStyle w:val="18"/>
        <w:keepNext w:val="0"/>
        <w:keepLines w:val="0"/>
        <w:pageBreakBefore w:val="0"/>
        <w:widowControl w:val="0"/>
        <w:kinsoku/>
        <w:wordWrap/>
        <w:overflowPunct/>
        <w:topLinePunct w:val="0"/>
        <w:autoSpaceDE w:val="0"/>
        <w:autoSpaceDN w:val="0"/>
        <w:bidi w:val="0"/>
        <w:adjustRightInd w:val="0"/>
        <w:snapToGrid/>
        <w:spacing w:line="590" w:lineRule="exact"/>
        <w:ind w:right="1280" w:rightChars="400"/>
        <w:jc w:val="right"/>
        <w:textAlignment w:val="auto"/>
        <w:rPr>
          <w:rFonts w:hint="eastAsia" w:ascii="Times New Roman" w:hAnsi="Times New Roman" w:eastAsia="方正仿宋_GBK" w:cs="方正仿宋_GBK"/>
          <w:color w:val="auto"/>
          <w:spacing w:val="0"/>
          <w:kern w:val="0"/>
          <w:sz w:val="32"/>
          <w:szCs w:val="32"/>
        </w:rPr>
        <w:sectPr>
          <w:footerReference r:id="rId4" w:type="first"/>
          <w:footerReference r:id="rId3" w:type="default"/>
          <w:pgSz w:w="11906" w:h="16838"/>
          <w:pgMar w:top="2098" w:right="1474" w:bottom="1984" w:left="1587" w:header="851" w:footer="992" w:gutter="0"/>
          <w:pgNumType w:fmt="numberInDash"/>
          <w:cols w:space="720" w:num="1"/>
          <w:titlePg/>
          <w:rtlGutter w:val="0"/>
          <w:docGrid w:type="lines" w:linePitch="439" w:charSpace="0"/>
        </w:sectPr>
      </w:pPr>
      <w:r>
        <w:rPr>
          <w:rFonts w:hint="eastAsia" w:ascii="Times New Roman" w:hAnsi="Times New Roman" w:eastAsia="方正仿宋_GBK" w:cs="方正仿宋_GBK"/>
          <w:color w:val="auto"/>
          <w:spacing w:val="0"/>
          <w:kern w:val="0"/>
          <w:sz w:val="32"/>
          <w:szCs w:val="32"/>
          <w:lang w:val="en-US" w:eastAsia="zh-CN"/>
        </w:rPr>
        <w:t xml:space="preserve">                        </w:t>
      </w:r>
      <w:r>
        <w:rPr>
          <w:rFonts w:hint="eastAsia" w:ascii="Times New Roman" w:hAnsi="Times New Roman" w:eastAsia="方正仿宋_GBK" w:cs="方正仿宋_GBK"/>
          <w:color w:val="auto"/>
          <w:spacing w:val="0"/>
          <w:kern w:val="0"/>
          <w:sz w:val="32"/>
          <w:szCs w:val="32"/>
        </w:rPr>
        <w:t>2024年10月2</w:t>
      </w:r>
      <w:r>
        <w:rPr>
          <w:rFonts w:hint="eastAsia" w:ascii="Times New Roman" w:hAnsi="Times New Roman" w:eastAsia="方正仿宋_GBK" w:cs="方正仿宋_GBK"/>
          <w:color w:val="auto"/>
          <w:spacing w:val="0"/>
          <w:kern w:val="0"/>
          <w:sz w:val="32"/>
          <w:szCs w:val="32"/>
          <w:lang w:val="en-US" w:eastAsia="zh-CN"/>
        </w:rPr>
        <w:t>8</w:t>
      </w:r>
      <w:r>
        <w:rPr>
          <w:rFonts w:hint="eastAsia" w:ascii="Times New Roman" w:hAnsi="Times New Roman" w:eastAsia="方正仿宋_GBK" w:cs="方正仿宋_GBK"/>
          <w:color w:val="auto"/>
          <w:spacing w:val="0"/>
          <w:kern w:val="0"/>
          <w:sz w:val="32"/>
          <w:szCs w:val="32"/>
        </w:rPr>
        <w:t>日</w:t>
      </w:r>
    </w:p>
    <w:p w14:paraId="23B4C7B0">
      <w:pPr>
        <w:keepNext w:val="0"/>
        <w:keepLines w:val="0"/>
        <w:pageBreakBefore w:val="0"/>
        <w:kinsoku/>
        <w:wordWrap/>
        <w:overflowPunct/>
        <w:topLinePunct w:val="0"/>
        <w:bidi w:val="0"/>
        <w:spacing w:line="590" w:lineRule="exact"/>
        <w:ind w:right="0"/>
        <w:jc w:val="left"/>
        <w:textAlignment w:val="auto"/>
        <w:rPr>
          <w:rFonts w:hint="eastAsia" w:ascii="Times New Roman" w:hAnsi="Times New Roman" w:eastAsia="方正仿宋_GBK" w:cs="方正仿宋_GBK"/>
          <w:spacing w:val="0"/>
          <w:kern w:val="0"/>
          <w:sz w:val="32"/>
          <w:szCs w:val="32"/>
        </w:rPr>
        <w:sectPr>
          <w:type w:val="continuous"/>
          <w:pgSz w:w="11906" w:h="16838"/>
          <w:pgMar w:top="2098" w:right="1474" w:bottom="1984" w:left="1587" w:header="851" w:footer="992" w:gutter="0"/>
          <w:pgNumType w:fmt="numberInDash"/>
          <w:cols w:space="720" w:num="1"/>
          <w:rtlGutter w:val="0"/>
          <w:docGrid w:type="lines" w:linePitch="439" w:charSpace="0"/>
        </w:sectPr>
      </w:pPr>
    </w:p>
    <w:p w14:paraId="263A082D">
      <w:pPr>
        <w:keepNext w:val="0"/>
        <w:keepLines w:val="0"/>
        <w:pageBreakBefore w:val="0"/>
        <w:kinsoku/>
        <w:wordWrap/>
        <w:overflowPunct/>
        <w:topLinePunct w:val="0"/>
        <w:bidi w:val="0"/>
        <w:spacing w:line="590" w:lineRule="exact"/>
        <w:ind w:right="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附件1</w:t>
      </w:r>
    </w:p>
    <w:p w14:paraId="2D27B9B1">
      <w:pPr>
        <w:keepNext w:val="0"/>
        <w:keepLines w:val="0"/>
        <w:pageBreakBefore w:val="0"/>
        <w:kinsoku/>
        <w:wordWrap/>
        <w:overflowPunct/>
        <w:topLinePunct w:val="0"/>
        <w:bidi w:val="0"/>
        <w:spacing w:line="590" w:lineRule="exact"/>
        <w:ind w:right="0"/>
        <w:jc w:val="left"/>
        <w:textAlignment w:val="auto"/>
        <w:rPr>
          <w:rFonts w:hint="eastAsia" w:ascii="Times New Roman" w:hAnsi="Times New Roman" w:eastAsia="方正黑体_GBK" w:cs="方正黑体_GBK"/>
          <w:spacing w:val="0"/>
          <w:kern w:val="0"/>
          <w:sz w:val="32"/>
          <w:szCs w:val="32"/>
          <w:lang w:eastAsia="zh-CN"/>
        </w:rPr>
      </w:pPr>
    </w:p>
    <w:p w14:paraId="6FA4C97D">
      <w:pPr>
        <w:keepNext w:val="0"/>
        <w:keepLines w:val="0"/>
        <w:pageBreakBefore w:val="0"/>
        <w:kinsoku/>
        <w:wordWrap/>
        <w:overflowPunct/>
        <w:topLinePunct w:val="0"/>
        <w:bidi w:val="0"/>
        <w:spacing w:line="590" w:lineRule="exact"/>
        <w:ind w:right="0"/>
        <w:jc w:val="center"/>
        <w:textAlignment w:val="auto"/>
        <w:rPr>
          <w:rFonts w:hint="eastAsia" w:ascii="Times New Roman" w:hAnsi="Times New Roman" w:eastAsia="方正小标宋_GBK" w:cs="方正小标宋_GBK"/>
          <w:spacing w:val="0"/>
          <w:kern w:val="0"/>
          <w:sz w:val="44"/>
          <w:szCs w:val="44"/>
        </w:rPr>
      </w:pPr>
      <w:r>
        <w:rPr>
          <w:rFonts w:hint="eastAsia" w:ascii="Times New Roman" w:hAnsi="Times New Roman" w:eastAsia="方正小标宋_GBK" w:cs="方正小标宋_GBK"/>
          <w:spacing w:val="0"/>
          <w:kern w:val="0"/>
          <w:sz w:val="44"/>
          <w:szCs w:val="44"/>
        </w:rPr>
        <w:t>主要消防安全风险情形</w:t>
      </w:r>
    </w:p>
    <w:p w14:paraId="3C992D8E">
      <w:pPr>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bl>
      <w:tblPr>
        <w:tblStyle w:val="13"/>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8771"/>
      </w:tblGrid>
      <w:tr w14:paraId="4124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97" w:type="dxa"/>
            <w:noWrap w:val="0"/>
            <w:vAlign w:val="center"/>
          </w:tcPr>
          <w:p w14:paraId="46A6C4FC">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重点排查内容</w:t>
            </w:r>
          </w:p>
        </w:tc>
        <w:tc>
          <w:tcPr>
            <w:tcW w:w="8771" w:type="dxa"/>
            <w:noWrap w:val="0"/>
            <w:vAlign w:val="center"/>
          </w:tcPr>
          <w:p w14:paraId="51BD9402">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主要风险清单</w:t>
            </w:r>
          </w:p>
        </w:tc>
      </w:tr>
      <w:tr w14:paraId="03B6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97" w:type="dxa"/>
            <w:vMerge w:val="restart"/>
            <w:noWrap w:val="0"/>
            <w:vAlign w:val="center"/>
          </w:tcPr>
          <w:p w14:paraId="6CE78B50">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单位消防安全责任人</w:t>
            </w:r>
          </w:p>
          <w:p w14:paraId="7DD4C6DD">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责任落实</w:t>
            </w:r>
          </w:p>
        </w:tc>
        <w:tc>
          <w:tcPr>
            <w:tcW w:w="8771" w:type="dxa"/>
            <w:noWrap w:val="0"/>
            <w:vAlign w:val="center"/>
          </w:tcPr>
          <w:p w14:paraId="2899E321">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未完善“五实N岗”标准化管理体系；未建立行政管理团队、技术管理团队、灭火疏散团队、技术处置团队；未落实全员“一岗双责”。</w:t>
            </w:r>
          </w:p>
        </w:tc>
      </w:tr>
      <w:tr w14:paraId="5756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1E4C4268">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4E051793">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未制定单位消防安全管理制度。</w:t>
            </w:r>
          </w:p>
        </w:tc>
      </w:tr>
      <w:tr w14:paraId="1F56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97" w:type="dxa"/>
            <w:vMerge w:val="continue"/>
            <w:noWrap w:val="0"/>
            <w:vAlign w:val="center"/>
          </w:tcPr>
          <w:p w14:paraId="43723415">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73B9FACB">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未每月分析研判本单位的消防风险并形成评估报告，按规定填报台账记录表</w:t>
            </w:r>
          </w:p>
        </w:tc>
      </w:tr>
      <w:tr w14:paraId="4245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97" w:type="dxa"/>
            <w:vMerge w:val="continue"/>
            <w:noWrap w:val="0"/>
            <w:vAlign w:val="center"/>
          </w:tcPr>
          <w:p w14:paraId="5DB4FEB1">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75679377">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未每月组织开展防火检查，重点检查违规动火动焊等危险作业、违规住人和外包外租各方责任落实情况等</w:t>
            </w:r>
          </w:p>
        </w:tc>
      </w:tr>
      <w:tr w14:paraId="7450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restart"/>
            <w:noWrap w:val="0"/>
            <w:vAlign w:val="center"/>
          </w:tcPr>
          <w:p w14:paraId="3EB84C05">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管理责任落实</w:t>
            </w:r>
          </w:p>
        </w:tc>
        <w:tc>
          <w:tcPr>
            <w:tcW w:w="8771" w:type="dxa"/>
            <w:noWrap w:val="0"/>
            <w:vAlign w:val="center"/>
          </w:tcPr>
          <w:p w14:paraId="216A4A66">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未落实动火动焊等危险作业施工审批制度</w:t>
            </w:r>
          </w:p>
        </w:tc>
      </w:tr>
      <w:tr w14:paraId="063A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97" w:type="dxa"/>
            <w:vMerge w:val="continue"/>
            <w:noWrap w:val="0"/>
            <w:vAlign w:val="center"/>
          </w:tcPr>
          <w:p w14:paraId="71999EAC">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5C620559">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未落实全员消防培训、应急疏散演练；所有员工是否会使用消火栓并留有培训档案照片</w:t>
            </w:r>
          </w:p>
        </w:tc>
      </w:tr>
      <w:tr w14:paraId="2FD6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16ADEEFE">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4A8714B8">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未对新入职的员工开展岗前培训，了解并掌握消防安全“一懂三会”</w:t>
            </w:r>
          </w:p>
        </w:tc>
      </w:tr>
      <w:tr w14:paraId="5460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52500317">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284485BA">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消防控制室人员、电工、电焊工等特种作业人员未持证上岗并掌握消防安全操作规程</w:t>
            </w:r>
          </w:p>
        </w:tc>
      </w:tr>
      <w:tr w14:paraId="351F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78AAA3FD">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22C6494F">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保安、护工、宿管、商管等人员不熟悉安全出口并具备组织疏散逃生能力</w:t>
            </w:r>
          </w:p>
        </w:tc>
      </w:tr>
      <w:tr w14:paraId="597B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7" w:type="dxa"/>
            <w:vMerge w:val="continue"/>
            <w:noWrap w:val="0"/>
            <w:vAlign w:val="center"/>
          </w:tcPr>
          <w:p w14:paraId="694A7A46">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6B22B5C1">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医院、养老院、寄宿制学校等重点场所未安排夜间专人值守并具备夜间组织人员疏散逃生能力</w:t>
            </w:r>
          </w:p>
        </w:tc>
      </w:tr>
      <w:tr w14:paraId="0AB3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97" w:type="dxa"/>
            <w:vMerge w:val="continue"/>
            <w:noWrap w:val="0"/>
            <w:vAlign w:val="center"/>
          </w:tcPr>
          <w:p w14:paraId="12EF22E3">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0AF1A278">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混合生产经营场所未明确统一管理单位（物业）并加强共用疏散通道、安全出口、建筑消防设施等管理；未明晰各单位消防安全责任</w:t>
            </w:r>
          </w:p>
        </w:tc>
      </w:tr>
      <w:tr w14:paraId="7639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7" w:type="dxa"/>
            <w:vMerge w:val="continue"/>
            <w:noWrap w:val="0"/>
            <w:vAlign w:val="center"/>
          </w:tcPr>
          <w:p w14:paraId="574C3760">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43D23A42">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擅自改变场所火灾危险性定性（如：丁戊类厂房用作丙类生产储存、丙类厂房用作甲乙类生产储存）</w:t>
            </w:r>
          </w:p>
        </w:tc>
      </w:tr>
      <w:tr w14:paraId="4FA5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97" w:type="dxa"/>
            <w:vMerge w:val="restart"/>
            <w:noWrap w:val="0"/>
            <w:vAlign w:val="center"/>
          </w:tcPr>
          <w:p w14:paraId="2079F05A">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应急疏散</w:t>
            </w:r>
          </w:p>
        </w:tc>
        <w:tc>
          <w:tcPr>
            <w:tcW w:w="8771" w:type="dxa"/>
            <w:noWrap w:val="0"/>
            <w:vAlign w:val="center"/>
          </w:tcPr>
          <w:p w14:paraId="1193FB03">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存在疏散楼梯数量不足或设置不符合要求</w:t>
            </w:r>
          </w:p>
        </w:tc>
      </w:tr>
      <w:tr w14:paraId="3A08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7CA1B00A">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7BD9662B">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存在占用、堵塞、封闭疏散通道、安全出口</w:t>
            </w:r>
          </w:p>
        </w:tc>
      </w:tr>
      <w:tr w14:paraId="37FC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4558378B">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1B156544">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人员密集场所门窗上存在设置影响逃生和灭火救援的障碍物</w:t>
            </w:r>
          </w:p>
        </w:tc>
      </w:tr>
      <w:tr w14:paraId="2472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97" w:type="dxa"/>
            <w:vMerge w:val="continue"/>
            <w:noWrap w:val="0"/>
            <w:vAlign w:val="center"/>
          </w:tcPr>
          <w:p w14:paraId="78C2F7EC">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14817069">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消防应急广播、消防应急照明、疏散指示标志未保持完好有效</w:t>
            </w:r>
          </w:p>
        </w:tc>
      </w:tr>
      <w:tr w14:paraId="41A5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67EBFC9E">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6DD386F7">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存在医院、养老院未将失能和行动不便患者安排在建筑较低楼层，在通道、楼梯间增加床位，影响人员疏散</w:t>
            </w:r>
          </w:p>
        </w:tc>
      </w:tr>
      <w:tr w14:paraId="449A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97" w:type="dxa"/>
            <w:vMerge w:val="continue"/>
            <w:noWrap w:val="0"/>
            <w:vAlign w:val="center"/>
          </w:tcPr>
          <w:p w14:paraId="06F104B4">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0C32D8CA">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存在混合生产经营场所不同独立单位间的分隔占用疏散通道、锁闭安全出口，不能保证各自独立的疏散楼梯</w:t>
            </w:r>
          </w:p>
        </w:tc>
      </w:tr>
      <w:tr w14:paraId="6462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restart"/>
            <w:noWrap w:val="0"/>
            <w:vAlign w:val="center"/>
          </w:tcPr>
          <w:p w14:paraId="2CAB8516">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防火分隔</w:t>
            </w:r>
          </w:p>
        </w:tc>
        <w:tc>
          <w:tcPr>
            <w:tcW w:w="8771" w:type="dxa"/>
            <w:noWrap w:val="0"/>
            <w:vAlign w:val="center"/>
          </w:tcPr>
          <w:p w14:paraId="439DDEFB">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未按要求设置防火分区</w:t>
            </w:r>
          </w:p>
        </w:tc>
      </w:tr>
      <w:tr w14:paraId="0828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5C7FBF40">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550C8CB4">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存在防火门、防火卷帘、防火墙等损坏严重，不具备防火分隔功能</w:t>
            </w:r>
          </w:p>
        </w:tc>
      </w:tr>
      <w:tr w14:paraId="3D94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09D6AD8D">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3E2E5F7B">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电缆井、管道井等防火封堵不严密</w:t>
            </w:r>
          </w:p>
        </w:tc>
      </w:tr>
      <w:tr w14:paraId="0088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1AC6ECBF">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547E3255">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混合生产经营场所内违规设置员工宿舍</w:t>
            </w:r>
          </w:p>
        </w:tc>
      </w:tr>
      <w:tr w14:paraId="1E99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restart"/>
            <w:noWrap w:val="0"/>
            <w:vAlign w:val="center"/>
          </w:tcPr>
          <w:p w14:paraId="32F41C99">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消防设施设备</w:t>
            </w:r>
          </w:p>
        </w:tc>
        <w:tc>
          <w:tcPr>
            <w:tcW w:w="8771" w:type="dxa"/>
            <w:noWrap w:val="0"/>
            <w:vAlign w:val="center"/>
          </w:tcPr>
          <w:p w14:paraId="0EAC5527">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未按要求设置室内消火栓系统，或水压、水量不能满足灭火需求</w:t>
            </w:r>
          </w:p>
        </w:tc>
      </w:tr>
      <w:tr w14:paraId="5CBC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6CBB3D12">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08930973">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未按要求设置火灾自动报警、自动喷水灭火、气体灭火、防排烟等设施</w:t>
            </w:r>
          </w:p>
        </w:tc>
      </w:tr>
      <w:tr w14:paraId="4607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7" w:type="dxa"/>
            <w:vMerge w:val="continue"/>
            <w:noWrap w:val="0"/>
            <w:vAlign w:val="center"/>
          </w:tcPr>
          <w:p w14:paraId="699A5329">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2AC9A0B3">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消防设施系统损坏瘫痪无法正常使用，不具备防灭火功能</w:t>
            </w:r>
          </w:p>
        </w:tc>
      </w:tr>
      <w:tr w14:paraId="362A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7" w:type="dxa"/>
            <w:vMerge w:val="restart"/>
            <w:noWrap w:val="0"/>
            <w:vAlign w:val="center"/>
          </w:tcPr>
          <w:p w14:paraId="48EE1C18">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易燃可燃保温材料</w:t>
            </w:r>
          </w:p>
          <w:p w14:paraId="2C6DA02E">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和装饰装修</w:t>
            </w:r>
          </w:p>
        </w:tc>
        <w:tc>
          <w:tcPr>
            <w:tcW w:w="8771" w:type="dxa"/>
            <w:noWrap w:val="0"/>
            <w:vAlign w:val="center"/>
          </w:tcPr>
          <w:p w14:paraId="58A18CD1">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人员密集场所室内保温材料燃烧性能不符合规范要求</w:t>
            </w:r>
          </w:p>
        </w:tc>
      </w:tr>
      <w:tr w14:paraId="4468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7" w:type="dxa"/>
            <w:vMerge w:val="continue"/>
            <w:noWrap w:val="0"/>
            <w:vAlign w:val="center"/>
          </w:tcPr>
          <w:p w14:paraId="4F4A23D8">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6FF73772">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违规使用聚丙烯、聚乙烯、聚氨酯、聚苯乙烯等材质的易燃可燃材料尤其是塑料绿植装饰装修</w:t>
            </w:r>
          </w:p>
        </w:tc>
      </w:tr>
      <w:tr w14:paraId="29C4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1C2DEC3B">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698E8CBB">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违规使用易燃可燃材料夹芯彩钢板建筑</w:t>
            </w:r>
          </w:p>
        </w:tc>
      </w:tr>
      <w:tr w14:paraId="1B19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restart"/>
            <w:noWrap w:val="0"/>
            <w:vAlign w:val="center"/>
          </w:tcPr>
          <w:p w14:paraId="67029B18">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初期火灾扑救</w:t>
            </w:r>
          </w:p>
        </w:tc>
        <w:tc>
          <w:tcPr>
            <w:tcW w:w="8771" w:type="dxa"/>
            <w:noWrap w:val="0"/>
            <w:vAlign w:val="center"/>
          </w:tcPr>
          <w:p w14:paraId="6E07E038">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未按要求建立微型消防站或明确初期火灾扑救力量</w:t>
            </w:r>
          </w:p>
        </w:tc>
      </w:tr>
      <w:tr w14:paraId="28BE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1A9A69B0">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791867CF">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未结合本单位实际制定可操作的灭火和应急疏散预案</w:t>
            </w:r>
          </w:p>
        </w:tc>
      </w:tr>
      <w:tr w14:paraId="02E1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vMerge w:val="continue"/>
            <w:noWrap w:val="0"/>
            <w:vAlign w:val="center"/>
          </w:tcPr>
          <w:p w14:paraId="62610FF5">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5D4D0A21">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混合生产经营场所未建立消防联勤联动机制，发生火灾等紧急状况时无人第一时间通知并组织疏散</w:t>
            </w:r>
          </w:p>
        </w:tc>
      </w:tr>
      <w:tr w14:paraId="661F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restart"/>
            <w:noWrap w:val="0"/>
            <w:vAlign w:val="center"/>
          </w:tcPr>
          <w:p w14:paraId="3256CAAB">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违规住人</w:t>
            </w:r>
          </w:p>
        </w:tc>
        <w:tc>
          <w:tcPr>
            <w:tcW w:w="8771" w:type="dxa"/>
            <w:noWrap w:val="0"/>
            <w:vAlign w:val="center"/>
          </w:tcPr>
          <w:p w14:paraId="17A21E7A">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违规使用易燃可燃夹芯彩钢板搭建；</w:t>
            </w:r>
          </w:p>
        </w:tc>
      </w:tr>
      <w:tr w14:paraId="5003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244FC11A">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5E0013F1">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居住区域与生产、经营区域未完全防火分隔；</w:t>
            </w:r>
          </w:p>
        </w:tc>
      </w:tr>
      <w:tr w14:paraId="3EF5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09855971">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6587016A">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电动自行车违规停放、充电；</w:t>
            </w:r>
          </w:p>
        </w:tc>
      </w:tr>
      <w:tr w14:paraId="59FA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49386DAE">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17F29B17">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外窗、疏散走道安装防盗网、广告牌、铁栅栏；</w:t>
            </w:r>
          </w:p>
        </w:tc>
      </w:tr>
      <w:tr w14:paraId="579A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2E541DEE">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460DAC94">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居住区域内违规设置冷库；</w:t>
            </w:r>
          </w:p>
        </w:tc>
      </w:tr>
      <w:tr w14:paraId="56BD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vMerge w:val="continue"/>
            <w:noWrap w:val="0"/>
            <w:vAlign w:val="center"/>
          </w:tcPr>
          <w:p w14:paraId="757B5B71">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0ECDD8DD">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每层面积超过200平方米或建筑层数超过四层或住宿人员超过10人，疏散通道、安全出口数量不符合要求的。</w:t>
            </w:r>
          </w:p>
        </w:tc>
      </w:tr>
      <w:tr w14:paraId="7B89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restart"/>
            <w:noWrap w:val="0"/>
            <w:vAlign w:val="center"/>
          </w:tcPr>
          <w:p w14:paraId="07C399BE">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电源火源管控</w:t>
            </w:r>
          </w:p>
        </w:tc>
        <w:tc>
          <w:tcPr>
            <w:tcW w:w="8771" w:type="dxa"/>
            <w:noWrap w:val="0"/>
            <w:vAlign w:val="center"/>
          </w:tcPr>
          <w:p w14:paraId="3B25B79E">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配电箱（柜）电线连接不规范或违章带负荷拉、合闸</w:t>
            </w:r>
          </w:p>
        </w:tc>
      </w:tr>
      <w:tr w14:paraId="3FA1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136943CA">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44408863">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开关、插座直接安装在易燃可燃材料上</w:t>
            </w:r>
          </w:p>
        </w:tc>
      </w:tr>
      <w:tr w14:paraId="7419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659664DF">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1D441217">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电线电缆未穿管保护；</w:t>
            </w:r>
          </w:p>
        </w:tc>
      </w:tr>
      <w:tr w14:paraId="0F34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7BB2AB02">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472204A4">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照明灯具与可燃物未保持可靠安全距离，未采取隔热、散热等措施</w:t>
            </w:r>
          </w:p>
        </w:tc>
      </w:tr>
      <w:tr w14:paraId="5BA0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41D54F04">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4C95DCB3">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电动自行车（蓄电池）违规在室内停放充电或者飞线充电</w:t>
            </w:r>
          </w:p>
        </w:tc>
      </w:tr>
      <w:tr w14:paraId="4703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vMerge w:val="continue"/>
            <w:noWrap w:val="0"/>
            <w:vAlign w:val="center"/>
          </w:tcPr>
          <w:p w14:paraId="4C79EBAF">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7CBE1A13">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医院、养老院的制氧站、氧气瓶间违规使用非防爆电器设备，使用锂离子电池的医疗设备、轮椅未在指定安全区域充电</w:t>
            </w:r>
          </w:p>
        </w:tc>
      </w:tr>
      <w:tr w14:paraId="1185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5483A0E5">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3EA34A4E">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营业使用期间违规动火动焊作业</w:t>
            </w:r>
          </w:p>
        </w:tc>
      </w:tr>
      <w:tr w14:paraId="3E15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60D1E6D1">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4165CAB2">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违规使用醇基燃料、瓶装液化气罐等</w:t>
            </w:r>
          </w:p>
        </w:tc>
      </w:tr>
      <w:tr w14:paraId="1B74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4BEACE7D">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406F875C">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违规存放、使用易燃易爆危险品</w:t>
            </w:r>
          </w:p>
        </w:tc>
      </w:tr>
      <w:tr w14:paraId="396E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4143A7D2">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5A2FC9A0">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施工期间未提前清理可燃杂物、未落实安全防护措施</w:t>
            </w:r>
          </w:p>
        </w:tc>
      </w:tr>
      <w:tr w14:paraId="3EDF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7" w:type="dxa"/>
            <w:vMerge w:val="continue"/>
            <w:noWrap w:val="0"/>
            <w:vAlign w:val="center"/>
          </w:tcPr>
          <w:p w14:paraId="68888D85">
            <w:pPr>
              <w:keepNext w:val="0"/>
              <w:keepLines w:val="0"/>
              <w:pageBreakBefore w:val="0"/>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p>
        </w:tc>
        <w:tc>
          <w:tcPr>
            <w:tcW w:w="8771" w:type="dxa"/>
            <w:noWrap w:val="0"/>
            <w:vAlign w:val="center"/>
          </w:tcPr>
          <w:p w14:paraId="3F791596">
            <w:pPr>
              <w:keepNext w:val="0"/>
              <w:keepLines w:val="0"/>
              <w:pageBreakBefore w:val="0"/>
              <w:widowControl/>
              <w:wordWrap/>
              <w:overflowPunct/>
              <w:topLinePunct w:val="0"/>
              <w:bidi w:val="0"/>
              <w:spacing w:line="590" w:lineRule="exact"/>
              <w:ind w:right="0"/>
              <w:jc w:val="both"/>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混合生产经营场所中各单位动火施工不报告、不审批，不告知其他单位</w:t>
            </w:r>
          </w:p>
        </w:tc>
      </w:tr>
    </w:tbl>
    <w:p w14:paraId="11512A52">
      <w:pPr>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p w14:paraId="5B9AAEEC">
      <w:pPr>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sectPr>
          <w:pgSz w:w="11906" w:h="16838"/>
          <w:pgMar w:top="2098" w:right="1474" w:bottom="1984" w:left="1587" w:header="851" w:footer="992" w:gutter="0"/>
          <w:pgNumType w:fmt="numberInDash"/>
          <w:cols w:space="720" w:num="1"/>
          <w:docGrid w:type="lines" w:linePitch="435" w:charSpace="0"/>
        </w:sectPr>
      </w:pPr>
    </w:p>
    <w:p w14:paraId="73582811">
      <w:pPr>
        <w:keepNext w:val="0"/>
        <w:keepLines w:val="0"/>
        <w:pageBreakBefore w:val="0"/>
        <w:kinsoku/>
        <w:wordWrap/>
        <w:overflowPunct/>
        <w:topLinePunct w:val="0"/>
        <w:bidi w:val="0"/>
        <w:spacing w:line="590" w:lineRule="exact"/>
        <w:ind w:right="0"/>
        <w:jc w:val="left"/>
        <w:textAlignment w:val="auto"/>
        <w:rPr>
          <w:rFonts w:hint="eastAsia" w:ascii="Times New Roman" w:hAnsi="Times New Roman" w:eastAsia="方正黑体_GBK" w:cs="方正黑体_GBK"/>
          <w:spacing w:val="0"/>
          <w:kern w:val="0"/>
          <w:sz w:val="32"/>
          <w:szCs w:val="32"/>
          <w:lang w:val="en-US" w:eastAsia="zh-CN"/>
        </w:rPr>
      </w:pPr>
      <w:r>
        <w:rPr>
          <w:rFonts w:hint="eastAsia" w:ascii="Times New Roman" w:hAnsi="Times New Roman" w:eastAsia="方正黑体_GBK" w:cs="方正黑体_GBK"/>
          <w:spacing w:val="0"/>
          <w:kern w:val="0"/>
          <w:sz w:val="32"/>
          <w:szCs w:val="32"/>
        </w:rPr>
        <w:t>附件</w:t>
      </w:r>
      <w:r>
        <w:rPr>
          <w:rFonts w:hint="eastAsia" w:ascii="Times New Roman" w:hAnsi="Times New Roman" w:eastAsia="方正黑体_GBK" w:cs="方正黑体_GBK"/>
          <w:spacing w:val="0"/>
          <w:kern w:val="0"/>
          <w:sz w:val="32"/>
          <w:szCs w:val="32"/>
          <w:lang w:val="en-US" w:eastAsia="zh-CN"/>
        </w:rPr>
        <w:t>2</w:t>
      </w:r>
    </w:p>
    <w:p w14:paraId="79FB9AFA">
      <w:pPr>
        <w:keepNext w:val="0"/>
        <w:keepLines w:val="0"/>
        <w:pageBreakBefore w:val="0"/>
        <w:kinsoku/>
        <w:wordWrap/>
        <w:overflowPunct/>
        <w:topLinePunct w:val="0"/>
        <w:bidi w:val="0"/>
        <w:spacing w:line="590" w:lineRule="exact"/>
        <w:ind w:right="0"/>
        <w:jc w:val="left"/>
        <w:textAlignment w:val="auto"/>
        <w:rPr>
          <w:rFonts w:hint="eastAsia" w:ascii="Times New Roman" w:hAnsi="Times New Roman" w:eastAsia="方正黑体_GBK" w:cs="方正黑体_GBK"/>
          <w:spacing w:val="0"/>
          <w:kern w:val="0"/>
          <w:sz w:val="32"/>
          <w:szCs w:val="32"/>
          <w:lang w:val="en-US" w:eastAsia="zh-CN"/>
        </w:rPr>
      </w:pPr>
    </w:p>
    <w:p w14:paraId="273F31B4">
      <w:pPr>
        <w:keepNext w:val="0"/>
        <w:keepLines w:val="0"/>
        <w:pageBreakBefore w:val="0"/>
        <w:kinsoku/>
        <w:wordWrap/>
        <w:overflowPunct/>
        <w:topLinePunct w:val="0"/>
        <w:bidi w:val="0"/>
        <w:spacing w:line="590" w:lineRule="exact"/>
        <w:ind w:right="0"/>
        <w:jc w:val="center"/>
        <w:textAlignment w:val="auto"/>
        <w:rPr>
          <w:rFonts w:hint="eastAsia" w:ascii="Times New Roman" w:hAnsi="Times New Roman" w:eastAsia="方正小标宋_GBK" w:cs="方正小标宋_GBK"/>
          <w:spacing w:val="0"/>
          <w:kern w:val="0"/>
          <w:sz w:val="44"/>
          <w:szCs w:val="44"/>
        </w:rPr>
      </w:pPr>
      <w:r>
        <w:rPr>
          <w:rFonts w:hint="eastAsia" w:ascii="Times New Roman" w:hAnsi="Times New Roman" w:eastAsia="方正小标宋_GBK" w:cs="方正小标宋_GBK"/>
          <w:spacing w:val="0"/>
          <w:kern w:val="0"/>
          <w:sz w:val="44"/>
          <w:szCs w:val="44"/>
        </w:rPr>
        <w:t>重大风险隐患场所台账</w:t>
      </w:r>
    </w:p>
    <w:p w14:paraId="0BD991DA">
      <w:pPr>
        <w:pStyle w:val="24"/>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p w14:paraId="4695B3D9">
      <w:pPr>
        <w:pStyle w:val="25"/>
        <w:keepNext w:val="0"/>
        <w:keepLines w:val="0"/>
        <w:pageBreakBefore w:val="0"/>
        <w:wordWrap/>
        <w:overflowPunct/>
        <w:topLinePunct w:val="0"/>
        <w:bidi w:val="0"/>
        <w:spacing w:line="590" w:lineRule="exact"/>
        <w:ind w:right="0"/>
        <w:jc w:val="center"/>
        <w:rPr>
          <w:rFonts w:hint="eastAsia" w:ascii="Times New Roman" w:hAnsi="Times New Roman" w:eastAsia="方正仿宋_GBK" w:cs="方正仿宋_GBK"/>
          <w:b/>
          <w:bCs/>
          <w:spacing w:val="0"/>
          <w:kern w:val="0"/>
          <w:sz w:val="32"/>
          <w:szCs w:val="32"/>
        </w:rPr>
      </w:pPr>
      <w:r>
        <w:rPr>
          <w:rFonts w:hint="eastAsia" w:ascii="Times New Roman" w:hAnsi="Times New Roman" w:eastAsia="方正仿宋_GBK" w:cs="方正仿宋_GBK"/>
          <w:b/>
          <w:bCs/>
          <w:spacing w:val="0"/>
          <w:kern w:val="0"/>
          <w:sz w:val="32"/>
          <w:szCs w:val="32"/>
        </w:rPr>
        <w:t xml:space="preserve">单位：                </w:t>
      </w:r>
      <w:r>
        <w:rPr>
          <w:rFonts w:hint="eastAsia" w:ascii="Times New Roman" w:hAnsi="Times New Roman" w:eastAsia="方正仿宋_GBK" w:cs="方正仿宋_GBK"/>
          <w:b/>
          <w:bCs/>
          <w:spacing w:val="0"/>
          <w:kern w:val="0"/>
          <w:sz w:val="32"/>
          <w:szCs w:val="32"/>
          <w:lang w:val="en-US" w:eastAsia="zh-CN"/>
        </w:rPr>
        <w:t xml:space="preserve">    </w:t>
      </w:r>
      <w:r>
        <w:rPr>
          <w:rFonts w:hint="eastAsia" w:ascii="Times New Roman" w:hAnsi="Times New Roman" w:eastAsia="方正仿宋_GBK" w:cs="方正仿宋_GBK"/>
          <w:b/>
          <w:bCs/>
          <w:spacing w:val="0"/>
          <w:kern w:val="0"/>
          <w:sz w:val="32"/>
          <w:szCs w:val="32"/>
        </w:rPr>
        <w:t xml:space="preserve"> </w:t>
      </w:r>
      <w:r>
        <w:rPr>
          <w:rFonts w:hint="eastAsia" w:ascii="Times New Roman" w:hAnsi="Times New Roman" w:eastAsia="方正仿宋_GBK" w:cs="方正仿宋_GBK"/>
          <w:b/>
          <w:bCs/>
          <w:spacing w:val="0"/>
          <w:kern w:val="0"/>
          <w:sz w:val="32"/>
          <w:szCs w:val="32"/>
          <w:lang w:val="en-US" w:eastAsia="zh-CN"/>
        </w:rPr>
        <w:t xml:space="preserve">  </w:t>
      </w:r>
      <w:r>
        <w:rPr>
          <w:rFonts w:hint="eastAsia" w:ascii="Times New Roman" w:hAnsi="Times New Roman" w:eastAsia="方正仿宋_GBK" w:cs="方正仿宋_GBK"/>
          <w:b/>
          <w:bCs/>
          <w:spacing w:val="0"/>
          <w:kern w:val="0"/>
          <w:sz w:val="32"/>
          <w:szCs w:val="32"/>
        </w:rPr>
        <w:t xml:space="preserve">           填表人：             </w:t>
      </w:r>
      <w:r>
        <w:rPr>
          <w:rFonts w:hint="eastAsia" w:ascii="Times New Roman" w:hAnsi="Times New Roman" w:eastAsia="方正仿宋_GBK" w:cs="方正仿宋_GBK"/>
          <w:b/>
          <w:bCs/>
          <w:spacing w:val="0"/>
          <w:kern w:val="0"/>
          <w:sz w:val="32"/>
          <w:szCs w:val="32"/>
          <w:lang w:val="en-US" w:eastAsia="zh-CN"/>
        </w:rPr>
        <w:t xml:space="preserve">     </w:t>
      </w:r>
      <w:r>
        <w:rPr>
          <w:rFonts w:hint="eastAsia" w:ascii="Times New Roman" w:hAnsi="Times New Roman" w:eastAsia="方正仿宋_GBK" w:cs="方正仿宋_GBK"/>
          <w:b/>
          <w:bCs/>
          <w:spacing w:val="0"/>
          <w:kern w:val="0"/>
          <w:sz w:val="32"/>
          <w:szCs w:val="32"/>
        </w:rPr>
        <w:t xml:space="preserve">  </w:t>
      </w:r>
      <w:r>
        <w:rPr>
          <w:rFonts w:hint="eastAsia" w:ascii="Times New Roman" w:hAnsi="Times New Roman" w:eastAsia="方正仿宋_GBK" w:cs="方正仿宋_GBK"/>
          <w:b/>
          <w:bCs/>
          <w:spacing w:val="0"/>
          <w:kern w:val="0"/>
          <w:sz w:val="32"/>
          <w:szCs w:val="32"/>
          <w:lang w:val="en-US" w:eastAsia="zh-CN"/>
        </w:rPr>
        <w:t xml:space="preserve">    </w:t>
      </w:r>
      <w:r>
        <w:rPr>
          <w:rFonts w:hint="eastAsia" w:ascii="Times New Roman" w:hAnsi="Times New Roman" w:eastAsia="方正仿宋_GBK" w:cs="方正仿宋_GBK"/>
          <w:b/>
          <w:bCs/>
          <w:spacing w:val="0"/>
          <w:kern w:val="0"/>
          <w:sz w:val="32"/>
          <w:szCs w:val="32"/>
        </w:rPr>
        <w:t>统计时间：</w:t>
      </w:r>
    </w:p>
    <w:tbl>
      <w:tblPr>
        <w:tblStyle w:val="13"/>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983"/>
        <w:gridCol w:w="1455"/>
        <w:gridCol w:w="2447"/>
        <w:gridCol w:w="1741"/>
        <w:gridCol w:w="1577"/>
        <w:gridCol w:w="934"/>
      </w:tblGrid>
      <w:tr w14:paraId="7DA1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272CCF1A">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名称</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6DAC4904">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地址</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1465E28">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责任人</w:t>
            </w:r>
          </w:p>
        </w:tc>
        <w:tc>
          <w:tcPr>
            <w:tcW w:w="2447" w:type="dxa"/>
            <w:tcBorders>
              <w:top w:val="single" w:color="auto" w:sz="4" w:space="0"/>
              <w:left w:val="single" w:color="auto" w:sz="4" w:space="0"/>
              <w:bottom w:val="single" w:color="auto" w:sz="4" w:space="0"/>
              <w:right w:val="single" w:color="auto" w:sz="4" w:space="0"/>
            </w:tcBorders>
            <w:noWrap w:val="0"/>
            <w:vAlign w:val="center"/>
          </w:tcPr>
          <w:p w14:paraId="4AA29DA8">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重大风险隐患情形</w:t>
            </w:r>
          </w:p>
        </w:tc>
        <w:tc>
          <w:tcPr>
            <w:tcW w:w="1741" w:type="dxa"/>
            <w:tcBorders>
              <w:top w:val="single" w:color="auto" w:sz="4" w:space="0"/>
              <w:left w:val="single" w:color="auto" w:sz="4" w:space="0"/>
              <w:bottom w:val="single" w:color="auto" w:sz="4" w:space="0"/>
              <w:right w:val="single" w:color="auto" w:sz="4" w:space="0"/>
            </w:tcBorders>
            <w:noWrap w:val="0"/>
            <w:vAlign w:val="center"/>
          </w:tcPr>
          <w:p w14:paraId="2B6E371E">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整改措施</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089A3674">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整改时限</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A927DAD">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备注</w:t>
            </w:r>
          </w:p>
        </w:tc>
      </w:tr>
      <w:tr w14:paraId="244C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6719470B">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0BCE01AF">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68736B3">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14:paraId="7310F35D">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5B309D6E">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58AC9DA2">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2F4803DB">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r>
      <w:tr w14:paraId="63F3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A30EC24">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4A0ECC40">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4D85B59">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14:paraId="5FB4D020">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206D7E2E">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31D9D384">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3C0322A2">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r>
      <w:tr w14:paraId="670C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2F954820">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0030DE1C">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7E2B2D1">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14:paraId="6B4FF71B">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77BEC9BD">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2B2B179B">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23DA8AB1">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r>
      <w:tr w14:paraId="67DB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685E4246">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06DDC97F">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D5E8768">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14:paraId="5E29C899">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3BAE9282">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62B23A22">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52483E2B">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r>
      <w:tr w14:paraId="6FDA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1543A504">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42FCBC5D">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B209E73">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14:paraId="045FEE5D">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6BCCA701">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46BC89BE">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446902A3">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r>
      <w:tr w14:paraId="67A7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4EA9AAD5">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1B7F11C4">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56DFA5C">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14:paraId="3F15C116">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62D730AD">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256D3493">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4DFD3937">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tc>
      </w:tr>
    </w:tbl>
    <w:p w14:paraId="124FE874">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填表说明：场所具有重大风险隐患，应据实填写，否则留空。重大火灾隐患均为重大风险隐患，隐患虽然未达到重大火灾隐患标准，但严重危及公共安全的，也应当填写。</w:t>
      </w:r>
    </w:p>
    <w:p w14:paraId="518FAB38">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p w14:paraId="77471301">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p w14:paraId="4BCEAA88">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p w14:paraId="53C24D4A">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p w14:paraId="24886550">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p w14:paraId="30D29C8D">
      <w:pPr>
        <w:pStyle w:val="25"/>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sectPr>
          <w:footerReference r:id="rId5" w:type="default"/>
          <w:pgSz w:w="16838" w:h="11906" w:orient="landscape"/>
          <w:pgMar w:top="1418" w:right="1418" w:bottom="1418" w:left="1418" w:header="851" w:footer="992" w:gutter="0"/>
          <w:pgNumType w:fmt="numberInDash"/>
          <w:cols w:space="720" w:num="1"/>
          <w:docGrid w:type="lines" w:linePitch="435" w:charSpace="0"/>
        </w:sectPr>
      </w:pPr>
    </w:p>
    <w:p w14:paraId="64201DA6">
      <w:pPr>
        <w:keepNext w:val="0"/>
        <w:keepLines w:val="0"/>
        <w:pageBreakBefore w:val="0"/>
        <w:kinsoku/>
        <w:wordWrap/>
        <w:overflowPunct/>
        <w:topLinePunct w:val="0"/>
        <w:bidi w:val="0"/>
        <w:spacing w:line="590" w:lineRule="exact"/>
        <w:ind w:right="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附件3</w:t>
      </w:r>
    </w:p>
    <w:p w14:paraId="4E9CC299">
      <w:pPr>
        <w:keepNext w:val="0"/>
        <w:keepLines w:val="0"/>
        <w:pageBreakBefore w:val="0"/>
        <w:wordWrap/>
        <w:overflowPunct/>
        <w:topLinePunct w:val="0"/>
        <w:bidi w:val="0"/>
        <w:spacing w:line="590" w:lineRule="exact"/>
        <w:ind w:right="0"/>
        <w:jc w:val="left"/>
        <w:rPr>
          <w:rFonts w:hint="eastAsia" w:ascii="Times New Roman" w:hAnsi="Times New Roman" w:eastAsia="方正仿宋_GBK" w:cs="方正仿宋_GBK"/>
          <w:spacing w:val="0"/>
          <w:kern w:val="0"/>
          <w:sz w:val="32"/>
          <w:szCs w:val="32"/>
        </w:rPr>
      </w:pPr>
    </w:p>
    <w:p w14:paraId="7FC9996D">
      <w:pPr>
        <w:keepNext w:val="0"/>
        <w:keepLines w:val="0"/>
        <w:pageBreakBefore w:val="0"/>
        <w:kinsoku/>
        <w:wordWrap/>
        <w:overflowPunct/>
        <w:topLinePunct w:val="0"/>
        <w:bidi w:val="0"/>
        <w:spacing w:line="590" w:lineRule="exact"/>
        <w:ind w:right="0"/>
        <w:jc w:val="center"/>
        <w:textAlignment w:val="auto"/>
        <w:rPr>
          <w:rFonts w:hint="eastAsia" w:ascii="Times New Roman" w:hAnsi="Times New Roman" w:eastAsia="方正小标宋_GBK" w:cs="方正小标宋_GBK"/>
          <w:spacing w:val="0"/>
          <w:kern w:val="0"/>
          <w:sz w:val="44"/>
          <w:szCs w:val="44"/>
        </w:rPr>
      </w:pPr>
      <w:r>
        <w:rPr>
          <w:rFonts w:hint="eastAsia" w:ascii="Times New Roman" w:hAnsi="Times New Roman" w:eastAsia="方正小标宋_GBK" w:cs="方正小标宋_GBK"/>
          <w:spacing w:val="0"/>
          <w:kern w:val="0"/>
          <w:sz w:val="44"/>
          <w:szCs w:val="44"/>
        </w:rPr>
        <w:t>全</w:t>
      </w:r>
      <w:r>
        <w:rPr>
          <w:rFonts w:hint="eastAsia" w:eastAsia="方正小标宋_GBK" w:cs="方正小标宋_GBK"/>
          <w:b/>
          <w:bCs/>
          <w:spacing w:val="0"/>
          <w:kern w:val="0"/>
          <w:sz w:val="44"/>
          <w:szCs w:val="44"/>
          <w:lang w:val="en-US" w:eastAsia="zh-CN"/>
        </w:rPr>
        <w:t>镇</w:t>
      </w:r>
      <w:r>
        <w:rPr>
          <w:rFonts w:hint="eastAsia" w:ascii="Times New Roman" w:hAnsi="Times New Roman" w:eastAsia="方正小标宋_GBK" w:cs="方正小标宋_GBK"/>
          <w:spacing w:val="0"/>
          <w:kern w:val="0"/>
          <w:sz w:val="44"/>
          <w:szCs w:val="44"/>
        </w:rPr>
        <w:t>消防安全风险隐患大排查大整治行动</w:t>
      </w:r>
    </w:p>
    <w:p w14:paraId="271B173E">
      <w:pPr>
        <w:keepNext w:val="0"/>
        <w:keepLines w:val="0"/>
        <w:pageBreakBefore w:val="0"/>
        <w:kinsoku/>
        <w:wordWrap/>
        <w:overflowPunct/>
        <w:topLinePunct w:val="0"/>
        <w:bidi w:val="0"/>
        <w:spacing w:line="590" w:lineRule="exact"/>
        <w:ind w:right="0"/>
        <w:jc w:val="center"/>
        <w:textAlignment w:val="auto"/>
        <w:rPr>
          <w:rFonts w:hint="eastAsia" w:ascii="Times New Roman" w:hAnsi="Times New Roman" w:eastAsia="方正小标宋_GBK" w:cs="方正小标宋_GBK"/>
          <w:spacing w:val="0"/>
          <w:kern w:val="0"/>
          <w:sz w:val="44"/>
          <w:szCs w:val="44"/>
        </w:rPr>
      </w:pPr>
      <w:r>
        <w:rPr>
          <w:rFonts w:hint="eastAsia" w:ascii="Times New Roman" w:hAnsi="Times New Roman" w:eastAsia="方正小标宋_GBK" w:cs="方正小标宋_GBK"/>
          <w:spacing w:val="0"/>
          <w:kern w:val="0"/>
          <w:sz w:val="44"/>
          <w:szCs w:val="44"/>
        </w:rPr>
        <w:t>每月小结（提纲）</w:t>
      </w:r>
    </w:p>
    <w:p w14:paraId="4ED6EBDE">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p>
    <w:p w14:paraId="13BE20D6">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一、本月工作推进情况</w:t>
      </w:r>
    </w:p>
    <w:p w14:paraId="7D89B5F2">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条目式列出本月开展的工作，重点写主要负责同志开会部署、带队检查、调研走访等工作情况、解决了哪些问题；行业部门相关工作开展情况。</w:t>
      </w:r>
    </w:p>
    <w:p w14:paraId="24C33D0B">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二、本月检查单位情况</w:t>
      </w:r>
    </w:p>
    <w:p w14:paraId="6624CB71">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lang w:val="en-US" w:eastAsia="zh-CN"/>
        </w:rPr>
        <w:t>各村、</w:t>
      </w:r>
      <w:r>
        <w:rPr>
          <w:rFonts w:hint="eastAsia" w:eastAsia="方正仿宋_GBK" w:cs="方正仿宋_GBK"/>
          <w:spacing w:val="0"/>
          <w:kern w:val="0"/>
          <w:sz w:val="32"/>
          <w:szCs w:val="32"/>
          <w:lang w:val="en-US" w:eastAsia="zh-CN"/>
        </w:rPr>
        <w:t>镇</w:t>
      </w:r>
      <w:r>
        <w:rPr>
          <w:rFonts w:hint="eastAsia" w:ascii="Times New Roman" w:hAnsi="Times New Roman" w:eastAsia="方正仿宋_GBK" w:cs="方正仿宋_GBK"/>
          <w:spacing w:val="0"/>
          <w:kern w:val="0"/>
          <w:sz w:val="32"/>
          <w:szCs w:val="32"/>
          <w:lang w:val="en-US" w:eastAsia="zh-CN"/>
        </w:rPr>
        <w:t>直有关部门</w:t>
      </w:r>
      <w:r>
        <w:rPr>
          <w:rFonts w:hint="eastAsia" w:ascii="Times New Roman" w:hAnsi="Times New Roman" w:eastAsia="方正仿宋_GBK" w:cs="方正仿宋_GBK"/>
          <w:spacing w:val="0"/>
          <w:kern w:val="0"/>
          <w:sz w:val="32"/>
          <w:szCs w:val="32"/>
        </w:rPr>
        <w:t>分类别写明单位检查的数量和发现隐患数量。</w:t>
      </w:r>
    </w:p>
    <w:p w14:paraId="3522324F">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三、存在问题和应对措施</w:t>
      </w:r>
    </w:p>
    <w:p w14:paraId="712F1B5B">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发现了哪些突出问题，哪些共性问题，怎么处理的。</w:t>
      </w:r>
    </w:p>
    <w:p w14:paraId="16C23465">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eastAsia" w:ascii="Times New Roman" w:hAnsi="Times New Roman" w:eastAsia="方正黑体_GBK" w:cs="方正黑体_GBK"/>
          <w:spacing w:val="0"/>
          <w:kern w:val="0"/>
          <w:sz w:val="32"/>
          <w:szCs w:val="32"/>
        </w:rPr>
      </w:pPr>
      <w:r>
        <w:rPr>
          <w:rFonts w:hint="eastAsia" w:ascii="Times New Roman" w:hAnsi="Times New Roman" w:eastAsia="方正黑体_GBK" w:cs="方正黑体_GBK"/>
          <w:spacing w:val="0"/>
          <w:kern w:val="0"/>
          <w:sz w:val="32"/>
          <w:szCs w:val="32"/>
        </w:rPr>
        <w:t>四、下月工作安排</w:t>
      </w:r>
    </w:p>
    <w:p w14:paraId="0A617AB3">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pacing w:val="0"/>
          <w:kern w:val="0"/>
          <w:sz w:val="32"/>
          <w:szCs w:val="32"/>
        </w:rPr>
        <w:t>下月准备开展的工作或侧重方向。</w:t>
      </w:r>
    </w:p>
    <w:sectPr>
      <w:pgSz w:w="11906" w:h="16838"/>
      <w:pgMar w:top="1417" w:right="1418" w:bottom="1417" w:left="141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76B13F5-670E-4BFE-985A-A3DA715EAA14}"/>
  </w:font>
  <w:font w:name="仿宋体">
    <w:altName w:val="宋体"/>
    <w:panose1 w:val="02010609000101010101"/>
    <w:charset w:val="00"/>
    <w:family w:val="roman"/>
    <w:pitch w:val="default"/>
    <w:sig w:usb0="00000000" w:usb1="00000000" w:usb2="00000008" w:usb3="00000000" w:csb0="000001FF" w:csb1="00000000"/>
  </w:font>
  <w:font w:name="Luxi Sans">
    <w:altName w:val="微软雅黑"/>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EED7974D-59E2-4965-97D2-56DCE65348CD}"/>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embedRegular r:id="rId3" w:fontKey="{800D01BB-67CB-4EF6-B7AC-384D717AC366}"/>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embedRegular r:id="rId4" w:fontKey="{3B5AC47A-3D37-41DD-850A-409C3855F6B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7A35">
    <w:pPr>
      <w:pStyle w:val="9"/>
      <w:jc w:val="center"/>
      <w:rPr>
        <w:rFonts w:eastAsia="方正仿宋_GBK"/>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26035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EEA806">
                          <w:pPr>
                            <w:pStyle w:val="9"/>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2.05pt;height:144pt;width:144pt;mso-position-horizontal:outside;mso-position-horizontal-relative:margin;mso-wrap-style:none;z-index:251659264;mso-width-relative:page;mso-height-relative:page;" filled="f" stroked="f" coordsize="21600,21600" o:gfxdata="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Lfu/tIAAAAGAQAADwAAAAAAAAAB&#10;ACAAAAAiAAAAZHJzL2Rvd25yZXYueG1sUEsBAhQAFAAAAAgAh07iQG15XmjdAQAAvgMAAA4AAAAA&#10;AAAAAQAgAAAAIQEAAGRycy9lMm9Eb2MueG1sUEsFBgAAAAAGAAYAWQEAAHAFAAAAAA==&#10;">
              <v:fill on="f" focussize="0,0"/>
              <v:stroke on="f"/>
              <v:imagedata o:title=""/>
              <o:lock v:ext="edit" aspectratio="f"/>
              <v:textbox inset="0mm,0mm,0mm,0mm" style="mso-fit-shape-to-text:t;">
                <w:txbxContent>
                  <w:p w14:paraId="45EEA806">
                    <w:pPr>
                      <w:pStyle w:val="9"/>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p>
                </w:txbxContent>
              </v:textbox>
            </v:shape>
          </w:pict>
        </mc:Fallback>
      </mc:AlternateContent>
    </w:r>
  </w:p>
  <w:p w14:paraId="483D7335">
    <w:pPr>
      <w:pStyle w:val="9"/>
      <w:jc w:val="both"/>
      <w:rPr>
        <w:rFonts w:eastAsia="方正仿宋_GBK"/>
        <w:sz w:val="24"/>
        <w:szCs w:val="24"/>
      </w:rPr>
    </w:pPr>
  </w:p>
  <w:p w14:paraId="58996140">
    <w:pPr>
      <w:pStyle w:val="9"/>
      <w:jc w:val="both"/>
      <w:rPr>
        <w:rFonts w:eastAsia="方正仿宋_GBK"/>
        <w:sz w:val="24"/>
        <w:szCs w:val="24"/>
      </w:rPr>
    </w:pPr>
  </w:p>
  <w:p w14:paraId="54EC7655">
    <w:pPr>
      <w:pStyle w:val="9"/>
      <w:jc w:val="both"/>
      <w:rPr>
        <w:rFonts w:eastAsia="方正仿宋_GBK"/>
        <w:sz w:val="24"/>
        <w:szCs w:val="24"/>
      </w:rPr>
    </w:pPr>
  </w:p>
  <w:p w14:paraId="6C82DF8A">
    <w:pPr>
      <w:pStyle w:val="9"/>
      <w:jc w:val="center"/>
      <w:rPr>
        <w:rFonts w:eastAsia="方正仿宋_GBK"/>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7B0E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26035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DB5667">
                          <w:pPr>
                            <w:pStyle w:val="9"/>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2.05pt;height:144pt;width:144pt;mso-position-horizontal:outside;mso-position-horizontal-relative:margin;mso-wrap-style:none;z-index:251660288;mso-width-relative:page;mso-height-relative:page;" filled="f" stroked="f" coordsize="21600,21600" o:gfxdata="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Lfu/tIAAAAGAQAADwAAAAAAAAAB&#10;ACAAAAAiAAAAZHJzL2Rvd25yZXYueG1sUEsBAhQAFAAAAAgAh07iQLMb65DdAQAAvgMAAA4AAAAA&#10;AAAAAQAgAAAAIQEAAGRycy9lMm9Eb2MueG1sUEsFBgAAAAAGAAYAWQEAAHAFAAAAAA==&#10;">
              <v:fill on="f" focussize="0,0"/>
              <v:stroke on="f"/>
              <v:imagedata o:title=""/>
              <o:lock v:ext="edit" aspectratio="f"/>
              <v:textbox inset="0mm,0mm,0mm,0mm" style="mso-fit-shape-to-text:t;">
                <w:txbxContent>
                  <w:p w14:paraId="5FDB5667">
                    <w:pPr>
                      <w:pStyle w:val="9"/>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p>
                </w:txbxContent>
              </v:textbox>
            </v:shape>
          </w:pict>
        </mc:Fallback>
      </mc:AlternateContent>
    </w:r>
  </w:p>
  <w:p w14:paraId="290CECBC">
    <w:pPr>
      <w:pStyle w:val="9"/>
    </w:pPr>
  </w:p>
  <w:p w14:paraId="08C13140">
    <w:pPr>
      <w:pStyle w:val="9"/>
    </w:pPr>
  </w:p>
  <w:p w14:paraId="42F41D5C">
    <w:pPr>
      <w:pStyle w:val="9"/>
    </w:pPr>
  </w:p>
  <w:p w14:paraId="3F559DD7">
    <w:pPr>
      <w:pStyle w:val="9"/>
    </w:pPr>
  </w:p>
  <w:p w14:paraId="3CE8C5E4">
    <w:pPr>
      <w:pStyle w:val="9"/>
    </w:pPr>
  </w:p>
  <w:p w14:paraId="1F62A9DC">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F0D8">
    <w:pPr>
      <w:pStyle w:val="9"/>
      <w:jc w:val="center"/>
      <w:rPr>
        <w:rFonts w:eastAsia="方正仿宋_GBK"/>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26035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5F2EA7">
                          <w:pPr>
                            <w:pStyle w:val="9"/>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2.05pt;height:144pt;width:144pt;mso-position-horizontal:outside;mso-position-horizontal-relative:margin;mso-wrap-style:none;z-index:251661312;mso-width-relative:page;mso-height-relative:page;" filled="f" stroked="f" coordsize="21600,21600" o:gfxdata="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S37v7SAAAABgEAAA8AAAAAAAAA&#10;AQAgAAAAIgAAAGRycy9kb3ducmV2LnhtbFBLAQIUABQAAAAIAIdO4kDGx6hx3gEAAL4DAAAOAAAA&#10;AAAAAAEAIAAAACEBAABkcnMvZTJvRG9jLnhtbFBLBQYAAAAABgAGAFkBAABxBQAAAAA=&#10;">
              <v:fill on="f" focussize="0,0"/>
              <v:stroke on="f"/>
              <v:imagedata o:title=""/>
              <o:lock v:ext="edit" aspectratio="f"/>
              <v:textbox inset="0mm,0mm,0mm,0mm" style="mso-fit-shape-to-text:t;">
                <w:txbxContent>
                  <w:p w14:paraId="305F2EA7">
                    <w:pPr>
                      <w:pStyle w:val="9"/>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p>
                </w:txbxContent>
              </v:textbox>
            </v:shape>
          </w:pict>
        </mc:Fallback>
      </mc:AlternateContent>
    </w:r>
  </w:p>
  <w:p w14:paraId="3D0584A9">
    <w:pPr>
      <w:pStyle w:val="9"/>
      <w:jc w:val="both"/>
      <w:rPr>
        <w:rFonts w:eastAsia="方正仿宋_GBK"/>
        <w:sz w:val="24"/>
        <w:szCs w:val="24"/>
      </w:rPr>
    </w:pPr>
  </w:p>
  <w:p w14:paraId="6DBA1D32">
    <w:pPr>
      <w:pStyle w:val="9"/>
      <w:jc w:val="center"/>
      <w:rPr>
        <w:rFonts w:eastAsia="方正仿宋_GBK"/>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20"/>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mFkZjRhYmVkM2JmMjU2OTcyMDViNzJmNzYzZjkifQ=="/>
  </w:docVars>
  <w:rsids>
    <w:rsidRoot w:val="00013F88"/>
    <w:rsid w:val="00104362"/>
    <w:rsid w:val="001E71BF"/>
    <w:rsid w:val="00304CDD"/>
    <w:rsid w:val="003118D2"/>
    <w:rsid w:val="00326C01"/>
    <w:rsid w:val="003E5E92"/>
    <w:rsid w:val="0047359D"/>
    <w:rsid w:val="00495955"/>
    <w:rsid w:val="004C2315"/>
    <w:rsid w:val="0054798D"/>
    <w:rsid w:val="005D2282"/>
    <w:rsid w:val="006552A5"/>
    <w:rsid w:val="00693E39"/>
    <w:rsid w:val="00693F04"/>
    <w:rsid w:val="007E7F03"/>
    <w:rsid w:val="00D85106"/>
    <w:rsid w:val="00DF6CBC"/>
    <w:rsid w:val="00E6042A"/>
    <w:rsid w:val="00EE586D"/>
    <w:rsid w:val="00F42B34"/>
    <w:rsid w:val="05AD1B88"/>
    <w:rsid w:val="07CA07CF"/>
    <w:rsid w:val="0A161087"/>
    <w:rsid w:val="0D8A3485"/>
    <w:rsid w:val="105A290D"/>
    <w:rsid w:val="11966E48"/>
    <w:rsid w:val="13442CBA"/>
    <w:rsid w:val="13C22CA3"/>
    <w:rsid w:val="13C278CA"/>
    <w:rsid w:val="1A1B4EBB"/>
    <w:rsid w:val="1A497BD7"/>
    <w:rsid w:val="1B0911B7"/>
    <w:rsid w:val="1C24274C"/>
    <w:rsid w:val="1C862B78"/>
    <w:rsid w:val="221A3715"/>
    <w:rsid w:val="23DD02B7"/>
    <w:rsid w:val="24CA2535"/>
    <w:rsid w:val="283A32F8"/>
    <w:rsid w:val="2A4F43BA"/>
    <w:rsid w:val="2A8A1456"/>
    <w:rsid w:val="31650511"/>
    <w:rsid w:val="31D6316F"/>
    <w:rsid w:val="323B0398"/>
    <w:rsid w:val="323D65DF"/>
    <w:rsid w:val="34346E4D"/>
    <w:rsid w:val="343F3D4A"/>
    <w:rsid w:val="35070DF7"/>
    <w:rsid w:val="36D641EB"/>
    <w:rsid w:val="3A5A6C85"/>
    <w:rsid w:val="3AAD0AA6"/>
    <w:rsid w:val="3B647C4C"/>
    <w:rsid w:val="3C4F7D64"/>
    <w:rsid w:val="3C87046C"/>
    <w:rsid w:val="3D237AD1"/>
    <w:rsid w:val="3F7153F9"/>
    <w:rsid w:val="41727291"/>
    <w:rsid w:val="41E70D5C"/>
    <w:rsid w:val="42127FFC"/>
    <w:rsid w:val="474A2051"/>
    <w:rsid w:val="480C5CBF"/>
    <w:rsid w:val="4A9D06CB"/>
    <w:rsid w:val="4F38383D"/>
    <w:rsid w:val="51422751"/>
    <w:rsid w:val="5286413E"/>
    <w:rsid w:val="548E5CAE"/>
    <w:rsid w:val="56B55774"/>
    <w:rsid w:val="56CA2D21"/>
    <w:rsid w:val="599B7CCC"/>
    <w:rsid w:val="60FF2C9C"/>
    <w:rsid w:val="611334B6"/>
    <w:rsid w:val="6410048D"/>
    <w:rsid w:val="6825799D"/>
    <w:rsid w:val="688431F8"/>
    <w:rsid w:val="689F6284"/>
    <w:rsid w:val="69143AB3"/>
    <w:rsid w:val="695D5F23"/>
    <w:rsid w:val="6E416008"/>
    <w:rsid w:val="6E596831"/>
    <w:rsid w:val="729329B5"/>
    <w:rsid w:val="747F3F81"/>
    <w:rsid w:val="779D3ACF"/>
    <w:rsid w:val="7E6727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体" w:cs="Times New Roman"/>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uiPriority w:val="0"/>
    <w:pPr>
      <w:widowControl w:val="0"/>
      <w:spacing w:before="0" w:after="120"/>
      <w:ind w:left="0" w:right="0"/>
      <w:jc w:val="both"/>
    </w:pPr>
    <w:rPr>
      <w:rFonts w:ascii="Times New Roman" w:hAnsi="Times New Roman" w:eastAsia="宋体" w:cs="Times New Roman"/>
      <w:kern w:val="2"/>
      <w:sz w:val="21"/>
      <w:szCs w:val="24"/>
      <w:lang w:val="en-US" w:eastAsia="zh-CN" w:bidi="ar-SA"/>
    </w:rPr>
  </w:style>
  <w:style w:type="paragraph" w:styleId="6">
    <w:name w:val="Body Text Indent"/>
    <w:basedOn w:val="1"/>
    <w:qFormat/>
    <w:uiPriority w:val="0"/>
    <w:pPr>
      <w:spacing w:after="120"/>
      <w:ind w:left="200" w:leftChars="200"/>
    </w:pPr>
  </w:style>
  <w:style w:type="paragraph" w:styleId="7">
    <w:name w:val="Date"/>
    <w:basedOn w:val="1"/>
    <w:next w:val="1"/>
    <w:uiPriority w:val="0"/>
    <w:pPr>
      <w:ind w:left="2500" w:leftChars="2500"/>
    </w:pPr>
  </w:style>
  <w:style w:type="paragraph" w:styleId="8">
    <w:name w:val="Balloon Text"/>
    <w:basedOn w:val="1"/>
    <w:link w:val="17"/>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eastAsia="宋体" w:cs="宋体"/>
      <w:kern w:val="0"/>
      <w:sz w:val="24"/>
      <w:szCs w:val="24"/>
      <w:lang w:bidi="ar-SA"/>
    </w:rPr>
  </w:style>
  <w:style w:type="paragraph" w:styleId="12">
    <w:name w:val="Body Text First Indent 2"/>
    <w:basedOn w:val="6"/>
    <w:uiPriority w:val="0"/>
    <w:pPr>
      <w:ind w:firstLine="200" w:firstLineChars="200"/>
    </w:pPr>
  </w:style>
  <w:style w:type="character" w:styleId="15">
    <w:name w:val="FollowedHyperlink"/>
    <w:qFormat/>
    <w:uiPriority w:val="0"/>
    <w:rPr>
      <w:color w:val="000000"/>
      <w:sz w:val="18"/>
      <w:szCs w:val="18"/>
      <w:u w:val="none"/>
    </w:rPr>
  </w:style>
  <w:style w:type="character" w:styleId="16">
    <w:name w:val="Hyperlink"/>
    <w:uiPriority w:val="0"/>
    <w:rPr>
      <w:color w:val="000000"/>
      <w:sz w:val="18"/>
      <w:szCs w:val="18"/>
      <w:u w:val="none"/>
    </w:rPr>
  </w:style>
  <w:style w:type="character" w:customStyle="1" w:styleId="17">
    <w:name w:val="批注框文本 Char"/>
    <w:link w:val="8"/>
    <w:uiPriority w:val="0"/>
    <w:rPr>
      <w:rFonts w:eastAsia="仿宋体"/>
      <w:kern w:val="2"/>
      <w:sz w:val="18"/>
      <w:szCs w:val="18"/>
    </w:rPr>
  </w:style>
  <w:style w:type="paragraph" w:customStyle="1" w:styleId="18">
    <w:name w:val="Default"/>
    <w:uiPriority w:val="0"/>
    <w:pPr>
      <w:widowControl w:val="0"/>
      <w:autoSpaceDE w:val="0"/>
      <w:autoSpaceDN w:val="0"/>
      <w:adjustRightInd w:val="0"/>
    </w:pPr>
    <w:rPr>
      <w:rFonts w:ascii="方正小标宋_GBK" w:hAnsi="Times New Roman" w:eastAsia="方正小标宋_GBK" w:cs="Times New Roman"/>
      <w:color w:val="000000"/>
      <w:sz w:val="24"/>
      <w:szCs w:val="22"/>
      <w:lang w:val="en-US" w:eastAsia="zh-CN" w:bidi="ar-SA"/>
    </w:rPr>
  </w:style>
  <w:style w:type="paragraph" w:customStyle="1" w:styleId="19">
    <w:name w:val="15公文正文"/>
    <w:basedOn w:val="1"/>
    <w:uiPriority w:val="0"/>
    <w:pPr>
      <w:snapToGrid w:val="0"/>
      <w:spacing w:line="600" w:lineRule="exact"/>
      <w:ind w:firstLine="200" w:firstLineChars="200"/>
    </w:pPr>
    <w:rPr>
      <w:rFonts w:ascii="仿宋_GB2312" w:hAnsi="仿宋_GB2312" w:eastAsia="方正仿宋_GBK"/>
      <w:szCs w:val="21"/>
    </w:rPr>
  </w:style>
  <w:style w:type="paragraph" w:customStyle="1" w:styleId="20">
    <w:name w:val="段"/>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NormalCharacter"/>
    <w:uiPriority w:val="0"/>
    <w:rPr>
      <w:rFonts w:ascii="Calibri" w:hAnsi="Calibri" w:eastAsia="宋体" w:cs="Times New Roman"/>
      <w:lang w:bidi="ar-SA"/>
    </w:rPr>
  </w:style>
  <w:style w:type="character" w:customStyle="1" w:styleId="22">
    <w:name w:val="12公文正文标题2 Char"/>
    <w:qFormat/>
    <w:uiPriority w:val="0"/>
    <w:rPr>
      <w:rFonts w:ascii="方正楷体_GBK" w:eastAsia="方正楷体_GBK" w:cs="方正楷体_GBK"/>
      <w:kern w:val="0"/>
      <w:sz w:val="32"/>
      <w:szCs w:val="32"/>
      <w:lang w:bidi="ar-SA"/>
    </w:rPr>
  </w:style>
  <w:style w:type="character" w:customStyle="1" w:styleId="23">
    <w:name w:val="15公文正文 Char"/>
    <w:uiPriority w:val="0"/>
    <w:rPr>
      <w:rFonts w:ascii="Times New Roman" w:hAnsi="Times New Roman" w:eastAsia="方正仿宋_GBK" w:cs="Times New Roman"/>
      <w:kern w:val="0"/>
      <w:sz w:val="32"/>
      <w:szCs w:val="32"/>
      <w:lang w:bidi="ar-SA"/>
    </w:rPr>
  </w:style>
  <w:style w:type="paragraph" w:customStyle="1" w:styleId="24">
    <w:name w:val="00公文标题"/>
    <w:basedOn w:val="1"/>
    <w:uiPriority w:val="0"/>
    <w:pPr>
      <w:snapToGrid w:val="0"/>
      <w:spacing w:line="600" w:lineRule="exact"/>
      <w:jc w:val="center"/>
    </w:pPr>
    <w:rPr>
      <w:rFonts w:ascii="方正小标宋_GBK" w:eastAsia="方正小标宋_GBK" w:cs="宋体"/>
      <w:sz w:val="44"/>
      <w:szCs w:val="44"/>
      <w:lang w:bidi="ar-SA"/>
    </w:rPr>
  </w:style>
  <w:style w:type="paragraph" w:customStyle="1" w:styleId="25">
    <w:name w:val="23表格字体"/>
    <w:basedOn w:val="1"/>
    <w:uiPriority w:val="0"/>
    <w:pPr>
      <w:jc w:val="center"/>
    </w:pPr>
    <w:rPr>
      <w:rFonts w:eastAsia="宋体"/>
      <w:sz w:val="24"/>
      <w:szCs w:val="24"/>
    </w:rPr>
  </w:style>
  <w:style w:type="paragraph" w:customStyle="1" w:styleId="26">
    <w:name w:val="_Style 19"/>
    <w:basedOn w:val="6"/>
    <w:next w:val="12"/>
    <w:uiPriority w:val="0"/>
    <w:pPr>
      <w:spacing w:after="0"/>
      <w:ind w:left="0" w:leftChars="0" w:firstLine="200" w:firstLineChars="200"/>
    </w:pPr>
    <w:rPr>
      <w:rFonts w:cs="Times New Roman"/>
      <w:lang w:bidi="ar-SA"/>
    </w:rPr>
  </w:style>
  <w:style w:type="paragraph" w:customStyle="1" w:styleId="27">
    <w:name w:val="二级标题"/>
    <w:basedOn w:val="1"/>
    <w:link w:val="28"/>
    <w:uiPriority w:val="0"/>
    <w:rPr>
      <w:rFonts w:ascii="等线" w:hAnsi="等线" w:eastAsia="方正楷体_GBK"/>
      <w:kern w:val="0"/>
      <w:sz w:val="20"/>
      <w:szCs w:val="20"/>
    </w:rPr>
  </w:style>
  <w:style w:type="character" w:customStyle="1" w:styleId="28">
    <w:name w:val="二级标题 Char"/>
    <w:link w:val="27"/>
    <w:uiPriority w:val="0"/>
    <w:rPr>
      <w:rFonts w:ascii="等线" w:hAnsi="等线" w:eastAsia="方正楷体_GBK" w:cs="Times New Roman"/>
      <w:kern w:val="0"/>
      <w:sz w:val="20"/>
      <w:szCs w:val="20"/>
    </w:rPr>
  </w:style>
  <w:style w:type="paragraph" w:customStyle="1" w:styleId="29">
    <w:name w:val="正文-公1"/>
    <w:basedOn w:val="1"/>
    <w:next w:val="1"/>
    <w:uiPriority w:val="0"/>
    <w:pPr>
      <w:ind w:firstLine="200" w:firstLineChars="200"/>
    </w:pPr>
    <w:rPr>
      <w:rFonts w:cs="Calibri"/>
      <w:color w:val="000000"/>
      <w:szCs w:val="21"/>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2849</Words>
  <Characters>2881</Characters>
  <Lines>42</Lines>
  <Paragraphs>11</Paragraphs>
  <TotalTime>10</TotalTime>
  <ScaleCrop>false</ScaleCrop>
  <LinksUpToDate>false</LinksUpToDate>
  <CharactersWithSpaces>2923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2024-10-20T23:35:00Z</dcterms:created>
  <dc:creator>Xiong Yukun</dc:creator>
  <cp:lastModifiedBy>智力障碍患者</cp:lastModifiedBy>
  <cp:lastPrinted>2024-10-25T02:36:00Z</cp:lastPrinted>
  <dcterms:modified xsi:type="dcterms:W3CDTF">2024-11-25T02:20:02Z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2052-12.1.0.18608</vt:lpwstr>
  </property>
  <property fmtid="{D5CDD505-2E9C-101B-9397-08002B2CF9AE}" pid="3" name="KSOProductBuildVer">
    <vt:lpwstr>2052-12.1.0.18608</vt:lpwstr>
  </property>
  <property fmtid="{D5CDD505-2E9C-101B-9397-08002B2CF9AE}" pid="4" name="ICV">
    <vt:lpwstr>93DA271A8B2847868B7EEF1B5DF7C572_13</vt:lpwstr>
  </property>
</Properties>
</file>