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D77ED">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rPr>
      </w:pPr>
    </w:p>
    <w:p w14:paraId="3DE18DFE">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lang w:val="en-US" w:eastAsia="zh-CN"/>
        </w:rPr>
      </w:pPr>
    </w:p>
    <w:p w14:paraId="0D00A872">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kern w:val="2"/>
          <w:sz w:val="44"/>
          <w:szCs w:val="44"/>
          <w:lang w:val="en-US" w:eastAsia="zh-CN"/>
        </w:rPr>
      </w:pPr>
      <w:r>
        <w:rPr>
          <w:rFonts w:hint="default" w:ascii="方正小标宋_GBK" w:hAnsi="方正小标宋_GBK" w:eastAsia="方正小标宋_GBK" w:cs="方正小标宋_GBK"/>
          <w:kern w:val="2"/>
          <w:sz w:val="44"/>
          <w:szCs w:val="44"/>
          <w:lang w:val="en-US" w:eastAsia="zh-CN"/>
        </w:rPr>
        <w:t>怀远县人民政府</w:t>
      </w:r>
    </w:p>
    <w:p w14:paraId="05776481">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kern w:val="2"/>
          <w:sz w:val="44"/>
          <w:szCs w:val="44"/>
          <w:lang w:val="en-US" w:eastAsia="zh-CN"/>
        </w:rPr>
      </w:pPr>
      <w:r>
        <w:rPr>
          <w:rFonts w:hint="eastAsia" w:ascii="方正小标宋_GBK" w:hAnsi="方正小标宋_GBK" w:eastAsia="方正小标宋_GBK" w:cs="方正小标宋_GBK"/>
          <w:kern w:val="2"/>
          <w:sz w:val="44"/>
          <w:szCs w:val="44"/>
          <w:lang w:val="en-US" w:eastAsia="zh-CN"/>
        </w:rPr>
        <w:t>关于印发怀远县畜禽养殖禁养区划定方案的</w:t>
      </w:r>
    </w:p>
    <w:p w14:paraId="76722240">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kern w:val="2"/>
          <w:sz w:val="44"/>
          <w:szCs w:val="44"/>
          <w:lang w:val="en-US" w:eastAsia="zh-CN"/>
        </w:rPr>
      </w:pPr>
      <w:r>
        <w:rPr>
          <w:rFonts w:hint="eastAsia" w:ascii="方正小标宋_GBK" w:hAnsi="方正小标宋_GBK" w:eastAsia="方正小标宋_GBK" w:cs="方正小标宋_GBK"/>
          <w:kern w:val="2"/>
          <w:sz w:val="44"/>
          <w:szCs w:val="44"/>
          <w:lang w:val="en-US" w:eastAsia="zh-CN"/>
        </w:rPr>
        <w:t>通  知</w:t>
      </w:r>
    </w:p>
    <w:p w14:paraId="6B1C5EF3">
      <w:pPr>
        <w:widowControl w:val="0"/>
        <w:adjustRightInd/>
        <w:snapToGrid/>
        <w:spacing w:before="0" w:after="0" w:line="590" w:lineRule="exact"/>
        <w:ind w:left="0" w:leftChars="0" w:firstLine="0" w:firstLine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怀政〔201</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26</w:t>
      </w:r>
      <w:r>
        <w:rPr>
          <w:rFonts w:hint="default" w:ascii="Times New Roman" w:hAnsi="Times New Roman" w:eastAsia="方正仿宋_GBK" w:cs="Times New Roman"/>
          <w:sz w:val="32"/>
          <w:szCs w:val="32"/>
        </w:rPr>
        <w:t>号</w:t>
      </w:r>
    </w:p>
    <w:p w14:paraId="398D6B0C">
      <w:pPr>
        <w:widowControl w:val="0"/>
        <w:wordWrap/>
        <w:adjustRightInd/>
        <w:snapToGrid/>
        <w:spacing w:before="0" w:after="0" w:line="590" w:lineRule="exact"/>
        <w:ind w:left="0" w:leftChars="0"/>
        <w:jc w:val="left"/>
        <w:textAlignment w:val="auto"/>
        <w:outlineLvl w:val="9"/>
        <w:rPr>
          <w:rFonts w:hint="default" w:ascii="Times New Roman" w:hAnsi="Times New Roman" w:eastAsia="方正仿宋_GBK" w:cs="Times New Roman"/>
          <w:kern w:val="2"/>
          <w:sz w:val="32"/>
          <w:szCs w:val="32"/>
          <w:lang w:val="en-US" w:eastAsia="zh-CN"/>
        </w:rPr>
      </w:pPr>
    </w:p>
    <w:p w14:paraId="58C78CF9">
      <w:pPr>
        <w:widowControl w:val="0"/>
        <w:wordWrap/>
        <w:adjustRightInd/>
        <w:snapToGrid/>
        <w:spacing w:before="0" w:after="0" w:line="590" w:lineRule="exact"/>
        <w:ind w:left="0" w:leftChars="0" w:firstLine="0" w:firstLineChars="0"/>
        <w:jc w:val="both"/>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各乡、镇人民政府，县政府各部门、各直属机构：</w:t>
      </w:r>
    </w:p>
    <w:p w14:paraId="1F14E31A">
      <w:pPr>
        <w:widowControl w:val="0"/>
        <w:wordWrap/>
        <w:adjustRightInd/>
        <w:snapToGrid/>
        <w:spacing w:before="0" w:after="0" w:line="590" w:lineRule="exact"/>
        <w:ind w:left="0" w:leftChars="0" w:firstLine="640" w:firstLineChars="200"/>
        <w:jc w:val="both"/>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经县政府研究，现将《怀远县畜禽养殖禁养区划定方案》印发给你们，请认真贯彻执行，原《怀远县人民政府关于印发畜禽养殖禁养区划定方案的通知》（怀政〔2016〕24号）同时废止。</w:t>
      </w:r>
    </w:p>
    <w:p w14:paraId="3FC076F6">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p>
    <w:p w14:paraId="0831B7B5">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p>
    <w:p w14:paraId="21398ED9">
      <w:pPr>
        <w:widowControl w:val="0"/>
        <w:wordWrap w:val="0"/>
        <w:adjustRightInd/>
        <w:snapToGrid/>
        <w:spacing w:before="0" w:beforeAutospacing="0" w:after="0" w:afterAutospacing="0" w:line="590" w:lineRule="exact"/>
        <w:ind w:left="0" w:leftChars="0" w:right="420" w:rightChars="200" w:firstLine="0" w:firstLineChars="0"/>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怀远县人民政府</w:t>
      </w:r>
    </w:p>
    <w:p w14:paraId="1ABEA12F">
      <w:pPr>
        <w:keepNext w:val="0"/>
        <w:keepLines w:val="0"/>
        <w:pageBreakBefore w:val="0"/>
        <w:widowControl w:val="0"/>
        <w:kinsoku/>
        <w:wordWrap w:val="0"/>
        <w:overflowPunct/>
        <w:topLinePunct w:val="0"/>
        <w:autoSpaceDE/>
        <w:autoSpaceDN/>
        <w:bidi w:val="0"/>
        <w:adjustRightInd/>
        <w:snapToGrid/>
        <w:spacing w:before="0" w:beforeAutospacing="0" w:after="0" w:afterAutospacing="0" w:line="590" w:lineRule="exact"/>
        <w:ind w:left="0" w:leftChars="0" w:right="0" w:firstLine="4675" w:firstLineChars="1461"/>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w:t>
      </w:r>
      <w:r>
        <w:rPr>
          <w:rFonts w:hint="eastAsia" w:ascii="Times New Roman" w:hAnsi="Times New Roman" w:eastAsia="方正仿宋_GBK" w:cs="Times New Roman"/>
          <w:kern w:val="0"/>
          <w:sz w:val="32"/>
          <w:szCs w:val="32"/>
          <w:shd w:val="clear" w:color="auto" w:fill="FFFFFF"/>
          <w:lang w:val="en-US" w:eastAsia="zh-CN" w:bidi="ar-SA"/>
        </w:rPr>
        <w:t>19</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11</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8</w:t>
      </w:r>
      <w:r>
        <w:rPr>
          <w:rFonts w:hint="default" w:ascii="Times New Roman" w:hAnsi="Times New Roman" w:eastAsia="方正仿宋_GBK" w:cs="Times New Roman"/>
          <w:kern w:val="0"/>
          <w:sz w:val="32"/>
          <w:szCs w:val="32"/>
          <w:shd w:val="clear" w:color="auto" w:fill="FFFFFF"/>
          <w:lang w:val="en-US" w:eastAsia="zh-CN" w:bidi="ar-SA"/>
        </w:rPr>
        <w:t>日</w:t>
      </w:r>
      <w:bookmarkStart w:id="0" w:name="_GoBack"/>
      <w:bookmarkEnd w:id="0"/>
      <w:r>
        <w:rPr>
          <w:rFonts w:hint="eastAsia" w:ascii="Times New Roman" w:hAnsi="Times New Roman" w:eastAsia="方正仿宋_GBK" w:cs="Times New Roman"/>
          <w:kern w:val="0"/>
          <w:sz w:val="32"/>
          <w:szCs w:val="32"/>
          <w:shd w:val="clear" w:color="auto" w:fill="FFFFFF"/>
          <w:lang w:val="en-US" w:eastAsia="zh-CN" w:bidi="ar-SA"/>
        </w:rPr>
        <w:t xml:space="preserve">  </w:t>
      </w:r>
    </w:p>
    <w:p w14:paraId="77898133">
      <w:pPr>
        <w:widowControl w:val="0"/>
        <w:adjustRightInd/>
        <w:snapToGri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31D897B7">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p>
    <w:p w14:paraId="57ECD290">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p>
    <w:p w14:paraId="3A992AA2">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p>
    <w:p w14:paraId="513F5DB8">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kern w:val="2"/>
          <w:sz w:val="44"/>
          <w:szCs w:val="44"/>
          <w:lang w:val="en-US" w:eastAsia="zh-CN"/>
        </w:rPr>
      </w:pPr>
    </w:p>
    <w:p w14:paraId="6EF8C523">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kern w:val="2"/>
          <w:sz w:val="44"/>
          <w:szCs w:val="44"/>
          <w:lang w:val="en-US" w:eastAsia="zh-CN"/>
        </w:rPr>
      </w:pPr>
    </w:p>
    <w:p w14:paraId="2CAC70D4">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kern w:val="2"/>
          <w:sz w:val="44"/>
          <w:szCs w:val="44"/>
          <w:lang w:val="en-US" w:eastAsia="zh-CN"/>
        </w:rPr>
      </w:pPr>
      <w:r>
        <w:rPr>
          <w:rFonts w:hint="default" w:ascii="方正小标宋_GBK" w:hAnsi="方正小标宋_GBK" w:eastAsia="方正小标宋_GBK" w:cs="方正小标宋_GBK"/>
          <w:kern w:val="2"/>
          <w:sz w:val="44"/>
          <w:szCs w:val="44"/>
          <w:lang w:val="en-US" w:eastAsia="zh-CN"/>
        </w:rPr>
        <w:t>怀远县畜禽养殖禁养区划定方案</w:t>
      </w:r>
    </w:p>
    <w:p w14:paraId="5B3B4C93">
      <w:pPr>
        <w:widowControl w:val="0"/>
        <w:wordWrap/>
        <w:adjustRightInd/>
        <w:snapToGrid/>
        <w:spacing w:before="0" w:after="0" w:line="590" w:lineRule="exact"/>
        <w:ind w:left="0" w:leftChars="0" w:firstLine="880" w:firstLineChars="200"/>
        <w:textAlignment w:val="auto"/>
        <w:outlineLvl w:val="9"/>
        <w:rPr>
          <w:rFonts w:hint="default" w:ascii="Times New Roman" w:hAnsi="Times New Roman" w:eastAsia="方正仿宋_GBK" w:cs="Times New Roman"/>
          <w:kern w:val="2"/>
          <w:sz w:val="44"/>
          <w:szCs w:val="44"/>
          <w:lang w:val="en-US" w:eastAsia="zh-CN"/>
        </w:rPr>
      </w:pPr>
    </w:p>
    <w:p w14:paraId="33AF2173">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为优化畜禽养殖场点规划布局，促进怀远县畜禽养殖业持续健康发展，保障群众生产生活条件，根据国家及地方相关法律法规，结合我县实际，制定本方案。</w:t>
      </w:r>
    </w:p>
    <w:p w14:paraId="2F2C0B3E">
      <w:pPr>
        <w:widowControl w:val="0"/>
        <w:wordWrap/>
        <w:adjustRightInd/>
        <w:snapToGrid/>
        <w:spacing w:before="0" w:after="0" w:line="590" w:lineRule="exact"/>
        <w:ind w:left="0" w:leftChars="0" w:firstLine="640" w:firstLineChars="200"/>
        <w:textAlignment w:val="auto"/>
        <w:outlineLvl w:val="9"/>
        <w:rPr>
          <w:rFonts w:hint="eastAsia" w:ascii="方正黑体_GBK" w:hAnsi="方正黑体_GBK" w:eastAsia="方正黑体_GBK" w:cs="方正黑体_GBK"/>
          <w:kern w:val="2"/>
          <w:sz w:val="32"/>
          <w:szCs w:val="32"/>
          <w:lang w:val="en-US" w:eastAsia="zh-CN"/>
        </w:rPr>
      </w:pPr>
      <w:r>
        <w:rPr>
          <w:rFonts w:hint="eastAsia" w:ascii="方正黑体_GBK" w:hAnsi="方正黑体_GBK" w:eastAsia="方正黑体_GBK" w:cs="方正黑体_GBK"/>
          <w:kern w:val="2"/>
          <w:sz w:val="32"/>
          <w:szCs w:val="32"/>
          <w:lang w:val="en-US" w:eastAsia="zh-CN"/>
        </w:rPr>
        <w:t>一、指导思想</w:t>
      </w:r>
    </w:p>
    <w:p w14:paraId="5979B8B7">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以习近平新时代中国特色社会主义思想为指导，以国家和地方环境保护法律、法规为依据，以畜禽养殖业可持续发展和改善农村生态环境质量为目标，结合我县生态保护与建设要求，调整优化全县畜禽养殖业的生产布局，开展畜禽养殖污染综合防治，实现畜禽养殖废弃物减量化、无害化、资源化和生态化，促进畜牧业生产与生态环境全面协调发展。</w:t>
      </w:r>
    </w:p>
    <w:p w14:paraId="6BFDF025">
      <w:pPr>
        <w:widowControl w:val="0"/>
        <w:wordWrap/>
        <w:adjustRightInd/>
        <w:snapToGrid/>
        <w:spacing w:before="0" w:after="0" w:line="590" w:lineRule="exact"/>
        <w:ind w:left="0" w:leftChars="0" w:firstLine="640" w:firstLineChars="200"/>
        <w:textAlignment w:val="auto"/>
        <w:outlineLvl w:val="9"/>
        <w:rPr>
          <w:rFonts w:hint="default" w:ascii="方正黑体_GBK" w:hAnsi="方正黑体_GBK" w:eastAsia="方正黑体_GBK" w:cs="方正黑体_GBK"/>
          <w:kern w:val="2"/>
          <w:sz w:val="32"/>
          <w:szCs w:val="32"/>
          <w:lang w:val="en-US" w:eastAsia="zh-CN"/>
        </w:rPr>
      </w:pPr>
      <w:r>
        <w:rPr>
          <w:rFonts w:hint="default" w:ascii="方正黑体_GBK" w:hAnsi="方正黑体_GBK" w:eastAsia="方正黑体_GBK" w:cs="方正黑体_GBK"/>
          <w:kern w:val="2"/>
          <w:sz w:val="32"/>
          <w:szCs w:val="32"/>
          <w:lang w:val="en-US" w:eastAsia="zh-CN"/>
        </w:rPr>
        <w:t>二、划定原则</w:t>
      </w:r>
    </w:p>
    <w:p w14:paraId="105F0053">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（一）生态环境保护与畜禽养殖业健康协调发展的原则；</w:t>
      </w:r>
    </w:p>
    <w:p w14:paraId="30F1714F">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（二）畜禽养殖规模与环境资源承载能力相适应的原则；</w:t>
      </w:r>
    </w:p>
    <w:p w14:paraId="23319A15">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（三）生态环境和经济现状与发展规划相结合的原则；</w:t>
      </w:r>
    </w:p>
    <w:p w14:paraId="2AD99FCD">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（四）符合动物防疫条件的原则；</w:t>
      </w:r>
    </w:p>
    <w:p w14:paraId="0940CB90">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（五）突出重点和可持续性原则。</w:t>
      </w:r>
    </w:p>
    <w:p w14:paraId="1404BAC3">
      <w:pPr>
        <w:widowControl w:val="0"/>
        <w:wordWrap/>
        <w:adjustRightInd/>
        <w:snapToGrid/>
        <w:spacing w:before="0" w:after="0" w:line="590" w:lineRule="exact"/>
        <w:ind w:left="0" w:leftChars="0" w:firstLine="640" w:firstLineChars="200"/>
        <w:textAlignment w:val="auto"/>
        <w:outlineLvl w:val="9"/>
        <w:rPr>
          <w:rFonts w:hint="default" w:ascii="方正黑体_GBK" w:hAnsi="方正黑体_GBK" w:eastAsia="方正黑体_GBK" w:cs="方正黑体_GBK"/>
          <w:kern w:val="2"/>
          <w:sz w:val="32"/>
          <w:szCs w:val="32"/>
          <w:lang w:val="en-US" w:eastAsia="zh-CN"/>
        </w:rPr>
      </w:pPr>
      <w:r>
        <w:rPr>
          <w:rFonts w:hint="default" w:ascii="方正黑体_GBK" w:hAnsi="方正黑体_GBK" w:eastAsia="方正黑体_GBK" w:cs="方正黑体_GBK"/>
          <w:kern w:val="2"/>
          <w:sz w:val="32"/>
          <w:szCs w:val="32"/>
          <w:lang w:val="en-US" w:eastAsia="zh-CN"/>
        </w:rPr>
        <w:t>三、划定依据</w:t>
      </w:r>
    </w:p>
    <w:p w14:paraId="61547CE5">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中华人民共和国环境保护法》《中华人民共和国水污染防治法》《中华人民共和国畜牧法》《中华人民共和国动物防疫法》《中华人民共和国城乡规划法》《畜禽规模养殖污染防治条例》以及其他有关法律、法规。</w:t>
      </w:r>
    </w:p>
    <w:p w14:paraId="0C0B3288">
      <w:pPr>
        <w:widowControl w:val="0"/>
        <w:wordWrap/>
        <w:adjustRightInd/>
        <w:snapToGrid/>
        <w:spacing w:before="0" w:after="0" w:line="590" w:lineRule="exact"/>
        <w:ind w:left="0" w:leftChars="0" w:firstLine="640" w:firstLineChars="200"/>
        <w:textAlignment w:val="auto"/>
        <w:outlineLvl w:val="9"/>
        <w:rPr>
          <w:rFonts w:hint="default" w:ascii="方正黑体_GBK" w:hAnsi="方正黑体_GBK" w:eastAsia="方正黑体_GBK" w:cs="方正黑体_GBK"/>
          <w:kern w:val="2"/>
          <w:sz w:val="32"/>
          <w:szCs w:val="32"/>
          <w:lang w:val="en-US" w:eastAsia="zh-CN"/>
        </w:rPr>
      </w:pPr>
      <w:r>
        <w:rPr>
          <w:rFonts w:hint="default" w:ascii="方正黑体_GBK" w:hAnsi="方正黑体_GBK" w:eastAsia="方正黑体_GBK" w:cs="方正黑体_GBK"/>
          <w:kern w:val="2"/>
          <w:sz w:val="32"/>
          <w:szCs w:val="32"/>
          <w:lang w:val="en-US" w:eastAsia="zh-CN"/>
        </w:rPr>
        <w:t>四、禁养区范围</w:t>
      </w:r>
    </w:p>
    <w:p w14:paraId="1A46C6C2">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（一）怀远县城市建成区。</w:t>
      </w:r>
    </w:p>
    <w:p w14:paraId="117D67F9">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二）乡镇政府驻地建成区：包括包集镇、白莲坡镇、龙亢镇、常坟镇、双桥集镇、褚集镇、淝河乡、古城镇、万福镇、淝南镇、兰桥乡、徐圩乡、魏庄镇、唐集镇、陈集镇、河溜镇等十六个乡镇政府驻地建成区。</w:t>
      </w:r>
    </w:p>
    <w:p w14:paraId="48A0805B">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（三）怀远县四方湖市级湿地自然保护区核心区、缓冲区。</w:t>
      </w:r>
    </w:p>
    <w:p w14:paraId="394E546A">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（四）怀远县白乳泉风景名胜区。</w:t>
      </w:r>
    </w:p>
    <w:p w14:paraId="5DF7A2EA">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（五）饮用水水源保护区，包括：</w:t>
      </w:r>
    </w:p>
    <w:p w14:paraId="09208AC8">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1. 怀远县一水厂、新城区自来水厂、怀远县三水厂饮用水水源保护区；</w:t>
      </w:r>
    </w:p>
    <w:p w14:paraId="79A540ED">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2. 怀远县包集镇、白莲坡镇、龙亢镇、常坟镇、双桥集镇、褚集镇、淝河乡、古城镇、万福镇、淝南镇、兰桥乡、徐圩乡、魏庄镇、唐集镇、陈集镇、河溜镇等十六个乡镇的饮用水水源保护区。</w:t>
      </w:r>
    </w:p>
    <w:p w14:paraId="4A5F1C52">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3. 在饮用水水源二级保护区内实现粪污全量资源化不排污的养殖场不列为禁止对象。本方案公布后经批准新建、调整的饮用水水源保护区，同步纳入禁养区进行管理。</w:t>
      </w:r>
    </w:p>
    <w:p w14:paraId="6C5D20BE">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（六）其他法律、法规规定禁止从事畜禽养殖的区域。</w:t>
      </w:r>
    </w:p>
    <w:p w14:paraId="7E651C48">
      <w:pPr>
        <w:widowControl w:val="0"/>
        <w:wordWrap/>
        <w:adjustRightInd/>
        <w:snapToGrid/>
        <w:spacing w:before="0" w:after="0" w:line="590" w:lineRule="exact"/>
        <w:ind w:left="0" w:leftChars="0" w:firstLine="640" w:firstLineChars="200"/>
        <w:textAlignment w:val="auto"/>
        <w:outlineLvl w:val="9"/>
        <w:rPr>
          <w:rFonts w:hint="default" w:ascii="方正黑体_GBK" w:hAnsi="方正黑体_GBK" w:eastAsia="方正黑体_GBK" w:cs="方正黑体_GBK"/>
          <w:kern w:val="2"/>
          <w:sz w:val="32"/>
          <w:szCs w:val="32"/>
          <w:lang w:val="en-US" w:eastAsia="zh-CN"/>
        </w:rPr>
      </w:pPr>
      <w:r>
        <w:rPr>
          <w:rFonts w:hint="default" w:ascii="方正黑体_GBK" w:hAnsi="方正黑体_GBK" w:eastAsia="方正黑体_GBK" w:cs="方正黑体_GBK"/>
          <w:kern w:val="2"/>
          <w:sz w:val="32"/>
          <w:szCs w:val="32"/>
          <w:lang w:val="en-US" w:eastAsia="zh-CN"/>
        </w:rPr>
        <w:t>五、禁养品种、规模标准</w:t>
      </w:r>
    </w:p>
    <w:p w14:paraId="74914C7E">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本方案所称禁养畜禽，是指国家畜牧兽医行政主管部门依据《中华人民共和国畜牧法》第十一条规定公布的畜禽遗传资源目录品种，包括猪、牛、羊、马、驴、驼、兔、犬、鸡、鸭、鹅、鸽、鹌鹑等类。</w:t>
      </w:r>
    </w:p>
    <w:p w14:paraId="0CA493F4">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本方案所称禁止设立的规模化养殖场是指规模为生猪≥500头（年出栏）、奶牛≥100头（存栏）、肉牛≥200头（年出栏）、肉羊≥500只（年出栏）、蛋鸡≥20000羽（存栏）、肉鸡≥50000羽（年出栏）的养殖场；禁止设立的养殖专业户是指畜禽饲养数量达到一定数量的养殖户，存栏或出栏规模如下：生猪≥50头（年出栏）、奶牛≥5头（存栏）、肉牛≥10头（年出栏）、肉羊≥50只（年出栏）、蛋鸡≥500羽（存栏）、肉鸡≥2000羽（年出栏）。以及按《畜禽养殖业污染物排放标准》折算后达到规定规模标准的其他类型的畜禽养殖场。</w:t>
      </w:r>
    </w:p>
    <w:p w14:paraId="4D55D4AB">
      <w:pPr>
        <w:widowControl w:val="0"/>
        <w:wordWrap/>
        <w:adjustRightInd/>
        <w:snapToGrid/>
        <w:spacing w:before="0" w:after="0" w:line="590" w:lineRule="exact"/>
        <w:ind w:left="0" w:leftChars="0" w:firstLine="640" w:firstLineChars="200"/>
        <w:textAlignment w:val="auto"/>
        <w:outlineLvl w:val="9"/>
        <w:rPr>
          <w:rFonts w:hint="default" w:ascii="方正黑体_GBK" w:hAnsi="方正黑体_GBK" w:eastAsia="方正黑体_GBK" w:cs="方正黑体_GBK"/>
          <w:kern w:val="2"/>
          <w:sz w:val="32"/>
          <w:szCs w:val="32"/>
          <w:lang w:val="en-US" w:eastAsia="zh-CN"/>
        </w:rPr>
      </w:pPr>
      <w:r>
        <w:rPr>
          <w:rFonts w:hint="default" w:ascii="方正黑体_GBK" w:hAnsi="方正黑体_GBK" w:eastAsia="方正黑体_GBK" w:cs="方正黑体_GBK"/>
          <w:kern w:val="2"/>
          <w:sz w:val="32"/>
          <w:szCs w:val="32"/>
          <w:lang w:val="en-US" w:eastAsia="zh-CN"/>
        </w:rPr>
        <w:t>六、工作要求</w:t>
      </w:r>
    </w:p>
    <w:p w14:paraId="7A80FB2B">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（一）各乡镇应严格按照本方案，结合本辖区发展规划，科学谋划、合理布局，把好畜禽规模养殖发展关，并按照属地管理原则，负责做好禁养区内现有畜禽养殖场的有序关停、搬迁和污染治理工作。</w:t>
      </w:r>
    </w:p>
    <w:p w14:paraId="55D0C4C9">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kern w:val="2"/>
          <w:sz w:val="32"/>
          <w:szCs w:val="32"/>
          <w:lang w:val="en-US" w:eastAsia="zh-CN"/>
        </w:rPr>
        <w:t>（二）县发改、生态环境、农业、自然资源和规划等部门在规划、立项、审批畜禽养殖项目时，应根据本方案要求严格审批程序，切实推进全县畜禽养殖业可持续健康发展。　</w:t>
      </w:r>
    </w:p>
    <w:p w14:paraId="1CC19084">
      <w:pPr>
        <w:widowControl w:val="0"/>
        <w:wordWrap/>
        <w:adjustRightInd/>
        <w:snapToGrid/>
        <w:spacing w:before="0" w:after="0" w:line="590" w:lineRule="exact"/>
        <w:ind w:left="0" w:leftChars="0" w:firstLine="640" w:firstLineChars="200"/>
        <w:textAlignment w:val="auto"/>
        <w:outlineLvl w:val="9"/>
        <w:rPr>
          <w:rFonts w:hint="default" w:ascii="方正黑体_GBK" w:hAnsi="方正黑体_GBK" w:eastAsia="方正黑体_GBK" w:cs="方正黑体_GBK"/>
          <w:kern w:val="2"/>
          <w:sz w:val="32"/>
          <w:szCs w:val="32"/>
          <w:lang w:val="en-US" w:eastAsia="zh-CN"/>
        </w:rPr>
      </w:pPr>
      <w:r>
        <w:rPr>
          <w:rFonts w:hint="default" w:ascii="方正黑体_GBK" w:hAnsi="方正黑体_GBK" w:eastAsia="方正黑体_GBK" w:cs="方正黑体_GBK"/>
          <w:kern w:val="2"/>
          <w:sz w:val="32"/>
          <w:szCs w:val="32"/>
          <w:lang w:val="en-US" w:eastAsia="zh-CN"/>
        </w:rPr>
        <w:t>七、保障措施</w:t>
      </w:r>
    </w:p>
    <w:p w14:paraId="238B046F">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eastAsia" w:ascii="方正楷体_GBK" w:hAnsi="方正楷体_GBK" w:eastAsia="方正楷体_GBK" w:cs="方正楷体_GBK"/>
          <w:kern w:val="2"/>
          <w:sz w:val="32"/>
          <w:szCs w:val="32"/>
          <w:lang w:val="en-US" w:eastAsia="zh-CN"/>
        </w:rPr>
        <w:t>（一）加强领导。</w:t>
      </w:r>
      <w:r>
        <w:rPr>
          <w:rFonts w:hint="default" w:ascii="Times New Roman" w:hAnsi="Times New Roman" w:eastAsia="方正仿宋_GBK" w:cs="Times New Roman"/>
          <w:kern w:val="2"/>
          <w:sz w:val="32"/>
          <w:szCs w:val="32"/>
          <w:lang w:val="en-US" w:eastAsia="zh-CN"/>
        </w:rPr>
        <w:t>调整县规范畜禽养殖工作领导小组，由县政府分管领导任组长，县政府办、县发展改革委、县公安局、县财政局、县生态环境局、县农业农村局、县自然资源和规划局、县住房城乡建设局、县市场监管局、县文化和旅游局等单位主要负责同志为成员，领导小组办公室设在县农业农村局。各乡镇也要成立相应组织，尽快制定工作方案，做到统一规划，加快推进。</w:t>
      </w:r>
    </w:p>
    <w:p w14:paraId="7BDF64A1">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方正楷体_GBK" w:hAnsi="方正楷体_GBK" w:eastAsia="方正楷体_GBK" w:cs="方正楷体_GBK"/>
          <w:kern w:val="2"/>
          <w:sz w:val="32"/>
          <w:szCs w:val="32"/>
          <w:lang w:val="en-US" w:eastAsia="zh-CN"/>
        </w:rPr>
        <w:t>（二）形成合力。</w:t>
      </w:r>
      <w:r>
        <w:rPr>
          <w:rFonts w:hint="default" w:ascii="Times New Roman" w:hAnsi="Times New Roman" w:eastAsia="方正仿宋_GBK" w:cs="Times New Roman"/>
          <w:kern w:val="2"/>
          <w:sz w:val="32"/>
          <w:szCs w:val="32"/>
          <w:lang w:val="en-US" w:eastAsia="zh-CN"/>
        </w:rPr>
        <w:t>禁养区划定工作由县农业部门牵头，具体实施按照属地管理原则，由乡镇政府组织落实。农业部门要明确产业导向，推广畜禽生态养殖模式，制定禁养区关停、搬迁计划和工作方案；生态环境部门负责畜禽养殖场“环境影响评价”审批工作，加大环保执法力度，依法严厉查处污染环境的畜禽养殖场；县发改、财政、住建、自然资源、公安、市场监管、文化旅游等部门，根据各自职责，协同做好相关工作。</w:t>
      </w:r>
    </w:p>
    <w:p w14:paraId="04665A50">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方正楷体_GBK" w:hAnsi="方正楷体_GBK" w:eastAsia="方正楷体_GBK" w:cs="方正楷体_GBK"/>
          <w:kern w:val="2"/>
          <w:sz w:val="32"/>
          <w:szCs w:val="32"/>
          <w:lang w:val="en-US" w:eastAsia="zh-CN"/>
        </w:rPr>
        <w:t>（三）广泛宣传。</w:t>
      </w:r>
      <w:r>
        <w:rPr>
          <w:rFonts w:hint="default" w:ascii="Times New Roman" w:hAnsi="Times New Roman" w:eastAsia="方正仿宋_GBK" w:cs="Times New Roman"/>
          <w:kern w:val="2"/>
          <w:sz w:val="32"/>
          <w:szCs w:val="32"/>
          <w:lang w:val="en-US" w:eastAsia="zh-CN"/>
        </w:rPr>
        <w:t>各乡镇及有关部门要利用多种形式，广泛开展宣传活动，让广大群众和养殖户充分认识到畜禽禁养区划定的意义，切实增强做好畜禽污染治理的主动性和能动性，营造良好的工作舆论环境。</w:t>
      </w:r>
    </w:p>
    <w:p w14:paraId="49AAC7C5">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r>
        <w:rPr>
          <w:rFonts w:hint="default" w:ascii="方正楷体_GBK" w:hAnsi="方正楷体_GBK" w:eastAsia="方正楷体_GBK" w:cs="方正楷体_GBK"/>
          <w:kern w:val="2"/>
          <w:sz w:val="32"/>
          <w:szCs w:val="32"/>
          <w:lang w:val="en-US" w:eastAsia="zh-CN"/>
        </w:rPr>
        <w:t>（四）落实责任。</w:t>
      </w:r>
      <w:r>
        <w:rPr>
          <w:rFonts w:hint="default" w:ascii="Times New Roman" w:hAnsi="Times New Roman" w:eastAsia="方正仿宋_GBK" w:cs="Times New Roman"/>
          <w:kern w:val="2"/>
          <w:sz w:val="32"/>
          <w:szCs w:val="32"/>
          <w:lang w:val="en-US" w:eastAsia="zh-CN"/>
        </w:rPr>
        <w:t>科学划定和治理畜禽禁养区工作是一项政策性很强的系统性工作，时间紧、任务重，各乡镇各部门要充分认识畜禽养殖禁养区划定和治理工作的重要性，切实增强责任感和紧迫感，按照时间节点要求，按时完成任务。领导小组将成立督导组，对禁养区内养殖场关闭、搬迁工作进行督导，对行动迟缓、工作不力、进度缓慢的，将实行责任追究，确保此项工作顺利进行。</w:t>
      </w:r>
    </w:p>
    <w:p w14:paraId="1369559F">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p>
    <w:p w14:paraId="3BBB3583">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rPr>
      </w:pPr>
    </w:p>
    <w:p w14:paraId="616781BC">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lang w:eastAsia="zh-CN"/>
        </w:rPr>
      </w:pPr>
    </w:p>
    <w:p w14:paraId="1CDF737D">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lang w:eastAsia="zh-CN"/>
        </w:rPr>
      </w:pPr>
    </w:p>
    <w:p w14:paraId="4DE3ECA5">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lang w:eastAsia="zh-CN"/>
        </w:rPr>
      </w:pPr>
    </w:p>
    <w:p w14:paraId="012D4228">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lang w:eastAsia="zh-CN"/>
        </w:rPr>
      </w:pPr>
    </w:p>
    <w:p w14:paraId="7BEF76D2">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lang w:eastAsia="zh-CN"/>
        </w:rPr>
      </w:pPr>
    </w:p>
    <w:p w14:paraId="0951CBDB">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75132">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6D1168D">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76D1168D">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2AA96DC6">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Sp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VNd3tPkBAADoAwAADgAAAGRycy9lMm9Eb2MueG1srVPNjtMwEL4j&#10;8Q6W7zRppRY2aroHynJBsNLCA0wdJ7HkP3ncpn0JXgCJG5w4cudt2H0Mxk7psruXHsjBGXvG38z3&#10;eWZ5uTea7WRA5WzNp5OSM2mFa5Ttav7p49WLV5xhBNuAdlbW/CCRX66eP1sOvpIz1zvdyMAIxGI1&#10;+Jr3MfqqKFD00gBOnJeWnK0LBiJtQ1c0AQZCN7qYleWiGFxofHBCItLpenTyI2I4B9C1rRJy7cTW&#10;SBtH1CA1RKKEvfLIV7natpUifmhblJHpmhPTmFdKQvYmrcVqCVUXwPdKHEuAc0p4xMmAspT0BLWG&#10;CGwb1BMoo0Rw6No4Ec4UI5GsCLGYlo+0uenBy8yFpEZ/Eh3/H6x4v7sOTDU1n3FmwdCD3375+fvz&#10;t7tfX2m9/fGdzZNIg8eKYm/8dTjukMzEeN8Gk/7Ehe2zsIeTsHIfmaDD+WK6mL+ccybIN70oM2Rx&#10;f9cHjG+lMywZNdfKJtpQwe4dRspHoX9D0rG2bKCC6UuQQE3Y0uOTaTwRQdvly+i0aq6U1ukKhm7z&#10;Wge2g9QI5Xx6MUu0CPhBWMqyBuzHuOwaW6SX0LyxDYsHTxJZmgyeajCy4UxLGqRkESBUEZQ+J5JS&#10;a0sVJGVHLZO1cc2BHmTrg+r63K2pyuShBsj1Hps1ddi/+xx1P6C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yR1fSAAAABgEAAA8AAAAAAAAAAQAgAAAAIgAAAGRycy9kb3ducmV2LnhtbFBLAQIU&#10;ABQAAAAIAIdO4kBU13e0+QEAAOgDAAAOAAAAAAAAAAEAIAAAACEBAABkcnMvZTJvRG9jLnhtbFBL&#10;BQYAAAAABgAGAFkBAACMBQ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4A6722E9">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E8499">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Sp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YdA8S/YBAADnAwAADgAAAGRycy9lMm9Eb2MueG1srVPNjtMwEL4j&#10;8Q6W7zRpl1ZL1HQPlOWCYKWFB5g6TmLJf/K4TfsSvAASNzhx5M7b7PIYjJ3SheXSAzk4Y8/nz/N9&#10;Hi+v9kaznQyonK35dFJyJq1wjbJdzT+8v352yRlGsA1oZ2XNDxL51erpk+XgKzlzvdONDIxILFaD&#10;r3kfo6+KAkUvDeDEeWkp2bpgINI0dEUTYCB2o4tZWS6KwYXGByckIq2uxyQ/MoZzCF3bKiHXTmyN&#10;tHFkDVJDJEnYK498lattWyniu7ZFGZmuOSmNeaRDKN6ksVgtoeoC+F6JYwlwTgmPNBlQlg49Ua0h&#10;AtsG9Q+VUSI4dG2cCGeKUUh2hFRMy0fe3PbgZdZCVqM/mY7/j1a83d0EphrqBM4sGLrw+0/f7z5+&#10;+fnjM433376y58mkwWNF2Ft/E44zpDAp3rfBpD9pYfts7OFkrNxHJmhxvpiVF5dzzgTlFhfzxFg8&#10;bPUB42vpDEtBzbWySTVUsHuDcYT+hqRlbdlQ8xl9iRGoB1u6ewqNJx1ou7wZnVbNtdI6bcHQbV7q&#10;wHaQ+qCcT1/MjjX8BUunrAH7EZdTCQZVL6F5ZRsWD54csvQweKrByIYzLekdpSgjIyh9DpLka0su&#10;JGNHK1O0cc2B7mPrg+r63KxJfsrQ/WfPjr2aGuzPeUY9vM/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2hKwnSAAAACQEAAA8AAAAAAAAAAQAgAAAAIgAAAGRycy9kb3ducmV2LnhtbFBLAQIUABQA&#10;AAAIAIdO4kBh0DxL9gEAAOcDAAAOAAAAAAAAAAEAIAAAACEBAABkcnMvZTJvRG9jLnhtbFBLBQYA&#10;AAAABgAGAFkBAACJBQAAAAA=&#10;">
              <v:fill on="f" focussize="0,0"/>
              <v:stroke weight="1.75pt" color="#005192" joinstyle="round"/>
              <v:imagedata o:title=""/>
              <o:lock v:ext="edit" aspectratio="f"/>
            </v:line>
          </w:pict>
        </mc:Fallback>
      </mc:AlternateContent>
    </w:r>
  </w:p>
  <w:p w14:paraId="5B77DB70">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12719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2106</Words>
  <Characters>2157</Characters>
  <Lines>1</Lines>
  <Paragraphs>1</Paragraphs>
  <TotalTime>0</TotalTime>
  <ScaleCrop>false</ScaleCrop>
  <LinksUpToDate>false</LinksUpToDate>
  <CharactersWithSpaces>2165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2024-12-09T09:38:25Z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30FEFDBCDE1B462692A20602F5AB550F_13</vt:lpwstr>
  </property>
</Properties>
</file>