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8F459">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14:paraId="010E0A4B">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eastAsia="方正仿宋_GBK" w:cs="Times New Roman"/>
          <w:lang w:val="en-US" w:eastAsia="zh-CN"/>
        </w:rPr>
      </w:pPr>
    </w:p>
    <w:p w14:paraId="3B1A15D7">
      <w:pPr>
        <w:widowControl w:val="0"/>
        <w:adjustRightInd/>
        <w:snapToGrid w:val="0"/>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怀远县人民政府办公室</w:t>
      </w:r>
    </w:p>
    <w:p w14:paraId="00DF1923">
      <w:pPr>
        <w:widowControl w:val="0"/>
        <w:adjustRightInd/>
        <w:snapToGrid w:val="0"/>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关于印发怀远县国有土地上房屋征收与补偿</w:t>
      </w:r>
    </w:p>
    <w:p w14:paraId="51532490">
      <w:pPr>
        <w:widowControl w:val="0"/>
        <w:adjustRightInd/>
        <w:snapToGrid w:val="0"/>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暂行办法的通知</w:t>
      </w:r>
    </w:p>
    <w:p w14:paraId="3427DCCD">
      <w:pPr>
        <w:widowControl w:val="0"/>
        <w:adjustRightInd/>
        <w:spacing w:before="0" w:after="0" w:line="590" w:lineRule="exact"/>
        <w:ind w:left="0" w:leftChars="0" w:firstLine="0" w:firstLine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怀政办〔201</w:t>
      </w: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14</w:t>
      </w:r>
      <w:r>
        <w:rPr>
          <w:rFonts w:hint="default" w:ascii="Times New Roman" w:hAnsi="Times New Roman" w:eastAsia="方正仿宋_GBK" w:cs="Times New Roman"/>
          <w:sz w:val="32"/>
          <w:szCs w:val="32"/>
        </w:rPr>
        <w:t>号</w:t>
      </w:r>
    </w:p>
    <w:p w14:paraId="421B419F">
      <w:pPr>
        <w:widowControl w:val="0"/>
        <w:adjustRightInd/>
        <w:snapToGrid w:val="0"/>
        <w:spacing w:before="0" w:after="0" w:line="590" w:lineRule="exact"/>
        <w:ind w:left="0" w:leftChars="0"/>
        <w:jc w:val="center"/>
        <w:textAlignment w:val="auto"/>
        <w:outlineLvl w:val="9"/>
        <w:rPr>
          <w:rFonts w:hint="default" w:ascii="Times New Roman" w:hAnsi="Times New Roman" w:eastAsia="方正仿宋_GBK" w:cs="Times New Roman"/>
          <w:sz w:val="44"/>
          <w:szCs w:val="44"/>
        </w:rPr>
      </w:pPr>
    </w:p>
    <w:p w14:paraId="38B2D6BF">
      <w:pPr>
        <w:widowControl w:val="0"/>
        <w:adjustRightInd/>
        <w:spacing w:before="0" w:after="0" w:line="590" w:lineRule="exact"/>
        <w:ind w:left="0" w:leftChars="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各乡、镇人民政府，县政府各部门、各直属机构：</w:t>
      </w:r>
    </w:p>
    <w:p w14:paraId="457AC8A3">
      <w:pPr>
        <w:widowControl w:val="0"/>
        <w:adjustRightInd/>
        <w:spacing w:before="0" w:after="0" w:line="590" w:lineRule="exact"/>
        <w:ind w:left="0" w:leftChars="0" w:firstLine="66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《怀远县国有土地上房屋征收与补偿暂行办法》已经县政府研究同意，现印发给你们，请认真贯彻执行。</w:t>
      </w:r>
    </w:p>
    <w:p w14:paraId="3F4B6948">
      <w:pPr>
        <w:widowControl w:val="0"/>
        <w:adjustRightInd/>
        <w:spacing w:before="0" w:after="0" w:line="590" w:lineRule="exact"/>
        <w:ind w:left="0" w:leftChars="0" w:firstLine="660"/>
        <w:textAlignment w:val="auto"/>
        <w:outlineLvl w:val="9"/>
        <w:rPr>
          <w:rFonts w:hint="default" w:ascii="Times New Roman" w:hAnsi="Times New Roman" w:eastAsia="方正仿宋_GBK" w:cs="Times New Roman"/>
          <w:sz w:val="32"/>
          <w:szCs w:val="32"/>
        </w:rPr>
      </w:pPr>
    </w:p>
    <w:p w14:paraId="6AC21305">
      <w:pPr>
        <w:widowControl w:val="0"/>
        <w:adjustRightInd/>
        <w:spacing w:before="0" w:after="0" w:line="590" w:lineRule="exact"/>
        <w:ind w:left="0" w:leftChars="0" w:firstLine="660"/>
        <w:textAlignment w:val="auto"/>
        <w:outlineLvl w:val="9"/>
        <w:rPr>
          <w:rFonts w:hint="default" w:ascii="Times New Roman" w:hAnsi="Times New Roman" w:eastAsia="方正仿宋_GBK" w:cs="Times New Roman"/>
          <w:sz w:val="32"/>
          <w:szCs w:val="32"/>
        </w:rPr>
      </w:pPr>
    </w:p>
    <w:p w14:paraId="77634CFF">
      <w:pPr>
        <w:widowControl w:val="0"/>
        <w:wordWrap w:val="0"/>
        <w:adjustRightInd/>
        <w:snapToGrid/>
        <w:spacing w:before="0" w:beforeAutospacing="0" w:after="0" w:afterAutospacing="0" w:line="590" w:lineRule="exact"/>
        <w:ind w:left="0" w:leftChars="0" w:right="420" w:rightChars="200" w:firstLine="0" w:firstLineChars="0"/>
        <w:jc w:val="right"/>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怀远县人民政府办公室</w:t>
      </w:r>
    </w:p>
    <w:p w14:paraId="49549197">
      <w:pPr>
        <w:widowControl w:val="0"/>
        <w:adjustRightInd/>
        <w:snapToGrid/>
        <w:spacing w:before="0" w:beforeAutospacing="0" w:after="0" w:afterAutospacing="0" w:line="590" w:lineRule="exact"/>
        <w:ind w:left="0" w:leftChars="0" w:right="0" w:firstLine="4998" w:firstLineChars="1562"/>
        <w:jc w:val="center"/>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w:t>
      </w:r>
      <w:r>
        <w:rPr>
          <w:rFonts w:hint="eastAsia" w:ascii="Times New Roman" w:hAnsi="Times New Roman" w:eastAsia="方正仿宋_GBK" w:cs="Times New Roman"/>
          <w:kern w:val="0"/>
          <w:sz w:val="32"/>
          <w:szCs w:val="32"/>
          <w:shd w:val="clear" w:color="auto" w:fill="FFFFFF"/>
          <w:lang w:val="en-US" w:eastAsia="zh-CN" w:bidi="ar-SA"/>
        </w:rPr>
        <w:t>19</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6</w:t>
      </w:r>
      <w:r>
        <w:rPr>
          <w:rFonts w:hint="default" w:ascii="Times New Roman" w:hAnsi="Times New Roman" w:eastAsia="方正仿宋_GBK" w:cs="Times New Roman"/>
          <w:kern w:val="0"/>
          <w:sz w:val="32"/>
          <w:szCs w:val="32"/>
          <w:shd w:val="clear" w:color="auto" w:fill="FFFFFF"/>
          <w:lang w:val="en-US" w:eastAsia="zh-CN" w:bidi="ar-SA"/>
        </w:rPr>
        <w:t>月2</w:t>
      </w:r>
      <w:r>
        <w:rPr>
          <w:rFonts w:hint="eastAsia" w:ascii="Times New Roman" w:hAnsi="Times New Roman" w:eastAsia="方正仿宋_GBK" w:cs="Times New Roman"/>
          <w:kern w:val="0"/>
          <w:sz w:val="32"/>
          <w:szCs w:val="32"/>
          <w:shd w:val="clear" w:color="auto" w:fill="FFFFFF"/>
          <w:lang w:val="en-US" w:eastAsia="zh-CN" w:bidi="ar-SA"/>
        </w:rPr>
        <w:t>0</w:t>
      </w:r>
      <w:r>
        <w:rPr>
          <w:rFonts w:hint="default" w:ascii="Times New Roman" w:hAnsi="Times New Roman" w:eastAsia="方正仿宋_GBK" w:cs="Times New Roman"/>
          <w:kern w:val="0"/>
          <w:sz w:val="32"/>
          <w:szCs w:val="32"/>
          <w:shd w:val="clear" w:color="auto" w:fill="FFFFFF"/>
          <w:lang w:val="en-US" w:eastAsia="zh-CN" w:bidi="ar-SA"/>
        </w:rPr>
        <w:t>日</w:t>
      </w:r>
    </w:p>
    <w:p w14:paraId="20B9B632">
      <w:pPr>
        <w:widowControl w:val="0"/>
        <w:adjustRightInd/>
        <w:snapToGrid/>
        <w:spacing w:before="0" w:beforeAutospacing="0" w:after="0" w:afterAutospacing="0" w:line="590" w:lineRule="exact"/>
        <w:ind w:left="0" w:leftChars="0" w:right="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p w14:paraId="15B14B7C">
      <w:pPr>
        <w:widowControl w:val="0"/>
        <w:wordWrap/>
        <w:adjustRightInd/>
        <w:snapToGri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rPr>
      </w:pPr>
    </w:p>
    <w:p w14:paraId="53F7F605">
      <w:pPr>
        <w:widowControl w:val="0"/>
        <w:adjustRightInd/>
        <w:snapToGrid w:val="0"/>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szCs w:val="44"/>
        </w:rPr>
      </w:pPr>
    </w:p>
    <w:p w14:paraId="1E52E520">
      <w:pPr>
        <w:widowControl w:val="0"/>
        <w:adjustRightInd/>
        <w:snapToGrid w:val="0"/>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szCs w:val="44"/>
        </w:rPr>
      </w:pPr>
    </w:p>
    <w:p w14:paraId="0DDF6A4C">
      <w:pPr>
        <w:widowControl w:val="0"/>
        <w:adjustRightInd/>
        <w:snapToGrid w:val="0"/>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szCs w:val="44"/>
        </w:rPr>
      </w:pPr>
    </w:p>
    <w:p w14:paraId="4272C24B">
      <w:pPr>
        <w:widowControl w:val="0"/>
        <w:adjustRightInd/>
        <w:snapToGrid w:val="0"/>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szCs w:val="44"/>
        </w:rPr>
      </w:pPr>
    </w:p>
    <w:p w14:paraId="05C4BE80">
      <w:pPr>
        <w:widowControl w:val="0"/>
        <w:adjustRightInd/>
        <w:snapToGrid w:val="0"/>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44"/>
          <w:szCs w:val="44"/>
        </w:rPr>
      </w:pPr>
    </w:p>
    <w:p w14:paraId="3A055A42">
      <w:pPr>
        <w:widowControl w:val="0"/>
        <w:adjustRightInd/>
        <w:snapToGrid w:val="0"/>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怀远县国有土地上房屋征收与补偿暂行办法</w:t>
      </w:r>
    </w:p>
    <w:p w14:paraId="1881D987">
      <w:pPr>
        <w:widowControl w:val="0"/>
        <w:adjustRightInd/>
        <w:snapToGrid w:val="0"/>
        <w:spacing w:before="0" w:after="0" w:line="590" w:lineRule="exact"/>
        <w:ind w:left="0" w:leftChars="0" w:firstLine="3401" w:firstLineChars="1063"/>
        <w:textAlignment w:val="auto"/>
        <w:outlineLvl w:val="9"/>
        <w:rPr>
          <w:rFonts w:hint="default" w:ascii="Times New Roman" w:hAnsi="Times New Roman" w:eastAsia="方正仿宋_GBK" w:cs="Times New Roman"/>
          <w:sz w:val="32"/>
          <w:szCs w:val="32"/>
        </w:rPr>
      </w:pPr>
    </w:p>
    <w:p w14:paraId="403C10EB">
      <w:pPr>
        <w:widowControl w:val="0"/>
        <w:numPr>
          <w:ilvl w:val="0"/>
          <w:numId w:val="1"/>
        </w:numPr>
        <w:adjustRightInd/>
        <w:snapToGrid w:val="0"/>
        <w:spacing w:before="0" w:after="0" w:line="590" w:lineRule="exact"/>
        <w:ind w:left="0" w:leftChars="0" w:firstLine="3401" w:firstLineChars="1063"/>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 总则</w:t>
      </w:r>
    </w:p>
    <w:p w14:paraId="69F9EAFB">
      <w:pPr>
        <w:widowControl w:val="0"/>
        <w:numPr>
          <w:numId w:val="0"/>
        </w:numPr>
        <w:adjustRightInd/>
        <w:snapToGrid w:val="0"/>
        <w:spacing w:before="0" w:after="0" w:line="590" w:lineRule="exact"/>
        <w:jc w:val="both"/>
        <w:textAlignment w:val="auto"/>
        <w:outlineLvl w:val="9"/>
        <w:rPr>
          <w:rFonts w:hint="eastAsia" w:ascii="方正黑体_GBK" w:hAnsi="方正黑体_GBK" w:eastAsia="方正黑体_GBK" w:cs="方正黑体_GBK"/>
          <w:sz w:val="32"/>
          <w:szCs w:val="32"/>
        </w:rPr>
      </w:pPr>
    </w:p>
    <w:p w14:paraId="051F297F">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第一条</w:t>
      </w:r>
      <w:r>
        <w:rPr>
          <w:rFonts w:hint="default" w:ascii="Times New Roman" w:hAnsi="Times New Roman" w:eastAsia="方正仿宋_GBK" w:cs="Times New Roman"/>
          <w:sz w:val="32"/>
          <w:szCs w:val="32"/>
        </w:rPr>
        <w:t>　为依法规范国有土地上房屋征收与补偿行为，维护公共利益和被征收房屋所有权人的合法权益，保障建设项目顺利进行，根据国务院《国有土地上房屋征收与补偿条例》及相关法律、法规规定，结合我县实际，制定本办法。</w:t>
      </w:r>
    </w:p>
    <w:p w14:paraId="2F334534">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第二条</w:t>
      </w:r>
      <w:r>
        <w:rPr>
          <w:rFonts w:hint="default" w:ascii="Times New Roman" w:hAnsi="Times New Roman" w:eastAsia="方正仿宋_GBK" w:cs="Times New Roman"/>
          <w:sz w:val="32"/>
          <w:szCs w:val="32"/>
        </w:rPr>
        <w:t>　本县行政区域内国有土地上符合公共利益的建设项目需要实施房屋征收与补偿安置的，适用本办法。</w:t>
      </w:r>
    </w:p>
    <w:p w14:paraId="2F9C9F08">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第三条</w:t>
      </w:r>
      <w:r>
        <w:rPr>
          <w:rFonts w:hint="default" w:ascii="Times New Roman" w:hAnsi="Times New Roman" w:eastAsia="方正仿宋_GBK" w:cs="Times New Roman"/>
          <w:sz w:val="32"/>
          <w:szCs w:val="32"/>
        </w:rPr>
        <w:t>　房屋征收与补偿应当遵循决策民主、程序正当、结果公开的原则。</w:t>
      </w:r>
    </w:p>
    <w:p w14:paraId="1E655DBC">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第四条</w:t>
      </w:r>
      <w:r>
        <w:rPr>
          <w:rFonts w:hint="default" w:ascii="Times New Roman" w:hAnsi="Times New Roman" w:eastAsia="方正仿宋_GBK" w:cs="Times New Roman"/>
          <w:sz w:val="32"/>
          <w:szCs w:val="32"/>
        </w:rPr>
        <w:t>　县住房城乡建设局为县人民政府确定的房屋征收部门，负责组织实施全县国有土地上的房屋征收与补偿工作。</w:t>
      </w:r>
    </w:p>
    <w:p w14:paraId="7DAC77A3">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发展改革委、县公安局、县司法局、县财政局、县自然资源和规划局、县卫生健康委、县城市管理局、县市场监管局、县税务局等部门和各乡镇（区）按照各自工作职责，依照本办法规定，互相配合，共同做好房屋征收与补偿工作。</w:t>
      </w:r>
    </w:p>
    <w:p w14:paraId="34C411EA">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第五条</w:t>
      </w:r>
      <w:r>
        <w:rPr>
          <w:rFonts w:hint="default" w:ascii="Times New Roman" w:hAnsi="Times New Roman" w:eastAsia="方正仿宋_GBK" w:cs="Times New Roman"/>
          <w:sz w:val="32"/>
          <w:szCs w:val="32"/>
        </w:rPr>
        <w:t>　县房屋征收部门根据征收工作需要，可以委托各乡镇（区）、县政府设立的专门征收机构等单位为房屋征收实施单位，承担房屋征收与补偿的具体工作。</w:t>
      </w:r>
    </w:p>
    <w:p w14:paraId="77311017">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县房屋征收部门对房屋征收实施单位在委托范围内实施的房屋征收与补偿行为负责监督，并对其行为后果承担法律责任。</w:t>
      </w:r>
    </w:p>
    <w:p w14:paraId="31AFADA8">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p>
    <w:p w14:paraId="17FD9B83">
      <w:pPr>
        <w:widowControl w:val="0"/>
        <w:numPr>
          <w:ilvl w:val="0"/>
          <w:numId w:val="2"/>
        </w:numPr>
        <w:adjustRightInd/>
        <w:snapToGrid w:val="0"/>
        <w:spacing w:before="0" w:after="0" w:line="590" w:lineRule="exact"/>
        <w:ind w:left="0" w:leftChars="0" w:firstLine="3401" w:firstLineChars="1063"/>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征收决定</w:t>
      </w:r>
    </w:p>
    <w:p w14:paraId="16B84E52">
      <w:pPr>
        <w:widowControl w:val="0"/>
        <w:numPr>
          <w:ilvl w:val="0"/>
          <w:numId w:val="0"/>
        </w:numPr>
        <w:adjustRightInd/>
        <w:snapToGrid w:val="0"/>
        <w:spacing w:before="0" w:after="0" w:line="590" w:lineRule="exact"/>
        <w:textAlignment w:val="auto"/>
        <w:outlineLvl w:val="9"/>
        <w:rPr>
          <w:rFonts w:hint="default" w:ascii="方正黑体_GBK" w:hAnsi="方正黑体_GBK" w:eastAsia="方正黑体_GBK" w:cs="方正黑体_GBK"/>
          <w:sz w:val="32"/>
          <w:szCs w:val="32"/>
        </w:rPr>
      </w:pPr>
    </w:p>
    <w:p w14:paraId="4D696FA6">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第六条</w:t>
      </w:r>
      <w:r>
        <w:rPr>
          <w:rFonts w:hint="default" w:ascii="Times New Roman" w:hAnsi="Times New Roman" w:eastAsia="方正仿宋_GBK" w:cs="Times New Roman"/>
          <w:sz w:val="32"/>
          <w:szCs w:val="32"/>
        </w:rPr>
        <w:t>　有下列情形之一，确需征收房屋的，由县房屋征收部门报请县人民政府作出房屋征收决定：</w:t>
      </w:r>
    </w:p>
    <w:p w14:paraId="53A9275B">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（一）国防和外交的需要；</w:t>
      </w:r>
    </w:p>
    <w:p w14:paraId="61F3A04B">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（二）由政府组织实施的能源、交通、水利等基础设施建设的需要；</w:t>
      </w:r>
    </w:p>
    <w:p w14:paraId="7B1D6A89">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（三）由政府组织实施的科技、教育、文化、卫生、体育、环境和资源保护、防灾减灾、文物保护、社会福利、市政公用等公共事业的需要；</w:t>
      </w:r>
    </w:p>
    <w:p w14:paraId="73E77DC4">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（四）由政府组织实施的保障性安居工程建设的需要；</w:t>
      </w:r>
    </w:p>
    <w:p w14:paraId="2278034B">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（五）由政府依照《中华人民共和国城乡规划法》有关规定组织实施的对危房集中、基础设施落后等地段进行旧城区改建的需要；</w:t>
      </w:r>
    </w:p>
    <w:p w14:paraId="59308CB3">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（六）法律、行政法规规定的其他公共利益的需要。</w:t>
      </w:r>
    </w:p>
    <w:p w14:paraId="389CCC9E">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第七条</w:t>
      </w:r>
      <w:r>
        <w:rPr>
          <w:rFonts w:hint="default" w:ascii="Times New Roman" w:hAnsi="Times New Roman" w:eastAsia="方正仿宋_GBK" w:cs="Times New Roman"/>
          <w:sz w:val="32"/>
          <w:szCs w:val="32"/>
        </w:rPr>
        <w:t>　依照本办法第六条规定，确需征收房屋的各项建设活动，应当符合国民经济和社会发展规划、土地利用总体规划、城乡总体规划和专项规划。保障性安居工程建设、旧城区改建，应当纳入县国民经济和社会发展年度计划。</w:t>
      </w:r>
    </w:p>
    <w:p w14:paraId="19DAFAF4">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第八条</w:t>
      </w:r>
      <w:r>
        <w:rPr>
          <w:rFonts w:hint="default" w:ascii="Times New Roman" w:hAnsi="Times New Roman" w:eastAsia="方正仿宋_GBK" w:cs="Times New Roman"/>
          <w:sz w:val="32"/>
          <w:szCs w:val="32"/>
        </w:rPr>
        <w:t>　县房屋征收部门提请县人民政府作出征收决定时，应提交下列材料：</w:t>
      </w:r>
    </w:p>
    <w:p w14:paraId="6CF74C9A">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（一）征收房屋意见书，主要内容包括征收目的、范围、实施时间、实施部门以及被征收房屋的总体情况；</w:t>
      </w:r>
    </w:p>
    <w:p w14:paraId="3585654E">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（二）征收范围红线图；</w:t>
      </w:r>
    </w:p>
    <w:p w14:paraId="2722AD00">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（三）征收补偿方案；</w:t>
      </w:r>
    </w:p>
    <w:p w14:paraId="623B8502">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（四）征收补偿费用来源及专户存储情况；</w:t>
      </w:r>
    </w:p>
    <w:p w14:paraId="3F7F8362">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（五）社会稳定风险评估情况。</w:t>
      </w:r>
    </w:p>
    <w:p w14:paraId="28723D23">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第九条</w:t>
      </w:r>
      <w:r>
        <w:rPr>
          <w:rFonts w:hint="default" w:ascii="Times New Roman" w:hAnsi="Times New Roman" w:eastAsia="方正仿宋_GBK" w:cs="Times New Roman"/>
          <w:sz w:val="32"/>
          <w:szCs w:val="32"/>
        </w:rPr>
        <w:t>　县房屋征收部门提请县人民政府作出征收决定前，应完成以下工作：</w:t>
      </w:r>
    </w:p>
    <w:p w14:paraId="4E38614E">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（一）组织有关部门对征收补偿方案进行论证并予以公布，征求公众意见，及时公布征求意见情况和根据公众意见修改情况，征求意见期限不得少于30日。</w:t>
      </w:r>
    </w:p>
    <w:p w14:paraId="13E0E475">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因旧城区改建需要征收房屋，多数被征收人对征收补偿方案有异议的，应当组织由被征收人和公众代表参加的听证会，并根据听证会情况修改方案。</w:t>
      </w:r>
    </w:p>
    <w:p w14:paraId="7AEF3CAF">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（二）在征收区域进行社会稳定风险评估。</w:t>
      </w:r>
    </w:p>
    <w:p w14:paraId="332C1FEF">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第十条</w:t>
      </w:r>
      <w:r>
        <w:rPr>
          <w:rFonts w:hint="default" w:ascii="Times New Roman" w:hAnsi="Times New Roman" w:eastAsia="方正仿宋_GBK" w:cs="Times New Roman"/>
          <w:sz w:val="32"/>
          <w:szCs w:val="32"/>
        </w:rPr>
        <w:t>　县人民政府作出涉及人数较多的房屋征收决定应当经县政府常务会议讨论决定。</w:t>
      </w:r>
    </w:p>
    <w:p w14:paraId="46E6F634">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政府作出征收决定后，应当将征收目的、范围、实施时间、补偿方案、行政复议、行政诉讼权利等事项进行公告。县房屋征收部门负责县政府征收公告的张贴和宣传解释工作，征收实施部门负责按照征收决定要求开展征收工作，县自然资源和规划部门负责完成征收范围内被征收人国有土地使用权收回工作。</w:t>
      </w:r>
    </w:p>
    <w:p w14:paraId="429D3BCD">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房屋征收部门应从我市或我县备案的房地产评估机构中提供两家房地产价格评估机构由被征收人协商选定；被征收人也可以协商选择我市或我县备案的其他房地产评估机构。对协商不成的，采取随机择取的方式确定一家房地产评估机构承担房屋征收房地产评估工作</w:t>
      </w:r>
      <w:r>
        <w:rPr>
          <w:rFonts w:hint="default" w:ascii="Times New Roman" w:hAnsi="Times New Roman" w:eastAsia="方正仿宋_GBK" w:cs="Times New Roman"/>
          <w:b/>
          <w:bCs/>
          <w:sz w:val="32"/>
          <w:szCs w:val="32"/>
        </w:rPr>
        <w:t>。</w:t>
      </w:r>
    </w:p>
    <w:p w14:paraId="0EED5E79">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第十一条</w:t>
      </w:r>
      <w:r>
        <w:rPr>
          <w:rFonts w:hint="default" w:ascii="Times New Roman" w:hAnsi="Times New Roman" w:eastAsia="方正仿宋_GBK" w:cs="Times New Roman"/>
          <w:sz w:val="32"/>
          <w:szCs w:val="32"/>
        </w:rPr>
        <w:t xml:space="preserve">  各乡镇（区）及相关部门或单位应当做好房屋征收与补偿的宣传解释和被征收人的思想稳定工作。</w:t>
      </w:r>
    </w:p>
    <w:p w14:paraId="34AB1264">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第十二条</w:t>
      </w:r>
      <w:r>
        <w:rPr>
          <w:rFonts w:hint="default" w:ascii="Times New Roman" w:hAnsi="Times New Roman" w:eastAsia="方正仿宋_GBK" w:cs="Times New Roman"/>
          <w:sz w:val="32"/>
          <w:szCs w:val="32"/>
        </w:rPr>
        <w:t xml:space="preserve">  被征收人对县人民政府作出的房屋征收决定不服的，可以依法申请行政复议，也可以依法提起行政诉讼。</w:t>
      </w:r>
    </w:p>
    <w:p w14:paraId="1DD184F2">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第十三条</w:t>
      </w:r>
      <w:r>
        <w:rPr>
          <w:rFonts w:hint="default" w:ascii="Times New Roman" w:hAnsi="Times New Roman" w:eastAsia="方正仿宋_GBK" w:cs="Times New Roman"/>
          <w:sz w:val="32"/>
          <w:szCs w:val="32"/>
        </w:rPr>
        <w:t>　房屋征收决定作出后，在房屋征收范围内的被征收人不得实施下列行为，违反规定的将不予补偿：</w:t>
      </w:r>
    </w:p>
    <w:p w14:paraId="3D633A7E">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（一）新建、扩建、改建房屋；</w:t>
      </w:r>
    </w:p>
    <w:p w14:paraId="4335C5BE">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（二）改变房屋和土地用途；</w:t>
      </w:r>
    </w:p>
    <w:p w14:paraId="1502CE82">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（三）租赁房屋；</w:t>
      </w:r>
    </w:p>
    <w:p w14:paraId="271AFB04">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（四）户籍入户、分户；</w:t>
      </w:r>
    </w:p>
    <w:p w14:paraId="1D2D8F73">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（五）房屋分户、转让、交换、析产、赠与、租赁、抵押、典当、装修等；</w:t>
      </w:r>
    </w:p>
    <w:p w14:paraId="32822DC4">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（六）领取营业执照、临时营业执照。</w:t>
      </w:r>
    </w:p>
    <w:p w14:paraId="47019BF5">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县房屋征收部门应当在公布房屋征收决定公告的同时，就前款所列事项书面通知有关部门暂停办理相关手续。暂停办理的书面通知应当载明暂停期限，暂停期限不得超过1年。</w:t>
      </w:r>
    </w:p>
    <w:p w14:paraId="696004DC">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被征收人在县房屋征收部门书面通知载明的暂停期限内，就本条所列事项办理的相关手续，不得作为征收补偿安置的依据。</w:t>
      </w:r>
    </w:p>
    <w:p w14:paraId="733D06CF">
      <w:pPr>
        <w:widowControl w:val="0"/>
        <w:adjustRightInd/>
        <w:snapToGrid w:val="0"/>
        <w:spacing w:before="0" w:after="0" w:line="590" w:lineRule="exact"/>
        <w:ind w:left="0" w:leftChars="0" w:firstLine="555"/>
        <w:jc w:val="center"/>
        <w:textAlignment w:val="auto"/>
        <w:outlineLvl w:val="9"/>
        <w:rPr>
          <w:rFonts w:hint="default" w:ascii="Times New Roman" w:hAnsi="Times New Roman" w:eastAsia="方正仿宋_GBK" w:cs="Times New Roman"/>
          <w:sz w:val="32"/>
          <w:szCs w:val="32"/>
        </w:rPr>
      </w:pPr>
    </w:p>
    <w:p w14:paraId="58CFA440">
      <w:pPr>
        <w:widowControl w:val="0"/>
        <w:numPr>
          <w:ilvl w:val="0"/>
          <w:numId w:val="2"/>
        </w:numPr>
        <w:adjustRightInd/>
        <w:snapToGrid w:val="0"/>
        <w:spacing w:before="0" w:after="0" w:line="590" w:lineRule="exact"/>
        <w:ind w:left="0" w:leftChars="0" w:firstLine="3401" w:firstLineChars="1063"/>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补偿</w:t>
      </w:r>
    </w:p>
    <w:p w14:paraId="4BA59586">
      <w:pPr>
        <w:widowControl w:val="0"/>
        <w:numPr>
          <w:ilvl w:val="0"/>
          <w:numId w:val="0"/>
        </w:numPr>
        <w:adjustRightInd/>
        <w:snapToGrid w:val="0"/>
        <w:spacing w:before="0" w:after="0" w:line="590" w:lineRule="exact"/>
        <w:textAlignment w:val="auto"/>
        <w:outlineLvl w:val="9"/>
        <w:rPr>
          <w:rFonts w:hint="default" w:ascii="方正黑体_GBK" w:hAnsi="方正黑体_GBK" w:eastAsia="方正黑体_GBK" w:cs="方正黑体_GBK"/>
          <w:sz w:val="32"/>
          <w:szCs w:val="32"/>
        </w:rPr>
      </w:pPr>
    </w:p>
    <w:p w14:paraId="0E965490">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第十四条</w:t>
      </w:r>
      <w:r>
        <w:rPr>
          <w:rFonts w:hint="default" w:ascii="Times New Roman" w:hAnsi="Times New Roman" w:eastAsia="方正仿宋_GBK" w:cs="Times New Roman"/>
          <w:sz w:val="32"/>
          <w:szCs w:val="32"/>
        </w:rPr>
        <w:t xml:space="preserve">  县房屋征收部门与被征收人依照本办法的规定，就补偿方式、补偿金额和支付期限、用于产权调换房屋的地点和面积、搬迁费、临时安置费、停业损失费、搬迁期限、过渡方式和过渡期限等事项，订立征收补偿协议。</w:t>
      </w:r>
    </w:p>
    <w:p w14:paraId="7A24788F">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u w:val="single"/>
        </w:rPr>
      </w:pPr>
      <w:r>
        <w:rPr>
          <w:rFonts w:hint="default" w:ascii="方正黑体_GBK" w:hAnsi="方正黑体_GBK" w:eastAsia="方正黑体_GBK" w:cs="方正黑体_GBK"/>
          <w:sz w:val="32"/>
          <w:szCs w:val="32"/>
        </w:rPr>
        <w:t>第十五条</w:t>
      </w:r>
      <w:r>
        <w:rPr>
          <w:rFonts w:hint="default" w:ascii="Times New Roman" w:hAnsi="Times New Roman" w:eastAsia="方正仿宋_GBK" w:cs="Times New Roman"/>
          <w:sz w:val="32"/>
          <w:szCs w:val="32"/>
        </w:rPr>
        <w:t xml:space="preserve">  征收住宅和一层商业经营房，被征收人可以选择货币补偿，也可以选择房屋产权调换（除住宅和一层商业经营房外一律实施货币补偿）。</w:t>
      </w:r>
    </w:p>
    <w:p w14:paraId="275E5D92">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第十六条</w:t>
      </w:r>
      <w:r>
        <w:rPr>
          <w:rFonts w:hint="default" w:ascii="Times New Roman" w:hAnsi="Times New Roman" w:eastAsia="方正仿宋_GBK" w:cs="Times New Roman"/>
          <w:sz w:val="32"/>
          <w:szCs w:val="32"/>
        </w:rPr>
        <w:t xml:space="preserve">  被征收人选择货币补偿的，补偿金额由具有相应资质的房地产价格评估机构按照国家房屋征收评估办法评估确定。</w:t>
      </w:r>
    </w:p>
    <w:p w14:paraId="7291CC88">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对评估确定的被征收房屋价值有异议的，可以向原房地产价格评估机构申请复核评估。对复核结果有异议的，可以向被征收房屋所在地房地产价格评估专家委员会申请鉴定。</w:t>
      </w:r>
    </w:p>
    <w:p w14:paraId="7A3EAA9B">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第十七条</w:t>
      </w:r>
      <w:r>
        <w:rPr>
          <w:rFonts w:hint="default" w:ascii="Times New Roman" w:hAnsi="Times New Roman" w:eastAsia="方正仿宋_GBK" w:cs="Times New Roman"/>
          <w:sz w:val="32"/>
          <w:szCs w:val="32"/>
        </w:rPr>
        <w:t xml:space="preserve">  县政府作出房屋征收决定时，应对房屋产权调换的被征收人提供安置房源，签订补偿协议搬迁交房的被征收人优先选择安置房。被征收人按照搬迁交房的序号选择安置房，安置房的具体户型、位置、套数及被选择情况应及时公示</w:t>
      </w:r>
      <w:r>
        <w:rPr>
          <w:rFonts w:hint="default" w:ascii="Times New Roman" w:hAnsi="Times New Roman" w:eastAsia="方正仿宋_GBK" w:cs="Times New Roman"/>
          <w:bCs/>
          <w:sz w:val="32"/>
          <w:szCs w:val="32"/>
        </w:rPr>
        <w:t>。</w:t>
      </w:r>
    </w:p>
    <w:p w14:paraId="71839E7A">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第十八条</w:t>
      </w:r>
      <w:r>
        <w:rPr>
          <w:rFonts w:hint="default" w:ascii="Times New Roman" w:hAnsi="Times New Roman" w:eastAsia="方正仿宋_GBK" w:cs="Times New Roman"/>
          <w:sz w:val="32"/>
          <w:szCs w:val="32"/>
        </w:rPr>
        <w:t xml:space="preserve">  县房屋征收部门组织乡镇（区）和县政府有关部门依法对征收范围内建筑的权属、区位、用途、建筑面积等情况进行调查登记，按下列规定进行认定和处理，调查、认定和处理结果应当在房屋征收范围内向被征收人公布。</w:t>
      </w:r>
    </w:p>
    <w:p w14:paraId="7397D7F7">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（一）被征收人能提供合法产权证件的房屋，按证件载明的房屋面积和性质对被征收人予以补偿安置。有效证件载明的面积与实际征收房屋面积不符的，据实确定。</w:t>
      </w:r>
    </w:p>
    <w:p w14:paraId="4D999BC2">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没有合法产权证件的，凡在1999年地籍图上有标注的房屋，应由产权人向不动产权登记发证部门申请，由不动产产权登记发证部门认定后出具被征收人房屋面积证明，房屋征收部门根据不动产产权登记部门确定的面积给予补偿安置。</w:t>
      </w:r>
    </w:p>
    <w:p w14:paraId="511A2E18">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在我县</w:t>
      </w:r>
      <w:r>
        <w:rPr>
          <w:rFonts w:hint="default" w:ascii="Times New Roman" w:hAnsi="Times New Roman" w:eastAsia="方正仿宋_GBK" w:cs="Times New Roman"/>
          <w:bCs/>
          <w:sz w:val="32"/>
          <w:szCs w:val="32"/>
        </w:rPr>
        <w:t>全国第二次土地调查地籍成果图</w:t>
      </w:r>
      <w:r>
        <w:rPr>
          <w:rFonts w:hint="default" w:ascii="Times New Roman" w:hAnsi="Times New Roman" w:eastAsia="方正仿宋_GBK" w:cs="Times New Roman"/>
          <w:sz w:val="32"/>
          <w:szCs w:val="32"/>
        </w:rPr>
        <w:t>（以下简称“二调图”）上有标注的，经不动产产权登记部门确认、能积极主动配合征收，并腾空房屋交付的被征收人给予补偿安置，但结构差价不予优惠。</w:t>
      </w:r>
    </w:p>
    <w:p w14:paraId="46F3231D">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1999年地籍图和二调图上有标注的房屋使用的土地，应是有合法使用权的国有土地，在单位土地上或他人土地上建设的房屋，不享受上述政策。</w:t>
      </w:r>
    </w:p>
    <w:p w14:paraId="568381A1">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公有住房征收经公有住房产权单位申请，相关部门研究后，房屋使用人按照房改政策享有购房权利的，按照房改政策购买后，征收人应当对其被征收人予以补偿安置。不符合房改政策的，不予房改和享受相关的补偿政策。</w:t>
      </w:r>
    </w:p>
    <w:p w14:paraId="558D0EF3">
      <w:pPr>
        <w:widowControl w:val="0"/>
        <w:tabs>
          <w:tab w:val="left" w:pos="1683"/>
        </w:tabs>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第十九条</w:t>
      </w:r>
      <w:r>
        <w:rPr>
          <w:rFonts w:hint="default" w:ascii="Times New Roman" w:hAnsi="Times New Roman" w:eastAsia="方正仿宋_GBK" w:cs="Times New Roman"/>
          <w:sz w:val="32"/>
          <w:szCs w:val="32"/>
        </w:rPr>
        <w:t xml:space="preserve">  被征收人选择房屋产权调换的，可以选择按下列方式结算差价：</w:t>
      </w:r>
    </w:p>
    <w:p w14:paraId="2581BF67">
      <w:pPr>
        <w:widowControl w:val="0"/>
        <w:adjustRightInd/>
        <w:snapToGrid w:val="0"/>
        <w:spacing w:before="0" w:after="0" w:line="590" w:lineRule="exact"/>
        <w:ind w:left="0" w:leftChars="0" w:firstLine="640" w:firstLineChars="200"/>
        <w:textAlignment w:val="auto"/>
        <w:outlineLvl w:val="9"/>
        <w:rPr>
          <w:rFonts w:hint="eastAsia" w:ascii="方正楷体_GBK" w:hAnsi="方正楷体_GBK" w:eastAsia="方正楷体_GBK" w:cs="方正楷体_GBK"/>
          <w:sz w:val="32"/>
          <w:szCs w:val="32"/>
        </w:rPr>
      </w:pPr>
      <w:r>
        <w:rPr>
          <w:rFonts w:hint="eastAsia" w:ascii="方正楷体_GBK" w:hAnsi="方正楷体_GBK" w:eastAsia="方正楷体_GBK" w:cs="方正楷体_GBK"/>
          <w:bCs/>
          <w:sz w:val="32"/>
          <w:szCs w:val="32"/>
        </w:rPr>
        <w:t>（一）</w:t>
      </w:r>
      <w:r>
        <w:rPr>
          <w:rFonts w:hint="eastAsia" w:ascii="方正楷体_GBK" w:hAnsi="方正楷体_GBK" w:eastAsia="方正楷体_GBK" w:cs="方正楷体_GBK"/>
          <w:sz w:val="32"/>
          <w:szCs w:val="32"/>
        </w:rPr>
        <w:t>住宅房屋。</w:t>
      </w:r>
    </w:p>
    <w:p w14:paraId="4A70AE4C">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highlight w:val="red"/>
        </w:rPr>
      </w:pPr>
      <w:r>
        <w:rPr>
          <w:rFonts w:hint="default" w:ascii="Times New Roman" w:hAnsi="Times New Roman" w:eastAsia="方正仿宋_GBK" w:cs="Times New Roman"/>
          <w:sz w:val="32"/>
          <w:szCs w:val="32"/>
        </w:rPr>
        <w:t>1. 被征收人按征收房屋面积就近靠档选择安置房，等面积部分用安置房的建安价减去被征收房屋的重置价结合成新（旧房建安评估价）结算差价，被征收人付差价的40%。超面积20平方米以内部分按该地块综合成本价确定，综合成本价由安置地块楼面地价、建安（含附属）中标价构成；超出原征收面积20平方米的安置房面积部分按该地块市场销售价计算。在征收期内主动搬迁的，超出征收面积5%以内的面积按建安价结算。</w:t>
      </w:r>
    </w:p>
    <w:p w14:paraId="3FC00952">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被征收人不同意按照上述方式结算差价的，按本办法第十六条规定确定被征收房屋价值和产权调换房屋的价值，与征收部门结清差价。</w:t>
      </w:r>
    </w:p>
    <w:p w14:paraId="64012414">
      <w:pPr>
        <w:widowControl w:val="0"/>
        <w:adjustRightInd/>
        <w:snapToGrid w:val="0"/>
        <w:spacing w:before="0" w:after="0" w:line="590" w:lineRule="exact"/>
        <w:ind w:left="0" w:leftChars="0" w:firstLine="640" w:firstLineChars="200"/>
        <w:textAlignment w:val="auto"/>
        <w:outlineLvl w:val="9"/>
        <w:rPr>
          <w:rFonts w:hint="default" w:ascii="方正楷体_GBK" w:hAnsi="方正楷体_GBK" w:eastAsia="方正楷体_GBK" w:cs="方正楷体_GBK"/>
          <w:bCs/>
          <w:sz w:val="32"/>
          <w:szCs w:val="32"/>
        </w:rPr>
      </w:pPr>
      <w:r>
        <w:rPr>
          <w:rFonts w:hint="default" w:ascii="方正楷体_GBK" w:hAnsi="方正楷体_GBK" w:eastAsia="方正楷体_GBK" w:cs="方正楷体_GBK"/>
          <w:bCs/>
          <w:sz w:val="32"/>
          <w:szCs w:val="32"/>
        </w:rPr>
        <w:t>（二）非住宅房屋。</w:t>
      </w:r>
    </w:p>
    <w:p w14:paraId="577AD2D3">
      <w:pPr>
        <w:widowControl w:val="0"/>
        <w:tabs>
          <w:tab w:val="left" w:pos="1683"/>
        </w:tabs>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合法产权证件载明房屋面积和性质的一层商业经营房，等面积部分按安置房的建安价减去被征收房屋的重置价结合成新（旧房建安评估价）结算差价，被征收人付差价的55%；超面积部分按该地块一层商业经营房销售价格结算。</w:t>
      </w:r>
    </w:p>
    <w:p w14:paraId="13B516EF">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未经规划部门批准或不动产产权管理部门变更登记，使用性质由非经营性房屋改作经营性的房屋，同时具备下列条件，也可认定为经营房（住改营），沿路的第一层第一自然间10米以内的部分可认定为营业房：</w:t>
      </w:r>
    </w:p>
    <w:p w14:paraId="0295CC77">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（1）有合法的产权证明或1999年地籍图标注的房屋；</w:t>
      </w:r>
    </w:p>
    <w:p w14:paraId="671F349A">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征收公告发布时，已经取得与其经营地址相应的营业执照，该房屋用于延续经营3年以上；住改营房屋用于延续经营的年限，应在工商营业执照的有效期内计算，同一住改营房屋分不同时段办理多个营业执照的，其营业执照的有效期间隔不大于一年。</w:t>
      </w:r>
    </w:p>
    <w:p w14:paraId="0E0BDFF9">
      <w:pPr>
        <w:widowControl w:val="0"/>
        <w:tabs>
          <w:tab w:val="left" w:pos="1683"/>
        </w:tabs>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 差价结算方式：</w:t>
      </w:r>
    </w:p>
    <w:p w14:paraId="4C5291AE">
      <w:pPr>
        <w:widowControl w:val="0"/>
        <w:tabs>
          <w:tab w:val="left" w:pos="1683"/>
        </w:tabs>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（1）等面积部分按安置房的建安价减去被征收房屋的重置价结合成新（旧房建安评估价）结算差价，被征收人付差价的60%；超面积部分按该地块一层商业经营房销售价格结算。</w:t>
      </w:r>
    </w:p>
    <w:p w14:paraId="640B60A7">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（2）被征收人不同意按照上述方式结算差价的，按本办法第十六条规定确定被征收房屋价值和产权调换房屋的价值与征收部门结清差价。</w:t>
      </w:r>
    </w:p>
    <w:p w14:paraId="692ECC91">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第二十条</w:t>
      </w:r>
      <w:r>
        <w:rPr>
          <w:rFonts w:hint="default" w:ascii="Times New Roman" w:hAnsi="Times New Roman" w:eastAsia="方正仿宋_GBK" w:cs="Times New Roman"/>
          <w:sz w:val="32"/>
          <w:szCs w:val="32"/>
        </w:rPr>
        <w:t xml:space="preserve">  享受最低生活保障待遇的城市居民户，实行产权调换的，被征收房屋和安置房等面积50平方米以内的部分不结算结构差价，超出面积部分按本办法十九条规定结算结构差价。</w:t>
      </w:r>
    </w:p>
    <w:p w14:paraId="27F22DC3">
      <w:pPr>
        <w:widowControl w:val="0"/>
        <w:tabs>
          <w:tab w:val="left" w:pos="1683"/>
        </w:tabs>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第二十一条</w:t>
      </w:r>
      <w:r>
        <w:rPr>
          <w:rFonts w:hint="default" w:ascii="Times New Roman" w:hAnsi="Times New Roman" w:eastAsia="方正仿宋_GBK" w:cs="Times New Roman"/>
          <w:sz w:val="32"/>
          <w:szCs w:val="32"/>
        </w:rPr>
        <w:t xml:space="preserve"> 持有国有居住用地土地使用合法证件且独立院落的住宅户，其实际居住房屋面积容积率小于1.0的，产权调换时被征收房屋面积可以按容积率1.0计算予以安置，按容积率1.0计算补足安置房面积的部分，按建安价结算差价。</w:t>
      </w:r>
    </w:p>
    <w:p w14:paraId="0B4511D9">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第二十二条</w:t>
      </w:r>
      <w:r>
        <w:rPr>
          <w:rFonts w:hint="default" w:ascii="Times New Roman" w:hAnsi="Times New Roman" w:eastAsia="方正仿宋_GBK" w:cs="Times New Roman"/>
          <w:sz w:val="32"/>
          <w:szCs w:val="32"/>
        </w:rPr>
        <w:t xml:space="preserve">  因征收房屋造成搬迁的，县房屋征收部门应当向被征收人支付搬迁费；选择房屋产权调换的，县房屋征收部门应当向被征收人支付临时安置费或停业损失费，超过回迁安置期限未提供安置房的，应当自逾期之月起按照原标准的2倍支付临时安置费或停业损失费。</w:t>
      </w:r>
    </w:p>
    <w:p w14:paraId="3C75C0F6">
      <w:pPr>
        <w:widowControl w:val="0"/>
        <w:adjustRightInd/>
        <w:snapToGrid w:val="0"/>
        <w:spacing w:before="0" w:after="0" w:line="590" w:lineRule="exact"/>
        <w:ind w:left="0" w:leftChars="0" w:firstLine="640" w:firstLineChars="200"/>
        <w:jc w:val="left"/>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第二十三条</w:t>
      </w:r>
      <w:r>
        <w:rPr>
          <w:rFonts w:hint="default" w:ascii="Times New Roman" w:hAnsi="Times New Roman" w:eastAsia="方正仿宋_GBK" w:cs="Times New Roman"/>
          <w:sz w:val="32"/>
          <w:szCs w:val="32"/>
        </w:rPr>
        <w:t xml:space="preserve">  征收人应支付被征收人征迁过渡费用，过渡期不超过30个月，过渡费用按下列标准执行：</w:t>
      </w:r>
    </w:p>
    <w:p w14:paraId="065CBF45">
      <w:pPr>
        <w:widowControl w:val="0"/>
        <w:tabs>
          <w:tab w:val="left" w:pos="1683"/>
        </w:tabs>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bCs/>
          <w:sz w:val="32"/>
          <w:szCs w:val="32"/>
        </w:rPr>
        <w:t>（一）临时安置费：</w:t>
      </w:r>
      <w:r>
        <w:rPr>
          <w:rFonts w:hint="default" w:ascii="Times New Roman" w:hAnsi="Times New Roman" w:eastAsia="方正仿宋_GBK" w:cs="Times New Roman"/>
          <w:sz w:val="32"/>
          <w:szCs w:val="32"/>
        </w:rPr>
        <w:t>住宅房每平方米每月6元；城市规划区内被征收住房临时安置补助费不足600元的，按600元补助。实行货币补偿的，征收部门支付1次搬迁费和6个月的临时安置费。</w:t>
      </w:r>
    </w:p>
    <w:p w14:paraId="69FA1DC9">
      <w:pPr>
        <w:widowControl w:val="0"/>
        <w:adjustRightInd/>
        <w:snapToGrid w:val="0"/>
        <w:spacing w:before="0" w:after="0" w:line="590" w:lineRule="exact"/>
        <w:ind w:left="0" w:leftChars="0" w:firstLine="640" w:firstLineChars="200"/>
        <w:textAlignment w:val="auto"/>
        <w:outlineLvl w:val="9"/>
        <w:rPr>
          <w:rFonts w:hint="default" w:ascii="方正楷体_GBK" w:hAnsi="方正楷体_GBK" w:eastAsia="方正楷体_GBK" w:cs="方正楷体_GBK"/>
          <w:bCs/>
          <w:sz w:val="32"/>
          <w:szCs w:val="32"/>
        </w:rPr>
      </w:pPr>
      <w:r>
        <w:rPr>
          <w:rFonts w:hint="default" w:ascii="方正楷体_GBK" w:hAnsi="方正楷体_GBK" w:eastAsia="方正楷体_GBK" w:cs="方正楷体_GBK"/>
          <w:bCs/>
          <w:sz w:val="32"/>
          <w:szCs w:val="32"/>
        </w:rPr>
        <w:t>（二）停业损失费：</w:t>
      </w:r>
    </w:p>
    <w:p w14:paraId="031A7FED">
      <w:pPr>
        <w:widowControl w:val="0"/>
        <w:tabs>
          <w:tab w:val="left" w:pos="1683"/>
        </w:tabs>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有合法产权证件的房屋一层用于商业经营的，每月每平方米补偿25元，有合法产权证件的其他类型经营房屋每月每平方米补偿15元。</w:t>
      </w:r>
    </w:p>
    <w:p w14:paraId="4B9EEBB2">
      <w:pPr>
        <w:widowControl w:val="0"/>
        <w:tabs>
          <w:tab w:val="left" w:pos="1683"/>
        </w:tabs>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符合第十九条规定条件的住改营房屋，一层每月每平方米补偿20元，其他类型的经营房屋每月每平方米补偿12元。实行货币补偿的，征收部门支付1次搬迁费和6个月的停业损失费。</w:t>
      </w:r>
    </w:p>
    <w:p w14:paraId="3268DBFD">
      <w:pPr>
        <w:widowControl w:val="0"/>
        <w:tabs>
          <w:tab w:val="left" w:pos="1683"/>
        </w:tabs>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highlight w:val="yellow"/>
        </w:rPr>
      </w:pPr>
      <w:r>
        <w:rPr>
          <w:rFonts w:hint="default" w:ascii="Times New Roman" w:hAnsi="Times New Roman" w:eastAsia="方正仿宋_GBK" w:cs="Times New Roman"/>
          <w:sz w:val="32"/>
          <w:szCs w:val="32"/>
        </w:rPr>
        <w:t>3. 企业的停产停业损失费、搬迁费用和其他应补偿费用以有资质的评估部门评估价格为准。停产停业损失费按征收企业房屋实际评估补偿金额的4%一次性补偿。</w:t>
      </w:r>
    </w:p>
    <w:p w14:paraId="216095C5">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楷体_GBK" w:hAnsi="方正楷体_GBK" w:eastAsia="方正楷体_GBK" w:cs="方正楷体_GBK"/>
          <w:bCs/>
          <w:sz w:val="32"/>
          <w:szCs w:val="32"/>
        </w:rPr>
        <w:t>（三）</w:t>
      </w:r>
      <w:r>
        <w:rPr>
          <w:rFonts w:hint="default" w:ascii="Times New Roman" w:hAnsi="Times New Roman" w:eastAsia="方正仿宋_GBK" w:cs="Times New Roman"/>
          <w:sz w:val="32"/>
          <w:szCs w:val="32"/>
        </w:rPr>
        <w:t>被征收人实行房屋产权调换一次性安置的，征收部门支付1次搬迁费，不支付停产停业损失费。</w:t>
      </w:r>
    </w:p>
    <w:p w14:paraId="7D8B9E16">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第二十四条</w:t>
      </w:r>
      <w:r>
        <w:rPr>
          <w:rFonts w:hint="default" w:ascii="Times New Roman" w:hAnsi="Times New Roman" w:eastAsia="方正仿宋_GBK" w:cs="Times New Roman"/>
          <w:sz w:val="32"/>
          <w:szCs w:val="32"/>
        </w:rPr>
        <w:t>　县房屋征收部门与被征收人依照本办法的规定，订立征收补偿协议。被征收人获得补偿后，应当在补偿协议约定或者补偿决定确定的搬迁期限内完成搬迁。</w:t>
      </w:r>
    </w:p>
    <w:p w14:paraId="1FD6C410">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征收补偿协议订立后，一方当事人不履行补偿协议约定义务的，另一方当事人可以依法提起诉讼。</w:t>
      </w:r>
    </w:p>
    <w:p w14:paraId="783FA79F">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第二十五条</w:t>
      </w:r>
      <w:r>
        <w:rPr>
          <w:rFonts w:hint="default" w:ascii="Times New Roman" w:hAnsi="Times New Roman" w:eastAsia="方正仿宋_GBK" w:cs="Times New Roman"/>
          <w:sz w:val="32"/>
          <w:szCs w:val="32"/>
        </w:rPr>
        <w:t>　在规定期限交房搬迁的，按照被征收房屋有效建筑面积给予奖励，奖励标准在征收项目方案中确定。</w:t>
      </w:r>
    </w:p>
    <w:p w14:paraId="6F161618">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第二十六条</w:t>
      </w:r>
      <w:r>
        <w:rPr>
          <w:rFonts w:hint="default" w:ascii="Times New Roman" w:hAnsi="Times New Roman" w:eastAsia="方正仿宋_GBK" w:cs="Times New Roman"/>
          <w:sz w:val="32"/>
          <w:szCs w:val="32"/>
        </w:rPr>
        <w:t>　县房屋征收部门与被征收人在征收补偿方案确定的征迁期限内达不成征收补偿协议，或者被征收房屋所有权人不明确的，由房屋征收部门报请县人民政府依照本办法的规定，按照征收补偿方案作出补偿决定，并在房屋征收范围内予以公告。</w:t>
      </w:r>
    </w:p>
    <w:p w14:paraId="524F436A">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被征收人对补偿决定不服的，可以依法申请行政复议，也可以依法提起行政诉讼。</w:t>
      </w:r>
    </w:p>
    <w:p w14:paraId="4B5DD074">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第二十七条　</w:t>
      </w:r>
      <w:r>
        <w:rPr>
          <w:rFonts w:hint="default" w:ascii="Times New Roman" w:hAnsi="Times New Roman" w:eastAsia="方正仿宋_GBK" w:cs="Times New Roman"/>
          <w:sz w:val="32"/>
          <w:szCs w:val="32"/>
        </w:rPr>
        <w:t>被征收人在法定期限内不申请行政复议或者不提起行政诉讼，在补偿决定规定的期限内又不搬迁的，由县人民政府依法申请县人民法院强制执行。</w:t>
      </w:r>
    </w:p>
    <w:p w14:paraId="5DD26962">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第二十八条</w:t>
      </w:r>
      <w:r>
        <w:rPr>
          <w:rFonts w:hint="default" w:ascii="Times New Roman" w:hAnsi="Times New Roman" w:eastAsia="方正仿宋_GBK" w:cs="Times New Roman"/>
          <w:sz w:val="32"/>
          <w:szCs w:val="32"/>
        </w:rPr>
        <w:t>　县房屋征收部门应当依法建立房屋征收补偿档案，并将分户补偿情况在房屋征收范围内向被征收人公布。</w:t>
      </w:r>
    </w:p>
    <w:p w14:paraId="650D75DF">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县审计机关应当加强对征收补偿费用管理和使用情况的监督，并公布审计结果。</w:t>
      </w:r>
    </w:p>
    <w:p w14:paraId="694E8767">
      <w:pPr>
        <w:widowControl w:val="0"/>
        <w:adjustRightInd/>
        <w:snapToGrid w:val="0"/>
        <w:spacing w:before="0" w:after="0" w:line="590" w:lineRule="exact"/>
        <w:ind w:left="0" w:leftChars="0" w:firstLine="555"/>
        <w:jc w:val="center"/>
        <w:textAlignment w:val="auto"/>
        <w:outlineLvl w:val="9"/>
        <w:rPr>
          <w:rFonts w:hint="default" w:ascii="Times New Roman" w:hAnsi="Times New Roman" w:eastAsia="方正仿宋_GBK" w:cs="Times New Roman"/>
          <w:sz w:val="32"/>
          <w:szCs w:val="32"/>
        </w:rPr>
      </w:pPr>
    </w:p>
    <w:p w14:paraId="3E51F3F7">
      <w:pPr>
        <w:widowControl w:val="0"/>
        <w:numPr>
          <w:ilvl w:val="0"/>
          <w:numId w:val="2"/>
        </w:numPr>
        <w:adjustRightInd/>
        <w:snapToGrid w:val="0"/>
        <w:spacing w:before="0" w:after="0" w:line="590" w:lineRule="exact"/>
        <w:ind w:left="0" w:leftChars="0" w:firstLine="3401" w:firstLineChars="1063"/>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 法律责任</w:t>
      </w:r>
    </w:p>
    <w:p w14:paraId="4DDF9DB9">
      <w:pPr>
        <w:widowControl w:val="0"/>
        <w:numPr>
          <w:ilvl w:val="0"/>
          <w:numId w:val="0"/>
        </w:numPr>
        <w:adjustRightInd/>
        <w:snapToGrid w:val="0"/>
        <w:spacing w:before="0" w:after="0" w:line="590" w:lineRule="exact"/>
        <w:ind w:leftChars="1063"/>
        <w:textAlignment w:val="auto"/>
        <w:outlineLvl w:val="9"/>
        <w:rPr>
          <w:rFonts w:hint="eastAsia" w:ascii="方正黑体_GBK" w:hAnsi="方正黑体_GBK" w:eastAsia="方正黑体_GBK" w:cs="方正黑体_GBK"/>
          <w:sz w:val="32"/>
          <w:szCs w:val="32"/>
        </w:rPr>
      </w:pPr>
    </w:p>
    <w:p w14:paraId="756A28E3">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第二十九条</w:t>
      </w:r>
      <w:r>
        <w:rPr>
          <w:rFonts w:hint="default" w:ascii="Times New Roman" w:hAnsi="Times New Roman" w:eastAsia="方正仿宋_GBK" w:cs="Times New Roman"/>
          <w:sz w:val="32"/>
          <w:szCs w:val="32"/>
        </w:rPr>
        <w:t>　采取暴力、威胁等方法阻碍依法进行的房屋征收与补偿工作，构成违反治安管理行为的，依法给予治安管理处罚。构成犯罪的，依法追究刑事责任。</w:t>
      </w:r>
    </w:p>
    <w:p w14:paraId="264BBA69">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第三十条</w:t>
      </w:r>
      <w:r>
        <w:rPr>
          <w:rFonts w:hint="default" w:ascii="Times New Roman" w:hAnsi="Times New Roman" w:eastAsia="方正仿宋_GBK" w:cs="Times New Roman"/>
          <w:sz w:val="32"/>
          <w:szCs w:val="32"/>
        </w:rPr>
        <w:t xml:space="preserve">  县房屋征收部门、征收实施单位和相关单位的工作人员在房屋征收与补偿工作中不履行国家和本办法规定职责的，贪污、挪用、私分、截留、拖欠征收补偿费用的，或者滥用职权、玩忽职守、徇私舞弊尚不构成犯罪的，依法给予行政处分；构成犯罪的，依法追究刑事责任。</w:t>
      </w:r>
    </w:p>
    <w:p w14:paraId="7FC59BE4">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trike/>
          <w:sz w:val="32"/>
          <w:szCs w:val="32"/>
        </w:rPr>
      </w:pPr>
      <w:r>
        <w:rPr>
          <w:rFonts w:hint="default" w:ascii="方正黑体_GBK" w:hAnsi="方正黑体_GBK" w:eastAsia="方正黑体_GBK" w:cs="方正黑体_GBK"/>
          <w:sz w:val="32"/>
          <w:szCs w:val="32"/>
        </w:rPr>
        <w:t>第三十一条</w:t>
      </w:r>
      <w:r>
        <w:rPr>
          <w:rFonts w:hint="default" w:ascii="Times New Roman" w:hAnsi="Times New Roman" w:eastAsia="方正仿宋_GBK" w:cs="Times New Roman"/>
          <w:sz w:val="32"/>
          <w:szCs w:val="32"/>
        </w:rPr>
        <w:t xml:space="preserve">  房地产价格评估机构或者房地产估价师出具虚假或者有重大差错评估报告的，除依据有关规定予以处理外，列入不良信用企业名录。</w:t>
      </w:r>
    </w:p>
    <w:p w14:paraId="021E8C12">
      <w:pPr>
        <w:widowControl w:val="0"/>
        <w:adjustRightInd/>
        <w:snapToGrid w:val="0"/>
        <w:spacing w:before="0" w:after="0" w:line="590" w:lineRule="exact"/>
        <w:ind w:left="0" w:leftChars="0" w:firstLine="555"/>
        <w:jc w:val="center"/>
        <w:textAlignment w:val="auto"/>
        <w:outlineLvl w:val="9"/>
        <w:rPr>
          <w:rFonts w:hint="default" w:ascii="Times New Roman" w:hAnsi="Times New Roman" w:eastAsia="方正仿宋_GBK" w:cs="Times New Roman"/>
          <w:sz w:val="32"/>
          <w:szCs w:val="32"/>
        </w:rPr>
      </w:pPr>
    </w:p>
    <w:p w14:paraId="0EB47D5F">
      <w:pPr>
        <w:widowControl w:val="0"/>
        <w:numPr>
          <w:ilvl w:val="0"/>
          <w:numId w:val="2"/>
        </w:numPr>
        <w:tabs>
          <w:tab w:val="left" w:pos="1683"/>
        </w:tabs>
        <w:adjustRightInd/>
        <w:snapToGrid w:val="0"/>
        <w:spacing w:before="0" w:after="0" w:line="590" w:lineRule="exact"/>
        <w:ind w:left="0" w:leftChars="0" w:firstLine="3401" w:firstLineChars="1063"/>
        <w:jc w:val="both"/>
        <w:textAlignment w:val="auto"/>
        <w:outlineLvl w:val="9"/>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附则</w:t>
      </w:r>
    </w:p>
    <w:p w14:paraId="3C874DA0">
      <w:pPr>
        <w:widowControl w:val="0"/>
        <w:numPr>
          <w:ilvl w:val="0"/>
          <w:numId w:val="0"/>
        </w:numPr>
        <w:tabs>
          <w:tab w:val="left" w:pos="1683"/>
        </w:tabs>
        <w:adjustRightInd/>
        <w:snapToGrid w:val="0"/>
        <w:spacing w:before="0" w:after="0" w:line="590" w:lineRule="exact"/>
        <w:ind w:leftChars="1063"/>
        <w:jc w:val="both"/>
        <w:textAlignment w:val="auto"/>
        <w:outlineLvl w:val="9"/>
        <w:rPr>
          <w:rFonts w:hint="default" w:ascii="方正黑体_GBK" w:hAnsi="方正黑体_GBK" w:eastAsia="方正黑体_GBK" w:cs="方正黑体_GBK"/>
          <w:sz w:val="32"/>
          <w:szCs w:val="32"/>
        </w:rPr>
      </w:pPr>
    </w:p>
    <w:p w14:paraId="499B5016">
      <w:pPr>
        <w:widowControl w:val="0"/>
        <w:tabs>
          <w:tab w:val="left" w:pos="1683"/>
        </w:tabs>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第三十二条</w:t>
      </w:r>
      <w:r>
        <w:rPr>
          <w:rFonts w:hint="default" w:ascii="Times New Roman" w:hAnsi="Times New Roman" w:eastAsia="方正仿宋_GBK" w:cs="Times New Roman"/>
          <w:sz w:val="32"/>
          <w:szCs w:val="32"/>
        </w:rPr>
        <w:t>　本办法由县住房城乡建设局负责解释。</w:t>
      </w:r>
    </w:p>
    <w:p w14:paraId="3162CF8C">
      <w:pPr>
        <w:widowControl w:val="0"/>
        <w:adjustRightInd/>
        <w:snapToGrid w:val="0"/>
        <w:spacing w:before="0" w:after="0" w:line="590" w:lineRule="exact"/>
        <w:ind w:left="0" w:leftChars="0" w:firstLine="555"/>
        <w:textAlignment w:val="auto"/>
        <w:outlineLvl w:val="9"/>
        <w:rPr>
          <w:rFonts w:hint="default" w:ascii="Times New Roman" w:hAnsi="Times New Roman" w:eastAsia="方正仿宋_GBK" w:cs="Times New Roman"/>
          <w:sz w:val="32"/>
          <w:szCs w:val="32"/>
        </w:rPr>
      </w:pPr>
      <w:r>
        <w:rPr>
          <w:rFonts w:hint="default" w:ascii="方正黑体_GBK" w:hAnsi="方正黑体_GBK" w:eastAsia="方正黑体_GBK" w:cs="方正黑体_GBK"/>
          <w:sz w:val="32"/>
          <w:szCs w:val="32"/>
        </w:rPr>
        <w:t>第三十三条</w:t>
      </w:r>
      <w:r>
        <w:rPr>
          <w:rFonts w:hint="default" w:ascii="Times New Roman" w:hAnsi="Times New Roman" w:eastAsia="方正仿宋_GBK" w:cs="Times New Roman"/>
          <w:sz w:val="32"/>
          <w:szCs w:val="32"/>
        </w:rPr>
        <w:t>　本办法自公布之日起施行。《怀远县国有土地上房屋征收与补偿办法（试行）》（怀政〔2011〕53号）和《怀远县人民政府关于修改国有土地上房屋征收和集体土地拆迁补偿相关规定的通知》（怀政〔2014〕22号）同时废止。本办法施行前批准的项目，继续沿用原有的规定办理。</w:t>
      </w:r>
    </w:p>
    <w:p w14:paraId="773981C4">
      <w:pPr>
        <w:widowControl w:val="0"/>
        <w:adjustRightInd/>
        <w:snapToGrid w:val="0"/>
        <w:spacing w:before="0" w:after="0" w:line="590" w:lineRule="exact"/>
        <w:textAlignment w:val="auto"/>
        <w:outlineLvl w:val="9"/>
        <w:rPr>
          <w:rFonts w:hint="default" w:ascii="Times New Roman" w:hAnsi="Times New Roman" w:eastAsia="方正仿宋_GBK" w:cs="Times New Roman"/>
          <w:sz w:val="32"/>
          <w:szCs w:val="32"/>
        </w:rPr>
      </w:pPr>
      <w:bookmarkStart w:id="0" w:name="_GoBack"/>
      <w:bookmarkEnd w:id="0"/>
    </w:p>
    <w:p w14:paraId="51437129">
      <w:pPr>
        <w:widowControl w:val="0"/>
        <w:adjustRightInd/>
        <w:snapToGrid w:val="0"/>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附件：1. 全新安置房建安造价（暂定）</w:t>
      </w:r>
    </w:p>
    <w:p w14:paraId="5601C58B">
      <w:pPr>
        <w:widowControl w:val="0"/>
        <w:adjustRightInd/>
        <w:snapToGrid w:val="0"/>
        <w:spacing w:before="0" w:after="0" w:line="590" w:lineRule="exact"/>
        <w:ind w:left="0" w:leftChars="0" w:firstLine="1600" w:firstLineChars="5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被征收房屋的建筑面积计算规则</w:t>
      </w:r>
    </w:p>
    <w:p w14:paraId="159DB718">
      <w:pPr>
        <w:widowControl w:val="0"/>
        <w:adjustRightInd/>
        <w:snapToGrid w:val="0"/>
        <w:spacing w:before="0" w:after="0" w:line="590" w:lineRule="exact"/>
        <w:ind w:left="0" w:leftChars="0" w:firstLine="1600" w:firstLineChars="5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 怀远县国有土地上房屋征收附属物补偿标准</w:t>
      </w:r>
    </w:p>
    <w:p w14:paraId="4690F535">
      <w:pPr>
        <w:widowControl w:val="0"/>
        <w:adjustRightInd/>
        <w:spacing w:before="0" w:after="0" w:line="590" w:lineRule="exact"/>
        <w:ind w:left="0" w:leftChars="0" w:firstLine="0" w:firstLineChars="0"/>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br w:type="page"/>
      </w:r>
      <w:r>
        <w:rPr>
          <w:rFonts w:hint="eastAsia" w:ascii="方正黑体_GBK" w:hAnsi="方正黑体_GBK" w:eastAsia="方正黑体_GBK" w:cs="方正黑体_GBK"/>
          <w:sz w:val="32"/>
          <w:szCs w:val="32"/>
        </w:rPr>
        <w:t>附件1</w:t>
      </w:r>
    </w:p>
    <w:p w14:paraId="7EEF0487">
      <w:pPr>
        <w:widowControl w:val="0"/>
        <w:adjustRightIn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bCs/>
          <w:sz w:val="44"/>
          <w:szCs w:val="44"/>
        </w:rPr>
      </w:pPr>
    </w:p>
    <w:p w14:paraId="2F7A74E7">
      <w:pPr>
        <w:widowControl w:val="0"/>
        <w:adjustRightIn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全新安置房建安造价标准（暂定）</w:t>
      </w:r>
    </w:p>
    <w:p w14:paraId="4798509F">
      <w:pPr>
        <w:widowControl w:val="0"/>
        <w:adjustRightIn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bCs/>
          <w:sz w:val="44"/>
          <w:szCs w:val="44"/>
        </w:rPr>
      </w:pPr>
    </w:p>
    <w:tbl>
      <w:tblPr>
        <w:tblStyle w:val="6"/>
        <w:tblpPr w:leftFromText="180" w:rightFromText="180" w:vertAnchor="text" w:horzAnchor="margin" w:tblpXSpec="left" w:tblpY="658"/>
        <w:tblW w:w="88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2"/>
        <w:gridCol w:w="4422"/>
      </w:tblGrid>
      <w:tr w14:paraId="5314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trPr>
        <w:tc>
          <w:tcPr>
            <w:tcW w:w="4422" w:type="dxa"/>
            <w:vAlign w:val="center"/>
          </w:tcPr>
          <w:p w14:paraId="23D6F67C">
            <w:pPr>
              <w:widowControl w:val="0"/>
              <w:adjustRightInd/>
              <w:spacing w:before="0" w:after="0" w:line="590" w:lineRule="exact"/>
              <w:ind w:left="0" w:left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结构</w:t>
            </w:r>
          </w:p>
        </w:tc>
        <w:tc>
          <w:tcPr>
            <w:tcW w:w="4422" w:type="dxa"/>
            <w:vAlign w:val="center"/>
          </w:tcPr>
          <w:p w14:paraId="33DD26EF">
            <w:pPr>
              <w:widowControl w:val="0"/>
              <w:adjustRightInd/>
              <w:spacing w:before="0" w:after="0" w:line="590" w:lineRule="exact"/>
              <w:ind w:left="0" w:left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钢混</w:t>
            </w:r>
          </w:p>
        </w:tc>
      </w:tr>
      <w:tr w14:paraId="1178C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9" w:hRule="atLeast"/>
        </w:trPr>
        <w:tc>
          <w:tcPr>
            <w:tcW w:w="4422" w:type="dxa"/>
            <w:vAlign w:val="center"/>
          </w:tcPr>
          <w:p w14:paraId="699BD606">
            <w:pPr>
              <w:widowControl w:val="0"/>
              <w:adjustRightInd/>
              <w:spacing w:before="0" w:after="0" w:line="590" w:lineRule="exact"/>
              <w:ind w:left="0" w:left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单位</w:t>
            </w:r>
          </w:p>
        </w:tc>
        <w:tc>
          <w:tcPr>
            <w:tcW w:w="4422" w:type="dxa"/>
            <w:vAlign w:val="center"/>
          </w:tcPr>
          <w:p w14:paraId="2037542C">
            <w:pPr>
              <w:widowControl w:val="0"/>
              <w:adjustRightInd/>
              <w:spacing w:before="0" w:after="0" w:line="590" w:lineRule="exact"/>
              <w:ind w:left="0" w:left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1200—1600</w:t>
            </w:r>
          </w:p>
        </w:tc>
      </w:tr>
    </w:tbl>
    <w:p w14:paraId="7E9FF8C1">
      <w:pPr>
        <w:widowControl w:val="0"/>
        <w:adjustRightInd/>
        <w:spacing w:before="0" w:after="0" w:line="590" w:lineRule="exact"/>
        <w:ind w:left="0" w:left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单位：元/平方米</w:t>
      </w:r>
    </w:p>
    <w:p w14:paraId="447E56B5">
      <w:pPr>
        <w:widowControl w:val="0"/>
        <w:adjustRightInd/>
        <w:spacing w:before="0" w:after="0" w:line="590" w:lineRule="exact"/>
        <w:ind w:left="0" w:left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p>
    <w:p w14:paraId="6A31727C">
      <w:pPr>
        <w:widowControl w:val="0"/>
        <w:adjustRightInd/>
        <w:spacing w:before="0" w:after="0" w:line="590" w:lineRule="exact"/>
        <w:ind w:left="0" w:leftChars="0"/>
        <w:textAlignment w:val="auto"/>
        <w:outlineLvl w:val="9"/>
        <w:rPr>
          <w:rFonts w:hint="default" w:ascii="Times New Roman" w:hAnsi="Times New Roman" w:eastAsia="方正仿宋_GBK" w:cs="Times New Roman"/>
          <w:sz w:val="32"/>
          <w:szCs w:val="32"/>
        </w:rPr>
      </w:pPr>
    </w:p>
    <w:p w14:paraId="7FE5318D">
      <w:pPr>
        <w:widowControl w:val="0"/>
        <w:adjustRightInd/>
        <w:spacing w:before="0" w:after="0" w:line="590" w:lineRule="exact"/>
        <w:ind w:left="0" w:leftChars="0"/>
        <w:textAlignment w:val="auto"/>
        <w:outlineLvl w:val="9"/>
        <w:rPr>
          <w:rFonts w:hint="default" w:ascii="Times New Roman" w:hAnsi="Times New Roman" w:eastAsia="方正仿宋_GBK" w:cs="Times New Roman"/>
          <w:sz w:val="32"/>
          <w:szCs w:val="32"/>
        </w:rPr>
      </w:pPr>
    </w:p>
    <w:p w14:paraId="7FB6EE9B">
      <w:pPr>
        <w:widowControl w:val="0"/>
        <w:adjustRightInd/>
        <w:spacing w:before="0" w:after="0" w:line="590" w:lineRule="exact"/>
        <w:ind w:left="0" w:leftChars="0"/>
        <w:textAlignment w:val="auto"/>
        <w:outlineLvl w:val="9"/>
        <w:rPr>
          <w:rFonts w:hint="default" w:ascii="Times New Roman" w:hAnsi="Times New Roman" w:eastAsia="方正仿宋_GBK" w:cs="Times New Roman"/>
          <w:sz w:val="32"/>
          <w:szCs w:val="32"/>
        </w:rPr>
      </w:pPr>
    </w:p>
    <w:p w14:paraId="1433165E">
      <w:pPr>
        <w:widowControl w:val="0"/>
        <w:adjustRightInd/>
        <w:spacing w:before="0" w:after="0" w:line="590" w:lineRule="exact"/>
        <w:ind w:left="0" w:leftChars="0"/>
        <w:textAlignment w:val="auto"/>
        <w:outlineLvl w:val="9"/>
        <w:rPr>
          <w:rFonts w:hint="default" w:ascii="Times New Roman" w:hAnsi="Times New Roman" w:eastAsia="方正仿宋_GBK" w:cs="Times New Roman"/>
          <w:sz w:val="32"/>
          <w:szCs w:val="32"/>
        </w:rPr>
      </w:pPr>
    </w:p>
    <w:p w14:paraId="1AD2A194">
      <w:pPr>
        <w:widowControl w:val="0"/>
        <w:adjustRightInd/>
        <w:spacing w:before="0" w:after="0" w:line="590" w:lineRule="exact"/>
        <w:ind w:left="0" w:leftChars="0"/>
        <w:textAlignment w:val="auto"/>
        <w:outlineLvl w:val="9"/>
        <w:rPr>
          <w:rFonts w:hint="default" w:ascii="Times New Roman" w:hAnsi="Times New Roman" w:eastAsia="方正仿宋_GBK" w:cs="Times New Roman"/>
          <w:sz w:val="32"/>
          <w:szCs w:val="32"/>
        </w:rPr>
      </w:pPr>
    </w:p>
    <w:p w14:paraId="4C2C1499">
      <w:pPr>
        <w:widowControl w:val="0"/>
        <w:adjustRightInd/>
        <w:spacing w:before="0" w:after="0" w:line="590" w:lineRule="exact"/>
        <w:ind w:left="0" w:leftChars="0"/>
        <w:textAlignment w:val="auto"/>
        <w:outlineLvl w:val="9"/>
        <w:rPr>
          <w:rFonts w:hint="default" w:ascii="Times New Roman" w:hAnsi="Times New Roman" w:eastAsia="方正仿宋_GBK" w:cs="Times New Roman"/>
          <w:sz w:val="32"/>
          <w:szCs w:val="32"/>
        </w:rPr>
      </w:pPr>
    </w:p>
    <w:p w14:paraId="2691E2BE">
      <w:pPr>
        <w:widowControl w:val="0"/>
        <w:adjustRightInd/>
        <w:spacing w:before="0" w:after="0" w:line="590" w:lineRule="exact"/>
        <w:ind w:left="0" w:leftChars="0" w:firstLine="0" w:firstLineChars="0"/>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附件2</w:t>
      </w:r>
    </w:p>
    <w:p w14:paraId="4484DFC9">
      <w:pPr>
        <w:widowControl w:val="0"/>
        <w:adjustRightInd/>
        <w:spacing w:before="0" w:after="0" w:line="590" w:lineRule="exact"/>
        <w:ind w:left="0" w:leftChars="0"/>
        <w:jc w:val="center"/>
        <w:textAlignment w:val="auto"/>
        <w:outlineLvl w:val="9"/>
        <w:rPr>
          <w:rFonts w:hint="default" w:ascii="Times New Roman" w:hAnsi="Times New Roman" w:eastAsia="方正仿宋_GBK" w:cs="Times New Roman"/>
          <w:sz w:val="44"/>
          <w:szCs w:val="44"/>
        </w:rPr>
      </w:pPr>
    </w:p>
    <w:p w14:paraId="1487FAB5">
      <w:pPr>
        <w:widowControl w:val="0"/>
        <w:adjustRightIn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被征收房屋的建筑面积计算规则</w:t>
      </w:r>
    </w:p>
    <w:p w14:paraId="3247CEBC">
      <w:pPr>
        <w:widowControl w:val="0"/>
        <w:adjustRightIn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p>
    <w:p w14:paraId="77C635BA">
      <w:pPr>
        <w:widowControl w:val="0"/>
        <w:adjustRightInd/>
        <w:spacing w:before="0" w:after="0" w:line="590" w:lineRule="exact"/>
        <w:ind w:left="0" w:leftChars="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凡征收区内的建筑物，按以下规则计算建筑面积。</w:t>
      </w:r>
    </w:p>
    <w:p w14:paraId="5B7D12AD">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pacing w:val="-6"/>
          <w:sz w:val="32"/>
          <w:szCs w:val="32"/>
        </w:rPr>
      </w:pPr>
      <w:r>
        <w:rPr>
          <w:rFonts w:hint="default" w:ascii="Times New Roman" w:hAnsi="Times New Roman" w:eastAsia="方正仿宋_GBK" w:cs="Times New Roman"/>
          <w:sz w:val="32"/>
          <w:szCs w:val="32"/>
        </w:rPr>
        <w:t>一、</w:t>
      </w:r>
      <w:r>
        <w:rPr>
          <w:rFonts w:hint="default" w:ascii="Times New Roman" w:hAnsi="Times New Roman" w:eastAsia="方正仿宋_GBK" w:cs="Times New Roman"/>
          <w:spacing w:val="-6"/>
          <w:sz w:val="32"/>
          <w:szCs w:val="32"/>
        </w:rPr>
        <w:t>单层建筑物的建筑面积按外墙勒脚以上的外围水平面积计算。</w:t>
      </w:r>
    </w:p>
    <w:p w14:paraId="57F33005">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二、多层建筑物的建筑面积按外墙勒脚以上外围水平面积分层计算。</w:t>
      </w:r>
    </w:p>
    <w:p w14:paraId="512C81BF">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三、建筑物的内室通道、门厅、走廊、楼梯及封闭式阳台，按其水平投影面积计算建筑面积。室内按附属物补偿，不计算建筑面积。</w:t>
      </w:r>
    </w:p>
    <w:p w14:paraId="23DD315E">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四、建筑物的室外走廊、挑阳台（宽0.6米以下的不计算面积）、室外楼梯按其水平投影面积的一半计算建筑面积。</w:t>
      </w:r>
    </w:p>
    <w:p w14:paraId="190D70C8">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五、突出建筑物墙面的柱、垛、勒脚、台阶、铁梯、烟道、屋面作平台使用等不计算建筑面积。</w:t>
      </w:r>
    </w:p>
    <w:p w14:paraId="521161A6">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六、鸽房、鸡房、雨蓬、花棚等设施不计算建筑面积。</w:t>
      </w:r>
    </w:p>
    <w:p w14:paraId="0A0AEE66">
      <w:pPr>
        <w:rPr>
          <w:rFonts w:eastAsia="仿宋_GB2312"/>
          <w:sz w:val="32"/>
          <w:szCs w:val="32"/>
        </w:rPr>
      </w:pPr>
    </w:p>
    <w:p w14:paraId="1B51C206">
      <w:pPr>
        <w:rPr>
          <w:rFonts w:eastAsia="仿宋_GB2312"/>
          <w:sz w:val="32"/>
          <w:szCs w:val="32"/>
        </w:rPr>
      </w:pPr>
    </w:p>
    <w:p w14:paraId="01C55795">
      <w:pPr>
        <w:ind w:left="0" w:leftChars="0" w:firstLine="0" w:firstLineChars="0"/>
        <w:rPr>
          <w:rFonts w:eastAsia="黑体"/>
          <w:sz w:val="32"/>
          <w:szCs w:val="32"/>
        </w:rPr>
      </w:pPr>
      <w:r>
        <w:rPr>
          <w:rFonts w:eastAsia="黑体"/>
          <w:sz w:val="32"/>
          <w:szCs w:val="32"/>
        </w:rPr>
        <w:t>附件3</w:t>
      </w:r>
    </w:p>
    <w:p w14:paraId="28A18480">
      <w:pPr>
        <w:ind w:left="0" w:leftChars="0" w:firstLine="0" w:firstLineChars="0"/>
        <w:rPr>
          <w:rFonts w:eastAsia="黑体"/>
          <w:sz w:val="32"/>
          <w:szCs w:val="32"/>
        </w:rPr>
      </w:pPr>
    </w:p>
    <w:p w14:paraId="6F638BCA">
      <w:pPr>
        <w:spacing w:line="600" w:lineRule="exact"/>
        <w:ind w:left="0" w:leftChars="0" w:right="0" w:firstLine="0" w:firstLineChars="0"/>
        <w:jc w:val="center"/>
        <w:rPr>
          <w:rFonts w:eastAsia="方正小标宋简体"/>
          <w:sz w:val="44"/>
          <w:szCs w:val="44"/>
        </w:rPr>
      </w:pPr>
      <w:r>
        <w:rPr>
          <w:rFonts w:eastAsia="方正小标宋简体"/>
          <w:sz w:val="44"/>
          <w:szCs w:val="44"/>
        </w:rPr>
        <w:t>怀远县国有土地上房屋征收附属物补偿标准</w:t>
      </w:r>
    </w:p>
    <w:p w14:paraId="2424B5CD">
      <w:pPr>
        <w:spacing w:line="600" w:lineRule="exact"/>
        <w:ind w:left="0" w:leftChars="0" w:right="0" w:firstLine="0" w:firstLineChars="0"/>
        <w:jc w:val="center"/>
        <w:rPr>
          <w:rFonts w:eastAsia="方正小标宋简体"/>
          <w:sz w:val="44"/>
          <w:szCs w:val="44"/>
        </w:rPr>
      </w:pPr>
    </w:p>
    <w:tbl>
      <w:tblPr>
        <w:tblStyle w:val="6"/>
        <w:tblpPr w:leftFromText="180" w:rightFromText="180" w:vertAnchor="text" w:horzAnchor="page" w:tblpX="1595" w:tblpY="236"/>
        <w:tblW w:w="9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2326"/>
        <w:gridCol w:w="3026"/>
        <w:gridCol w:w="3027"/>
      </w:tblGrid>
      <w:tr w14:paraId="5019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3027" w:type="dxa"/>
            <w:gridSpan w:val="2"/>
            <w:vAlign w:val="center"/>
          </w:tcPr>
          <w:p w14:paraId="4AF4002F">
            <w:pPr>
              <w:snapToGrid w:val="0"/>
              <w:spacing w:line="340" w:lineRule="exact"/>
              <w:ind w:left="0" w:leftChars="0" w:right="0" w:firstLine="0" w:firstLineChars="0"/>
              <w:jc w:val="center"/>
              <w:rPr>
                <w:rFonts w:hint="eastAsia" w:ascii="黑体" w:hAnsi="黑体" w:eastAsia="黑体"/>
                <w:sz w:val="28"/>
                <w:szCs w:val="32"/>
              </w:rPr>
            </w:pPr>
            <w:r>
              <w:rPr>
                <w:rFonts w:hint="eastAsia" w:ascii="黑体" w:hAnsi="黑体" w:eastAsia="黑体"/>
                <w:sz w:val="28"/>
                <w:szCs w:val="32"/>
              </w:rPr>
              <w:t>名    称</w:t>
            </w:r>
          </w:p>
        </w:tc>
        <w:tc>
          <w:tcPr>
            <w:tcW w:w="3026" w:type="dxa"/>
            <w:vAlign w:val="center"/>
          </w:tcPr>
          <w:p w14:paraId="3AA9340A">
            <w:pPr>
              <w:snapToGrid w:val="0"/>
              <w:spacing w:line="340" w:lineRule="exact"/>
              <w:ind w:left="0" w:leftChars="0" w:right="0" w:firstLine="0" w:firstLineChars="0"/>
              <w:jc w:val="center"/>
              <w:rPr>
                <w:rFonts w:hint="eastAsia" w:ascii="黑体" w:hAnsi="黑体" w:eastAsia="黑体"/>
                <w:sz w:val="28"/>
                <w:szCs w:val="32"/>
              </w:rPr>
            </w:pPr>
            <w:r>
              <w:rPr>
                <w:rFonts w:hint="eastAsia" w:ascii="黑体" w:hAnsi="黑体" w:eastAsia="黑体"/>
                <w:sz w:val="28"/>
                <w:szCs w:val="32"/>
              </w:rPr>
              <w:t>单  位</w:t>
            </w:r>
          </w:p>
        </w:tc>
        <w:tc>
          <w:tcPr>
            <w:tcW w:w="3027" w:type="dxa"/>
            <w:vAlign w:val="center"/>
          </w:tcPr>
          <w:p w14:paraId="1D4AC035">
            <w:pPr>
              <w:snapToGrid w:val="0"/>
              <w:spacing w:line="340" w:lineRule="exact"/>
              <w:ind w:left="0" w:leftChars="0" w:right="0" w:firstLine="0" w:firstLineChars="0"/>
              <w:jc w:val="center"/>
              <w:rPr>
                <w:rFonts w:hint="eastAsia" w:ascii="黑体" w:hAnsi="黑体" w:eastAsia="黑体"/>
                <w:sz w:val="28"/>
                <w:szCs w:val="32"/>
              </w:rPr>
            </w:pPr>
            <w:r>
              <w:rPr>
                <w:rFonts w:hint="eastAsia" w:ascii="黑体" w:hAnsi="黑体" w:eastAsia="黑体"/>
                <w:sz w:val="28"/>
                <w:szCs w:val="32"/>
              </w:rPr>
              <w:t>单价（元）</w:t>
            </w:r>
          </w:p>
        </w:tc>
      </w:tr>
      <w:tr w14:paraId="07B7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35FF211A">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24cm砖院墙</w:t>
            </w:r>
          </w:p>
        </w:tc>
        <w:tc>
          <w:tcPr>
            <w:tcW w:w="3026" w:type="dxa"/>
            <w:vAlign w:val="center"/>
          </w:tcPr>
          <w:p w14:paraId="3663F667">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3027" w:type="dxa"/>
            <w:vAlign w:val="center"/>
          </w:tcPr>
          <w:p w14:paraId="2AB18D6C">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50</w:t>
            </w:r>
          </w:p>
        </w:tc>
      </w:tr>
      <w:tr w14:paraId="4F039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2E6E1516">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其它砖院墙</w:t>
            </w:r>
          </w:p>
        </w:tc>
        <w:tc>
          <w:tcPr>
            <w:tcW w:w="3026" w:type="dxa"/>
            <w:vAlign w:val="center"/>
          </w:tcPr>
          <w:p w14:paraId="103AB756">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3027" w:type="dxa"/>
            <w:vAlign w:val="center"/>
          </w:tcPr>
          <w:p w14:paraId="3F623A76">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26</w:t>
            </w:r>
          </w:p>
        </w:tc>
      </w:tr>
      <w:tr w14:paraId="27D3F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4C3D6F24">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碎石院墙</w:t>
            </w:r>
          </w:p>
        </w:tc>
        <w:tc>
          <w:tcPr>
            <w:tcW w:w="3026" w:type="dxa"/>
            <w:vAlign w:val="center"/>
          </w:tcPr>
          <w:p w14:paraId="47508595">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3027" w:type="dxa"/>
            <w:vAlign w:val="center"/>
          </w:tcPr>
          <w:p w14:paraId="00939DEC">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15</w:t>
            </w:r>
          </w:p>
        </w:tc>
      </w:tr>
      <w:tr w14:paraId="281A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6CED6090">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平台花墙</w:t>
            </w:r>
          </w:p>
        </w:tc>
        <w:tc>
          <w:tcPr>
            <w:tcW w:w="3026" w:type="dxa"/>
            <w:vAlign w:val="center"/>
          </w:tcPr>
          <w:p w14:paraId="4F8D46BC">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3027" w:type="dxa"/>
            <w:vAlign w:val="center"/>
          </w:tcPr>
          <w:p w14:paraId="4858A5AA">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15</w:t>
            </w:r>
          </w:p>
        </w:tc>
      </w:tr>
      <w:tr w14:paraId="5207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1AA8C261">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室外水泥地坪</w:t>
            </w:r>
          </w:p>
        </w:tc>
        <w:tc>
          <w:tcPr>
            <w:tcW w:w="3026" w:type="dxa"/>
            <w:vAlign w:val="center"/>
          </w:tcPr>
          <w:p w14:paraId="2619D666">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3027" w:type="dxa"/>
            <w:vAlign w:val="center"/>
          </w:tcPr>
          <w:p w14:paraId="262317C4">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35</w:t>
            </w:r>
          </w:p>
        </w:tc>
      </w:tr>
      <w:tr w14:paraId="3EB4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6F7F0867">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室外砖地坪</w:t>
            </w:r>
          </w:p>
        </w:tc>
        <w:tc>
          <w:tcPr>
            <w:tcW w:w="3026" w:type="dxa"/>
            <w:vAlign w:val="center"/>
          </w:tcPr>
          <w:p w14:paraId="53A76DBE">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3027" w:type="dxa"/>
            <w:vAlign w:val="center"/>
          </w:tcPr>
          <w:p w14:paraId="7F049A25">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15</w:t>
            </w:r>
          </w:p>
        </w:tc>
      </w:tr>
      <w:tr w14:paraId="5072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20ADD754">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手压水井</w:t>
            </w:r>
          </w:p>
        </w:tc>
        <w:tc>
          <w:tcPr>
            <w:tcW w:w="3026" w:type="dxa"/>
            <w:vAlign w:val="center"/>
          </w:tcPr>
          <w:p w14:paraId="55B78BCE">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眼</w:t>
            </w:r>
          </w:p>
        </w:tc>
        <w:tc>
          <w:tcPr>
            <w:tcW w:w="3027" w:type="dxa"/>
            <w:vAlign w:val="center"/>
          </w:tcPr>
          <w:p w14:paraId="71065BD1">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300</w:t>
            </w:r>
          </w:p>
        </w:tc>
      </w:tr>
      <w:tr w14:paraId="4D2D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32E5D766">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机井（十米以上）</w:t>
            </w:r>
          </w:p>
        </w:tc>
        <w:tc>
          <w:tcPr>
            <w:tcW w:w="3026" w:type="dxa"/>
            <w:vAlign w:val="center"/>
          </w:tcPr>
          <w:p w14:paraId="19830082">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眼</w:t>
            </w:r>
          </w:p>
        </w:tc>
        <w:tc>
          <w:tcPr>
            <w:tcW w:w="3027" w:type="dxa"/>
            <w:vAlign w:val="center"/>
          </w:tcPr>
          <w:p w14:paraId="384501F6">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1000</w:t>
            </w:r>
          </w:p>
        </w:tc>
      </w:tr>
      <w:tr w14:paraId="12AD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436CF8F8">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自来水设施（有户）</w:t>
            </w:r>
          </w:p>
        </w:tc>
        <w:tc>
          <w:tcPr>
            <w:tcW w:w="3026" w:type="dxa"/>
            <w:vAlign w:val="center"/>
          </w:tcPr>
          <w:p w14:paraId="65B20BE3">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户</w:t>
            </w:r>
          </w:p>
        </w:tc>
        <w:tc>
          <w:tcPr>
            <w:tcW w:w="3027" w:type="dxa"/>
            <w:vMerge w:val="restart"/>
            <w:vAlign w:val="center"/>
          </w:tcPr>
          <w:p w14:paraId="0DB146EF">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按供水、供电部门</w:t>
            </w:r>
          </w:p>
          <w:p w14:paraId="5E802C51">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当年核定价补偿</w:t>
            </w:r>
          </w:p>
        </w:tc>
      </w:tr>
      <w:tr w14:paraId="58B8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5875534A">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照明设施（有户）</w:t>
            </w:r>
          </w:p>
        </w:tc>
        <w:tc>
          <w:tcPr>
            <w:tcW w:w="3026" w:type="dxa"/>
            <w:vAlign w:val="center"/>
          </w:tcPr>
          <w:p w14:paraId="725373BD">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户</w:t>
            </w:r>
          </w:p>
        </w:tc>
        <w:tc>
          <w:tcPr>
            <w:tcW w:w="3027" w:type="dxa"/>
            <w:vMerge w:val="continue"/>
            <w:vAlign w:val="center"/>
          </w:tcPr>
          <w:p w14:paraId="7E7CAE91">
            <w:pPr>
              <w:snapToGrid w:val="0"/>
              <w:spacing w:line="360" w:lineRule="exact"/>
              <w:ind w:left="0" w:leftChars="0" w:right="0" w:firstLine="0" w:firstLineChars="0"/>
              <w:jc w:val="center"/>
              <w:rPr>
                <w:rFonts w:hint="eastAsia" w:ascii="宋体" w:hAnsi="宋体" w:eastAsia="宋体"/>
                <w:sz w:val="28"/>
                <w:szCs w:val="32"/>
              </w:rPr>
            </w:pPr>
          </w:p>
        </w:tc>
      </w:tr>
      <w:tr w14:paraId="2EE89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617A4BA6">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动力电（有户）</w:t>
            </w:r>
          </w:p>
        </w:tc>
        <w:tc>
          <w:tcPr>
            <w:tcW w:w="3026" w:type="dxa"/>
            <w:vAlign w:val="center"/>
          </w:tcPr>
          <w:p w14:paraId="26C46270">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户</w:t>
            </w:r>
          </w:p>
        </w:tc>
        <w:tc>
          <w:tcPr>
            <w:tcW w:w="3027" w:type="dxa"/>
            <w:vMerge w:val="continue"/>
            <w:vAlign w:val="center"/>
          </w:tcPr>
          <w:p w14:paraId="30149C8E">
            <w:pPr>
              <w:snapToGrid w:val="0"/>
              <w:spacing w:line="360" w:lineRule="exact"/>
              <w:ind w:left="0" w:leftChars="0" w:right="0" w:firstLine="0" w:firstLineChars="0"/>
              <w:jc w:val="center"/>
              <w:rPr>
                <w:rFonts w:hint="eastAsia" w:ascii="宋体" w:hAnsi="宋体" w:eastAsia="宋体"/>
                <w:sz w:val="28"/>
                <w:szCs w:val="32"/>
              </w:rPr>
            </w:pPr>
          </w:p>
        </w:tc>
      </w:tr>
      <w:tr w14:paraId="52C7C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023405B5">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天然气</w:t>
            </w:r>
          </w:p>
        </w:tc>
        <w:tc>
          <w:tcPr>
            <w:tcW w:w="3026" w:type="dxa"/>
            <w:vAlign w:val="center"/>
          </w:tcPr>
          <w:p w14:paraId="53083A00">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户</w:t>
            </w:r>
          </w:p>
        </w:tc>
        <w:tc>
          <w:tcPr>
            <w:tcW w:w="3027" w:type="dxa"/>
            <w:vMerge w:val="continue"/>
            <w:vAlign w:val="center"/>
          </w:tcPr>
          <w:p w14:paraId="677A41B8">
            <w:pPr>
              <w:snapToGrid w:val="0"/>
              <w:spacing w:line="360" w:lineRule="exact"/>
              <w:ind w:left="0" w:leftChars="0" w:right="0" w:firstLine="0" w:firstLineChars="0"/>
              <w:jc w:val="center"/>
              <w:rPr>
                <w:rFonts w:hint="eastAsia" w:ascii="宋体" w:hAnsi="宋体" w:eastAsia="宋体"/>
                <w:sz w:val="28"/>
                <w:szCs w:val="32"/>
              </w:rPr>
            </w:pPr>
          </w:p>
        </w:tc>
      </w:tr>
      <w:tr w14:paraId="38F4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701" w:type="dxa"/>
            <w:vMerge w:val="restart"/>
            <w:vAlign w:val="center"/>
          </w:tcPr>
          <w:p w14:paraId="641EEAFA">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移</w:t>
            </w:r>
          </w:p>
          <w:p w14:paraId="324FDE5D">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装</w:t>
            </w:r>
          </w:p>
          <w:p w14:paraId="3EDCD9B1">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补</w:t>
            </w:r>
          </w:p>
          <w:p w14:paraId="0183B56F">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助</w:t>
            </w:r>
          </w:p>
          <w:p w14:paraId="6B9DA57B">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费</w:t>
            </w:r>
          </w:p>
        </w:tc>
        <w:tc>
          <w:tcPr>
            <w:tcW w:w="2326" w:type="dxa"/>
            <w:vAlign w:val="center"/>
          </w:tcPr>
          <w:p w14:paraId="69160951">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有线电视</w:t>
            </w:r>
          </w:p>
        </w:tc>
        <w:tc>
          <w:tcPr>
            <w:tcW w:w="3026" w:type="dxa"/>
            <w:vAlign w:val="center"/>
          </w:tcPr>
          <w:p w14:paraId="6CF05573">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户</w:t>
            </w:r>
          </w:p>
        </w:tc>
        <w:tc>
          <w:tcPr>
            <w:tcW w:w="3027" w:type="dxa"/>
            <w:vAlign w:val="center"/>
          </w:tcPr>
          <w:p w14:paraId="3B630B8E">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180</w:t>
            </w:r>
          </w:p>
        </w:tc>
      </w:tr>
      <w:tr w14:paraId="5E0B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701" w:type="dxa"/>
            <w:vMerge w:val="continue"/>
            <w:vAlign w:val="center"/>
          </w:tcPr>
          <w:p w14:paraId="38667DE4">
            <w:pPr>
              <w:snapToGrid w:val="0"/>
              <w:spacing w:line="360" w:lineRule="exact"/>
              <w:ind w:left="0" w:leftChars="0" w:right="0" w:firstLine="0" w:firstLineChars="0"/>
              <w:jc w:val="center"/>
              <w:rPr>
                <w:rFonts w:hint="eastAsia" w:ascii="宋体" w:hAnsi="宋体" w:eastAsia="宋体"/>
                <w:sz w:val="28"/>
                <w:szCs w:val="32"/>
              </w:rPr>
            </w:pPr>
          </w:p>
        </w:tc>
        <w:tc>
          <w:tcPr>
            <w:tcW w:w="2326" w:type="dxa"/>
            <w:vAlign w:val="center"/>
          </w:tcPr>
          <w:p w14:paraId="7E9FBDA2">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有线电话</w:t>
            </w:r>
          </w:p>
        </w:tc>
        <w:tc>
          <w:tcPr>
            <w:tcW w:w="3026" w:type="dxa"/>
            <w:vAlign w:val="center"/>
          </w:tcPr>
          <w:p w14:paraId="16CDA167">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部</w:t>
            </w:r>
          </w:p>
        </w:tc>
        <w:tc>
          <w:tcPr>
            <w:tcW w:w="3027" w:type="dxa"/>
            <w:vAlign w:val="center"/>
          </w:tcPr>
          <w:p w14:paraId="5AE6297E">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150</w:t>
            </w:r>
          </w:p>
        </w:tc>
      </w:tr>
      <w:tr w14:paraId="7AB6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701" w:type="dxa"/>
            <w:vMerge w:val="continue"/>
            <w:vAlign w:val="center"/>
          </w:tcPr>
          <w:p w14:paraId="3FAFABA8">
            <w:pPr>
              <w:snapToGrid w:val="0"/>
              <w:spacing w:line="360" w:lineRule="exact"/>
              <w:ind w:left="0" w:leftChars="0" w:right="0" w:firstLine="0" w:firstLineChars="0"/>
              <w:jc w:val="center"/>
              <w:rPr>
                <w:rFonts w:hint="eastAsia" w:ascii="宋体" w:hAnsi="宋体" w:eastAsia="宋体"/>
                <w:sz w:val="28"/>
                <w:szCs w:val="32"/>
              </w:rPr>
            </w:pPr>
          </w:p>
        </w:tc>
        <w:tc>
          <w:tcPr>
            <w:tcW w:w="2326" w:type="dxa"/>
            <w:vAlign w:val="center"/>
          </w:tcPr>
          <w:p w14:paraId="2BDF8261">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电、燃气热水器</w:t>
            </w:r>
          </w:p>
        </w:tc>
        <w:tc>
          <w:tcPr>
            <w:tcW w:w="3026" w:type="dxa"/>
            <w:vAlign w:val="center"/>
          </w:tcPr>
          <w:p w14:paraId="31CBB3C0">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3027" w:type="dxa"/>
            <w:vAlign w:val="center"/>
          </w:tcPr>
          <w:p w14:paraId="07C503E5">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50</w:t>
            </w:r>
          </w:p>
        </w:tc>
      </w:tr>
      <w:tr w14:paraId="42B0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701" w:type="dxa"/>
            <w:vMerge w:val="continue"/>
            <w:vAlign w:val="center"/>
          </w:tcPr>
          <w:p w14:paraId="376C31A5">
            <w:pPr>
              <w:snapToGrid w:val="0"/>
              <w:spacing w:line="360" w:lineRule="exact"/>
              <w:ind w:left="0" w:leftChars="0" w:right="0" w:firstLine="0" w:firstLineChars="0"/>
              <w:jc w:val="center"/>
              <w:rPr>
                <w:rFonts w:hint="eastAsia" w:ascii="宋体" w:hAnsi="宋体" w:eastAsia="宋体"/>
                <w:sz w:val="28"/>
                <w:szCs w:val="32"/>
              </w:rPr>
            </w:pPr>
          </w:p>
        </w:tc>
        <w:tc>
          <w:tcPr>
            <w:tcW w:w="2326" w:type="dxa"/>
            <w:vAlign w:val="center"/>
          </w:tcPr>
          <w:p w14:paraId="7F8BF788">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太阳能热水器</w:t>
            </w:r>
          </w:p>
        </w:tc>
        <w:tc>
          <w:tcPr>
            <w:tcW w:w="3026" w:type="dxa"/>
            <w:vAlign w:val="center"/>
          </w:tcPr>
          <w:p w14:paraId="68863D88">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3027" w:type="dxa"/>
            <w:vAlign w:val="center"/>
          </w:tcPr>
          <w:p w14:paraId="3FF78232">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200</w:t>
            </w:r>
          </w:p>
        </w:tc>
      </w:tr>
      <w:tr w14:paraId="0ED8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701" w:type="dxa"/>
            <w:vMerge w:val="continue"/>
            <w:vAlign w:val="center"/>
          </w:tcPr>
          <w:p w14:paraId="7DC909B0">
            <w:pPr>
              <w:snapToGrid w:val="0"/>
              <w:spacing w:line="360" w:lineRule="exact"/>
              <w:ind w:left="0" w:leftChars="0" w:right="0" w:firstLine="0" w:firstLineChars="0"/>
              <w:jc w:val="center"/>
              <w:rPr>
                <w:rFonts w:hint="eastAsia" w:ascii="宋体" w:hAnsi="宋体" w:eastAsia="宋体"/>
                <w:sz w:val="28"/>
                <w:szCs w:val="32"/>
              </w:rPr>
            </w:pPr>
          </w:p>
        </w:tc>
        <w:tc>
          <w:tcPr>
            <w:tcW w:w="2326" w:type="dxa"/>
            <w:vAlign w:val="center"/>
          </w:tcPr>
          <w:p w14:paraId="3E52579E">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抽油烟机</w:t>
            </w:r>
          </w:p>
        </w:tc>
        <w:tc>
          <w:tcPr>
            <w:tcW w:w="3026" w:type="dxa"/>
            <w:vAlign w:val="center"/>
          </w:tcPr>
          <w:p w14:paraId="1460CE9A">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3027" w:type="dxa"/>
            <w:vAlign w:val="center"/>
          </w:tcPr>
          <w:p w14:paraId="1830772C">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50</w:t>
            </w:r>
          </w:p>
        </w:tc>
      </w:tr>
      <w:tr w14:paraId="3C66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701" w:type="dxa"/>
            <w:vMerge w:val="continue"/>
            <w:vAlign w:val="center"/>
          </w:tcPr>
          <w:p w14:paraId="36EB0C83">
            <w:pPr>
              <w:snapToGrid w:val="0"/>
              <w:spacing w:line="360" w:lineRule="exact"/>
              <w:ind w:left="0" w:leftChars="0" w:right="0" w:firstLine="0" w:firstLineChars="0"/>
              <w:jc w:val="center"/>
              <w:rPr>
                <w:rFonts w:hint="eastAsia" w:ascii="宋体" w:hAnsi="宋体" w:eastAsia="宋体"/>
                <w:sz w:val="28"/>
                <w:szCs w:val="32"/>
              </w:rPr>
            </w:pPr>
          </w:p>
        </w:tc>
        <w:tc>
          <w:tcPr>
            <w:tcW w:w="2326" w:type="dxa"/>
            <w:vAlign w:val="center"/>
          </w:tcPr>
          <w:p w14:paraId="41515481">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窗式空调</w:t>
            </w:r>
          </w:p>
        </w:tc>
        <w:tc>
          <w:tcPr>
            <w:tcW w:w="3026" w:type="dxa"/>
            <w:vAlign w:val="center"/>
          </w:tcPr>
          <w:p w14:paraId="46D0BAA3">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3027" w:type="dxa"/>
            <w:vAlign w:val="center"/>
          </w:tcPr>
          <w:p w14:paraId="4D3B3F8A">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80</w:t>
            </w:r>
          </w:p>
        </w:tc>
      </w:tr>
      <w:tr w14:paraId="626D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701" w:type="dxa"/>
            <w:vMerge w:val="continue"/>
            <w:vAlign w:val="center"/>
          </w:tcPr>
          <w:p w14:paraId="6D76B939">
            <w:pPr>
              <w:snapToGrid w:val="0"/>
              <w:spacing w:line="360" w:lineRule="exact"/>
              <w:ind w:left="0" w:leftChars="0" w:right="0" w:firstLine="0" w:firstLineChars="0"/>
              <w:jc w:val="center"/>
              <w:rPr>
                <w:rFonts w:hint="eastAsia" w:ascii="宋体" w:hAnsi="宋体" w:eastAsia="宋体"/>
                <w:sz w:val="28"/>
                <w:szCs w:val="32"/>
              </w:rPr>
            </w:pPr>
          </w:p>
        </w:tc>
        <w:tc>
          <w:tcPr>
            <w:tcW w:w="2326" w:type="dxa"/>
            <w:vAlign w:val="center"/>
          </w:tcPr>
          <w:p w14:paraId="031C5FEE">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壁挂式空调</w:t>
            </w:r>
          </w:p>
        </w:tc>
        <w:tc>
          <w:tcPr>
            <w:tcW w:w="3026" w:type="dxa"/>
            <w:vAlign w:val="center"/>
          </w:tcPr>
          <w:p w14:paraId="38D3636B">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3027" w:type="dxa"/>
            <w:vAlign w:val="center"/>
          </w:tcPr>
          <w:p w14:paraId="6C704B9D">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160</w:t>
            </w:r>
          </w:p>
        </w:tc>
      </w:tr>
      <w:tr w14:paraId="72BA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701" w:type="dxa"/>
            <w:vMerge w:val="continue"/>
            <w:vAlign w:val="center"/>
          </w:tcPr>
          <w:p w14:paraId="61CD28C8">
            <w:pPr>
              <w:snapToGrid w:val="0"/>
              <w:spacing w:line="360" w:lineRule="exact"/>
              <w:ind w:left="0" w:leftChars="0" w:right="0" w:firstLine="0" w:firstLineChars="0"/>
              <w:jc w:val="center"/>
              <w:rPr>
                <w:rFonts w:hint="eastAsia" w:ascii="宋体" w:hAnsi="宋体" w:eastAsia="宋体"/>
                <w:sz w:val="28"/>
                <w:szCs w:val="32"/>
              </w:rPr>
            </w:pPr>
          </w:p>
        </w:tc>
        <w:tc>
          <w:tcPr>
            <w:tcW w:w="2326" w:type="dxa"/>
            <w:vAlign w:val="center"/>
          </w:tcPr>
          <w:p w14:paraId="184AB535">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柜式空调</w:t>
            </w:r>
          </w:p>
        </w:tc>
        <w:tc>
          <w:tcPr>
            <w:tcW w:w="3026" w:type="dxa"/>
            <w:vAlign w:val="center"/>
          </w:tcPr>
          <w:p w14:paraId="690E8717">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3027" w:type="dxa"/>
            <w:vAlign w:val="center"/>
          </w:tcPr>
          <w:p w14:paraId="4B3306D9">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260</w:t>
            </w:r>
          </w:p>
        </w:tc>
      </w:tr>
      <w:tr w14:paraId="0B0C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exact"/>
        </w:trPr>
        <w:tc>
          <w:tcPr>
            <w:tcW w:w="3027" w:type="dxa"/>
            <w:gridSpan w:val="2"/>
            <w:vAlign w:val="center"/>
          </w:tcPr>
          <w:p w14:paraId="6630096D">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浴缸（大套）</w:t>
            </w:r>
          </w:p>
        </w:tc>
        <w:tc>
          <w:tcPr>
            <w:tcW w:w="3026" w:type="dxa"/>
            <w:vAlign w:val="center"/>
          </w:tcPr>
          <w:p w14:paraId="485968BB">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3027" w:type="dxa"/>
            <w:vAlign w:val="center"/>
          </w:tcPr>
          <w:p w14:paraId="52B1FDA3">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260—500</w:t>
            </w:r>
          </w:p>
        </w:tc>
      </w:tr>
      <w:tr w14:paraId="628E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32058AFE">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浴缸（小套）</w:t>
            </w:r>
          </w:p>
        </w:tc>
        <w:tc>
          <w:tcPr>
            <w:tcW w:w="3026" w:type="dxa"/>
            <w:vAlign w:val="center"/>
          </w:tcPr>
          <w:p w14:paraId="457F1BE3">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3027" w:type="dxa"/>
            <w:vAlign w:val="center"/>
          </w:tcPr>
          <w:p w14:paraId="1914FD2D">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200</w:t>
            </w:r>
          </w:p>
        </w:tc>
      </w:tr>
      <w:tr w14:paraId="3240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3027" w:type="dxa"/>
            <w:gridSpan w:val="2"/>
            <w:vAlign w:val="center"/>
          </w:tcPr>
          <w:p w14:paraId="5F33BF62">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水池（普通）</w:t>
            </w:r>
          </w:p>
        </w:tc>
        <w:tc>
          <w:tcPr>
            <w:tcW w:w="3026" w:type="dxa"/>
            <w:vAlign w:val="center"/>
          </w:tcPr>
          <w:p w14:paraId="3924A037">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3027" w:type="dxa"/>
            <w:vAlign w:val="center"/>
          </w:tcPr>
          <w:p w14:paraId="0EE34519">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25</w:t>
            </w:r>
          </w:p>
        </w:tc>
      </w:tr>
      <w:tr w14:paraId="7D4A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3027" w:type="dxa"/>
            <w:gridSpan w:val="2"/>
            <w:vAlign w:val="center"/>
          </w:tcPr>
          <w:p w14:paraId="30DFA1A4">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水池（喷釉）</w:t>
            </w:r>
          </w:p>
        </w:tc>
        <w:tc>
          <w:tcPr>
            <w:tcW w:w="3026" w:type="dxa"/>
            <w:vAlign w:val="center"/>
          </w:tcPr>
          <w:p w14:paraId="554A0293">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3027" w:type="dxa"/>
            <w:vAlign w:val="center"/>
          </w:tcPr>
          <w:p w14:paraId="5F963B9E">
            <w:pPr>
              <w:snapToGrid w:val="0"/>
              <w:spacing w:line="36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50</w:t>
            </w:r>
          </w:p>
        </w:tc>
      </w:tr>
    </w:tbl>
    <w:p w14:paraId="4A7E3C76">
      <w:pPr>
        <w:spacing w:line="560" w:lineRule="exact"/>
        <w:ind w:left="0" w:leftChars="0" w:right="0" w:firstLine="0" w:firstLineChars="0"/>
        <w:jc w:val="center"/>
        <w:rPr>
          <w:rFonts w:hint="eastAsia" w:ascii="宋体" w:hAnsi="宋体" w:eastAsia="宋体"/>
          <w:sz w:val="28"/>
          <w:szCs w:val="32"/>
        </w:rPr>
      </w:pPr>
    </w:p>
    <w:tbl>
      <w:tblPr>
        <w:tblStyle w:val="6"/>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1"/>
        <w:gridCol w:w="737"/>
        <w:gridCol w:w="1474"/>
        <w:gridCol w:w="1474"/>
        <w:gridCol w:w="737"/>
        <w:gridCol w:w="2211"/>
      </w:tblGrid>
      <w:tr w14:paraId="6BCF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exact"/>
          <w:jc w:val="center"/>
        </w:trPr>
        <w:tc>
          <w:tcPr>
            <w:tcW w:w="2948" w:type="dxa"/>
            <w:gridSpan w:val="2"/>
            <w:vAlign w:val="center"/>
          </w:tcPr>
          <w:p w14:paraId="74DFEFB5">
            <w:pPr>
              <w:ind w:left="0" w:leftChars="0" w:right="0" w:firstLine="0" w:firstLineChars="0"/>
              <w:jc w:val="center"/>
              <w:rPr>
                <w:rFonts w:hint="eastAsia" w:ascii="黑体" w:hAnsi="黑体" w:eastAsia="黑体"/>
                <w:sz w:val="28"/>
                <w:szCs w:val="32"/>
              </w:rPr>
            </w:pPr>
            <w:r>
              <w:rPr>
                <w:rFonts w:hint="eastAsia" w:ascii="黑体" w:hAnsi="黑体" w:eastAsia="黑体"/>
                <w:sz w:val="28"/>
                <w:szCs w:val="32"/>
              </w:rPr>
              <w:t>名    称</w:t>
            </w:r>
          </w:p>
        </w:tc>
        <w:tc>
          <w:tcPr>
            <w:tcW w:w="2948" w:type="dxa"/>
            <w:gridSpan w:val="2"/>
            <w:vAlign w:val="center"/>
          </w:tcPr>
          <w:p w14:paraId="30A28B45">
            <w:pPr>
              <w:ind w:left="0" w:leftChars="0" w:right="0" w:firstLine="0" w:firstLineChars="0"/>
              <w:jc w:val="center"/>
              <w:rPr>
                <w:rFonts w:hint="eastAsia" w:ascii="黑体" w:hAnsi="黑体" w:eastAsia="黑体"/>
                <w:sz w:val="28"/>
                <w:szCs w:val="32"/>
              </w:rPr>
            </w:pPr>
            <w:r>
              <w:rPr>
                <w:rFonts w:hint="eastAsia" w:ascii="黑体" w:hAnsi="黑体" w:eastAsia="黑体"/>
                <w:sz w:val="28"/>
                <w:szCs w:val="32"/>
              </w:rPr>
              <w:t>单  位</w:t>
            </w:r>
          </w:p>
        </w:tc>
        <w:tc>
          <w:tcPr>
            <w:tcW w:w="2948" w:type="dxa"/>
            <w:gridSpan w:val="2"/>
            <w:vAlign w:val="center"/>
          </w:tcPr>
          <w:p w14:paraId="6ED68E3B">
            <w:pPr>
              <w:ind w:left="0" w:leftChars="0" w:right="0" w:firstLine="0" w:firstLineChars="0"/>
              <w:jc w:val="center"/>
              <w:rPr>
                <w:rFonts w:hint="eastAsia" w:ascii="黑体" w:hAnsi="黑体" w:eastAsia="黑体"/>
                <w:sz w:val="28"/>
                <w:szCs w:val="32"/>
              </w:rPr>
            </w:pPr>
            <w:r>
              <w:rPr>
                <w:rFonts w:hint="eastAsia" w:ascii="黑体" w:hAnsi="黑体" w:eastAsia="黑体"/>
                <w:sz w:val="28"/>
                <w:szCs w:val="32"/>
              </w:rPr>
              <w:t>单价(元)</w:t>
            </w:r>
          </w:p>
        </w:tc>
      </w:tr>
      <w:tr w14:paraId="31ED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vAlign w:val="center"/>
          </w:tcPr>
          <w:p w14:paraId="086CDE56">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面盆</w:t>
            </w:r>
          </w:p>
        </w:tc>
        <w:tc>
          <w:tcPr>
            <w:tcW w:w="2948" w:type="dxa"/>
            <w:gridSpan w:val="2"/>
            <w:vAlign w:val="center"/>
          </w:tcPr>
          <w:p w14:paraId="22F65FC6">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套</w:t>
            </w:r>
          </w:p>
        </w:tc>
        <w:tc>
          <w:tcPr>
            <w:tcW w:w="2948" w:type="dxa"/>
            <w:gridSpan w:val="2"/>
            <w:vAlign w:val="center"/>
          </w:tcPr>
          <w:p w14:paraId="729CA942">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180</w:t>
            </w:r>
          </w:p>
        </w:tc>
      </w:tr>
      <w:tr w14:paraId="56CF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vAlign w:val="center"/>
          </w:tcPr>
          <w:p w14:paraId="1E8D6410">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坐便器</w:t>
            </w:r>
          </w:p>
        </w:tc>
        <w:tc>
          <w:tcPr>
            <w:tcW w:w="2948" w:type="dxa"/>
            <w:gridSpan w:val="2"/>
            <w:vAlign w:val="center"/>
          </w:tcPr>
          <w:p w14:paraId="20EC3ED8">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套</w:t>
            </w:r>
          </w:p>
        </w:tc>
        <w:tc>
          <w:tcPr>
            <w:tcW w:w="2948" w:type="dxa"/>
            <w:gridSpan w:val="2"/>
            <w:vAlign w:val="center"/>
          </w:tcPr>
          <w:p w14:paraId="778C6EE6">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350</w:t>
            </w:r>
          </w:p>
        </w:tc>
      </w:tr>
      <w:tr w14:paraId="2E80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vAlign w:val="center"/>
          </w:tcPr>
          <w:p w14:paraId="1090A429">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蹲便器</w:t>
            </w:r>
          </w:p>
        </w:tc>
        <w:tc>
          <w:tcPr>
            <w:tcW w:w="2948" w:type="dxa"/>
            <w:gridSpan w:val="2"/>
            <w:vAlign w:val="center"/>
          </w:tcPr>
          <w:p w14:paraId="1938AA6A">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套</w:t>
            </w:r>
          </w:p>
        </w:tc>
        <w:tc>
          <w:tcPr>
            <w:tcW w:w="2948" w:type="dxa"/>
            <w:gridSpan w:val="2"/>
            <w:vAlign w:val="center"/>
          </w:tcPr>
          <w:p w14:paraId="5AAAE1F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70</w:t>
            </w:r>
          </w:p>
        </w:tc>
      </w:tr>
      <w:tr w14:paraId="37FE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vAlign w:val="center"/>
          </w:tcPr>
          <w:p w14:paraId="1EBF44BC">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家用煤炉灶（内含胆、水）箱)</w:t>
            </w:r>
          </w:p>
        </w:tc>
        <w:tc>
          <w:tcPr>
            <w:tcW w:w="2948" w:type="dxa"/>
            <w:gridSpan w:val="2"/>
            <w:vAlign w:val="center"/>
          </w:tcPr>
          <w:p w14:paraId="5CF13B14">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2948" w:type="dxa"/>
            <w:gridSpan w:val="2"/>
            <w:vAlign w:val="center"/>
          </w:tcPr>
          <w:p w14:paraId="506FCC75">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300—500</w:t>
            </w:r>
          </w:p>
        </w:tc>
      </w:tr>
      <w:tr w14:paraId="7E65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vAlign w:val="center"/>
          </w:tcPr>
          <w:p w14:paraId="12A28DC6">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煤炉灶（1m×1.2m）</w:t>
            </w:r>
          </w:p>
        </w:tc>
        <w:tc>
          <w:tcPr>
            <w:tcW w:w="2948" w:type="dxa"/>
            <w:gridSpan w:val="2"/>
            <w:vAlign w:val="center"/>
          </w:tcPr>
          <w:p w14:paraId="4A3DA244">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眼</w:t>
            </w:r>
          </w:p>
        </w:tc>
        <w:tc>
          <w:tcPr>
            <w:tcW w:w="2948" w:type="dxa"/>
            <w:gridSpan w:val="2"/>
            <w:vAlign w:val="center"/>
          </w:tcPr>
          <w:p w14:paraId="26C97830">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120—180</w:t>
            </w:r>
          </w:p>
        </w:tc>
      </w:tr>
      <w:tr w14:paraId="7C7E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vAlign w:val="center"/>
          </w:tcPr>
          <w:p w14:paraId="224BE54D">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老式高灶</w:t>
            </w:r>
          </w:p>
        </w:tc>
        <w:tc>
          <w:tcPr>
            <w:tcW w:w="2948" w:type="dxa"/>
            <w:gridSpan w:val="2"/>
            <w:vAlign w:val="center"/>
          </w:tcPr>
          <w:p w14:paraId="0C809A3A">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眼</w:t>
            </w:r>
          </w:p>
        </w:tc>
        <w:tc>
          <w:tcPr>
            <w:tcW w:w="2948" w:type="dxa"/>
            <w:gridSpan w:val="2"/>
            <w:vAlign w:val="center"/>
          </w:tcPr>
          <w:p w14:paraId="0B86CC59">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165</w:t>
            </w:r>
          </w:p>
        </w:tc>
      </w:tr>
      <w:tr w14:paraId="1C40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vAlign w:val="center"/>
          </w:tcPr>
          <w:p w14:paraId="45FC89A0">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液化气台（小型）</w:t>
            </w:r>
          </w:p>
        </w:tc>
        <w:tc>
          <w:tcPr>
            <w:tcW w:w="2948" w:type="dxa"/>
            <w:gridSpan w:val="2"/>
            <w:vAlign w:val="center"/>
          </w:tcPr>
          <w:p w14:paraId="4BBEDFF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2948" w:type="dxa"/>
            <w:gridSpan w:val="2"/>
            <w:vAlign w:val="center"/>
          </w:tcPr>
          <w:p w14:paraId="08389AD6">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30—60</w:t>
            </w:r>
          </w:p>
        </w:tc>
      </w:tr>
      <w:tr w14:paraId="4D38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vAlign w:val="center"/>
          </w:tcPr>
          <w:p w14:paraId="04AE79C0">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液化气台（大型）</w:t>
            </w:r>
          </w:p>
        </w:tc>
        <w:tc>
          <w:tcPr>
            <w:tcW w:w="2948" w:type="dxa"/>
            <w:gridSpan w:val="2"/>
            <w:vAlign w:val="center"/>
          </w:tcPr>
          <w:p w14:paraId="09A87B09">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2948" w:type="dxa"/>
            <w:gridSpan w:val="2"/>
            <w:vAlign w:val="center"/>
          </w:tcPr>
          <w:p w14:paraId="1638156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60—150</w:t>
            </w:r>
          </w:p>
        </w:tc>
      </w:tr>
      <w:tr w14:paraId="1F08A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vAlign w:val="center"/>
          </w:tcPr>
          <w:p w14:paraId="5E1A826D">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雨搭</w:t>
            </w:r>
          </w:p>
        </w:tc>
        <w:tc>
          <w:tcPr>
            <w:tcW w:w="2948" w:type="dxa"/>
            <w:gridSpan w:val="2"/>
            <w:vAlign w:val="center"/>
          </w:tcPr>
          <w:p w14:paraId="03E4DA7D">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个</w:t>
            </w:r>
          </w:p>
        </w:tc>
        <w:tc>
          <w:tcPr>
            <w:tcW w:w="2948" w:type="dxa"/>
            <w:gridSpan w:val="2"/>
            <w:vAlign w:val="center"/>
          </w:tcPr>
          <w:p w14:paraId="06C0E0A8">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60—120</w:t>
            </w:r>
          </w:p>
        </w:tc>
      </w:tr>
      <w:tr w14:paraId="0F3F3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vAlign w:val="center"/>
          </w:tcPr>
          <w:p w14:paraId="5C1F06EF">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金属楼梯</w:t>
            </w:r>
          </w:p>
        </w:tc>
        <w:tc>
          <w:tcPr>
            <w:tcW w:w="2948" w:type="dxa"/>
            <w:gridSpan w:val="2"/>
            <w:vAlign w:val="center"/>
          </w:tcPr>
          <w:p w14:paraId="44CC2ACC">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米</w:t>
            </w:r>
          </w:p>
        </w:tc>
        <w:tc>
          <w:tcPr>
            <w:tcW w:w="2948" w:type="dxa"/>
            <w:gridSpan w:val="2"/>
            <w:vAlign w:val="center"/>
          </w:tcPr>
          <w:p w14:paraId="5ECAB9C5">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80</w:t>
            </w:r>
          </w:p>
        </w:tc>
      </w:tr>
      <w:tr w14:paraId="05E9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vAlign w:val="center"/>
          </w:tcPr>
          <w:p w14:paraId="6F58252C">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金属栏杆</w:t>
            </w:r>
          </w:p>
        </w:tc>
        <w:tc>
          <w:tcPr>
            <w:tcW w:w="2948" w:type="dxa"/>
            <w:gridSpan w:val="2"/>
            <w:vAlign w:val="center"/>
          </w:tcPr>
          <w:p w14:paraId="02949589">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米</w:t>
            </w:r>
          </w:p>
        </w:tc>
        <w:tc>
          <w:tcPr>
            <w:tcW w:w="2948" w:type="dxa"/>
            <w:gridSpan w:val="2"/>
            <w:vAlign w:val="center"/>
          </w:tcPr>
          <w:p w14:paraId="7F3709AC">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20—40</w:t>
            </w:r>
          </w:p>
        </w:tc>
      </w:tr>
      <w:tr w14:paraId="676A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tcBorders>
              <w:top w:val="single" w:color="auto" w:sz="4" w:space="0"/>
              <w:left w:val="single" w:color="auto" w:sz="4" w:space="0"/>
              <w:bottom w:val="single" w:color="auto" w:sz="4" w:space="0"/>
              <w:right w:val="single" w:color="auto" w:sz="4" w:space="0"/>
            </w:tcBorders>
            <w:vAlign w:val="center"/>
          </w:tcPr>
          <w:p w14:paraId="07C7C6E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单扇木院门</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0CCC5FCE">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副</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38BAE5CE">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60—120</w:t>
            </w:r>
          </w:p>
        </w:tc>
      </w:tr>
      <w:tr w14:paraId="7564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tcBorders>
              <w:top w:val="single" w:color="auto" w:sz="4" w:space="0"/>
              <w:left w:val="single" w:color="auto" w:sz="4" w:space="0"/>
              <w:bottom w:val="single" w:color="auto" w:sz="4" w:space="0"/>
              <w:right w:val="single" w:color="auto" w:sz="4" w:space="0"/>
            </w:tcBorders>
            <w:vAlign w:val="center"/>
          </w:tcPr>
          <w:p w14:paraId="37708C98">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双扇木院门</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770DFF3A">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副</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3FB5B23F">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120—200</w:t>
            </w:r>
          </w:p>
        </w:tc>
      </w:tr>
      <w:tr w14:paraId="7F98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tcBorders>
              <w:top w:val="single" w:color="auto" w:sz="4" w:space="0"/>
              <w:left w:val="single" w:color="auto" w:sz="4" w:space="0"/>
              <w:bottom w:val="single" w:color="auto" w:sz="4" w:space="0"/>
              <w:right w:val="single" w:color="auto" w:sz="4" w:space="0"/>
            </w:tcBorders>
            <w:vAlign w:val="center"/>
          </w:tcPr>
          <w:p w14:paraId="02D8F966">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单扇铁院门</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5B3C8539">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副</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51680C4D">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100—200</w:t>
            </w:r>
          </w:p>
        </w:tc>
      </w:tr>
      <w:tr w14:paraId="0B55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tcBorders>
              <w:top w:val="single" w:color="auto" w:sz="4" w:space="0"/>
              <w:left w:val="single" w:color="auto" w:sz="4" w:space="0"/>
              <w:bottom w:val="single" w:color="auto" w:sz="4" w:space="0"/>
              <w:right w:val="single" w:color="auto" w:sz="4" w:space="0"/>
            </w:tcBorders>
            <w:vAlign w:val="center"/>
          </w:tcPr>
          <w:p w14:paraId="6B7ECCF7">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双扇铁院门（普通）</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139D652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副</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1CF646DE">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200—400</w:t>
            </w:r>
          </w:p>
        </w:tc>
      </w:tr>
      <w:tr w14:paraId="2C93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tcBorders>
              <w:top w:val="single" w:color="auto" w:sz="4" w:space="0"/>
              <w:left w:val="single" w:color="auto" w:sz="4" w:space="0"/>
              <w:bottom w:val="single" w:color="auto" w:sz="4" w:space="0"/>
              <w:right w:val="single" w:color="auto" w:sz="4" w:space="0"/>
            </w:tcBorders>
            <w:vAlign w:val="center"/>
          </w:tcPr>
          <w:p w14:paraId="067AA587">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卷闸门</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0BB4D2E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517D6687">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60</w:t>
            </w:r>
          </w:p>
        </w:tc>
      </w:tr>
      <w:tr w14:paraId="30388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tcBorders>
              <w:top w:val="single" w:color="auto" w:sz="4" w:space="0"/>
              <w:left w:val="single" w:color="auto" w:sz="4" w:space="0"/>
              <w:bottom w:val="single" w:color="auto" w:sz="4" w:space="0"/>
              <w:right w:val="single" w:color="auto" w:sz="4" w:space="0"/>
            </w:tcBorders>
            <w:vAlign w:val="center"/>
          </w:tcPr>
          <w:p w14:paraId="06D63EA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防盗门窗（普通）</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3F15D6DA">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32A333B9">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40</w:t>
            </w:r>
          </w:p>
        </w:tc>
      </w:tr>
      <w:tr w14:paraId="7883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tcBorders>
              <w:top w:val="single" w:color="auto" w:sz="4" w:space="0"/>
              <w:left w:val="single" w:color="auto" w:sz="4" w:space="0"/>
              <w:bottom w:val="single" w:color="auto" w:sz="4" w:space="0"/>
              <w:right w:val="single" w:color="auto" w:sz="4" w:space="0"/>
            </w:tcBorders>
            <w:vAlign w:val="center"/>
          </w:tcPr>
          <w:p w14:paraId="57319C3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防盗门窗（不锈钢）</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357CD87F">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31B5EFB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60</w:t>
            </w:r>
          </w:p>
        </w:tc>
      </w:tr>
      <w:tr w14:paraId="5B57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tcBorders>
              <w:top w:val="single" w:color="auto" w:sz="4" w:space="0"/>
              <w:left w:val="single" w:color="auto" w:sz="4" w:space="0"/>
              <w:bottom w:val="single" w:color="auto" w:sz="4" w:space="0"/>
              <w:right w:val="single" w:color="auto" w:sz="4" w:space="0"/>
            </w:tcBorders>
            <w:vAlign w:val="center"/>
          </w:tcPr>
          <w:p w14:paraId="3E301359">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简易房</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43A53D66">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5294907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60—100</w:t>
            </w:r>
          </w:p>
        </w:tc>
      </w:tr>
      <w:tr w14:paraId="0FC0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tcBorders>
              <w:top w:val="single" w:color="auto" w:sz="4" w:space="0"/>
              <w:left w:val="single" w:color="auto" w:sz="4" w:space="0"/>
              <w:bottom w:val="single" w:color="auto" w:sz="4" w:space="0"/>
              <w:right w:val="single" w:color="auto" w:sz="4" w:space="0"/>
            </w:tcBorders>
            <w:vAlign w:val="center"/>
          </w:tcPr>
          <w:p w14:paraId="0A7B7034">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简易棚</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1C29E820">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77AA9F9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30—50</w:t>
            </w:r>
          </w:p>
        </w:tc>
      </w:tr>
      <w:tr w14:paraId="09E6F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tcBorders>
              <w:top w:val="single" w:color="auto" w:sz="4" w:space="0"/>
              <w:left w:val="single" w:color="auto" w:sz="4" w:space="0"/>
              <w:bottom w:val="single" w:color="auto" w:sz="4" w:space="0"/>
              <w:right w:val="single" w:color="auto" w:sz="4" w:space="0"/>
            </w:tcBorders>
            <w:vAlign w:val="center"/>
          </w:tcPr>
          <w:p w14:paraId="3703D987">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普通自制铁门</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7178220F">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副</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77000C3C">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200</w:t>
            </w:r>
          </w:p>
        </w:tc>
      </w:tr>
      <w:tr w14:paraId="0BC1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948" w:type="dxa"/>
            <w:gridSpan w:val="2"/>
            <w:tcBorders>
              <w:top w:val="single" w:color="auto" w:sz="4" w:space="0"/>
              <w:left w:val="single" w:color="auto" w:sz="4" w:space="0"/>
              <w:bottom w:val="single" w:color="auto" w:sz="4" w:space="0"/>
              <w:right w:val="single" w:color="auto" w:sz="4" w:space="0"/>
            </w:tcBorders>
            <w:vAlign w:val="center"/>
          </w:tcPr>
          <w:p w14:paraId="60815FA2">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品牌自制铁门</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76E1AFE4">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副</w:t>
            </w:r>
          </w:p>
        </w:tc>
        <w:tc>
          <w:tcPr>
            <w:tcW w:w="2948" w:type="dxa"/>
            <w:gridSpan w:val="2"/>
            <w:tcBorders>
              <w:top w:val="single" w:color="auto" w:sz="4" w:space="0"/>
              <w:left w:val="single" w:color="auto" w:sz="4" w:space="0"/>
              <w:bottom w:val="single" w:color="auto" w:sz="4" w:space="0"/>
              <w:right w:val="single" w:color="auto" w:sz="4" w:space="0"/>
            </w:tcBorders>
            <w:vAlign w:val="center"/>
          </w:tcPr>
          <w:p w14:paraId="7B4E7147">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600</w:t>
            </w:r>
          </w:p>
        </w:tc>
      </w:tr>
      <w:tr w14:paraId="49A2F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exact"/>
          <w:jc w:val="center"/>
        </w:trPr>
        <w:tc>
          <w:tcPr>
            <w:tcW w:w="2211" w:type="dxa"/>
            <w:vMerge w:val="restart"/>
            <w:tcBorders>
              <w:top w:val="single" w:color="auto" w:sz="4" w:space="0"/>
              <w:left w:val="single" w:color="auto" w:sz="4" w:space="0"/>
              <w:right w:val="single" w:color="auto" w:sz="4" w:space="0"/>
            </w:tcBorders>
            <w:vAlign w:val="center"/>
          </w:tcPr>
          <w:p w14:paraId="23DA6607">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墙面（乳胶漆等涂料不予补偿）</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57681D17">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墙  纸</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4E6CC466">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35F62A74">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15</w:t>
            </w:r>
          </w:p>
        </w:tc>
      </w:tr>
      <w:tr w14:paraId="4A73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jc w:val="center"/>
        </w:trPr>
        <w:tc>
          <w:tcPr>
            <w:tcW w:w="2211" w:type="dxa"/>
            <w:vMerge w:val="continue"/>
            <w:tcBorders>
              <w:left w:val="single" w:color="auto" w:sz="4" w:space="0"/>
              <w:right w:val="single" w:color="auto" w:sz="4" w:space="0"/>
            </w:tcBorders>
            <w:vAlign w:val="center"/>
          </w:tcPr>
          <w:p w14:paraId="7644DF4E">
            <w:pPr>
              <w:spacing w:line="420" w:lineRule="exact"/>
              <w:ind w:left="0" w:leftChars="0" w:right="0" w:firstLine="0" w:firstLineChars="0"/>
              <w:jc w:val="center"/>
              <w:rPr>
                <w:rFonts w:hint="eastAsia" w:ascii="宋体" w:hAnsi="宋体" w:eastAsia="宋体"/>
                <w:sz w:val="28"/>
                <w:szCs w:val="32"/>
              </w:rPr>
            </w:pP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7E7777C7">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墙  布</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0D1499B8">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7637EE24">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20</w:t>
            </w:r>
          </w:p>
        </w:tc>
      </w:tr>
      <w:tr w14:paraId="55AB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jc w:val="center"/>
        </w:trPr>
        <w:tc>
          <w:tcPr>
            <w:tcW w:w="2211" w:type="dxa"/>
            <w:vMerge w:val="continue"/>
            <w:tcBorders>
              <w:left w:val="single" w:color="auto" w:sz="4" w:space="0"/>
              <w:bottom w:val="single" w:color="auto" w:sz="4" w:space="0"/>
              <w:right w:val="single" w:color="auto" w:sz="4" w:space="0"/>
            </w:tcBorders>
            <w:vAlign w:val="center"/>
          </w:tcPr>
          <w:p w14:paraId="52B5F281">
            <w:pPr>
              <w:spacing w:line="420" w:lineRule="exact"/>
              <w:ind w:left="0" w:leftChars="0" w:right="0" w:firstLine="0" w:firstLineChars="0"/>
              <w:jc w:val="center"/>
              <w:rPr>
                <w:rFonts w:hint="eastAsia" w:ascii="宋体" w:hAnsi="宋体" w:eastAsia="宋体"/>
                <w:sz w:val="28"/>
                <w:szCs w:val="32"/>
              </w:rPr>
            </w:pP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125029D3">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三合板</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7D3455A7">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72D0D36C">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40</w:t>
            </w:r>
          </w:p>
        </w:tc>
      </w:tr>
      <w:tr w14:paraId="4C9B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jc w:val="center"/>
        </w:trPr>
        <w:tc>
          <w:tcPr>
            <w:tcW w:w="2211" w:type="dxa"/>
            <w:vMerge w:val="restart"/>
            <w:tcBorders>
              <w:top w:val="single" w:color="auto" w:sz="4" w:space="0"/>
              <w:left w:val="single" w:color="auto" w:sz="4" w:space="0"/>
              <w:right w:val="single" w:color="auto" w:sz="4" w:space="0"/>
            </w:tcBorders>
            <w:vAlign w:val="center"/>
          </w:tcPr>
          <w:p w14:paraId="060F0501">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吊  顶</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671992EE">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纤板、扣板</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797660DE">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7C4F295C">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20</w:t>
            </w:r>
          </w:p>
        </w:tc>
      </w:tr>
      <w:tr w14:paraId="6ED5A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jc w:val="center"/>
        </w:trPr>
        <w:tc>
          <w:tcPr>
            <w:tcW w:w="2211" w:type="dxa"/>
            <w:vMerge w:val="continue"/>
            <w:tcBorders>
              <w:left w:val="single" w:color="auto" w:sz="4" w:space="0"/>
              <w:right w:val="single" w:color="auto" w:sz="4" w:space="0"/>
            </w:tcBorders>
            <w:vAlign w:val="center"/>
          </w:tcPr>
          <w:p w14:paraId="6C535DCA">
            <w:pPr>
              <w:spacing w:line="420" w:lineRule="exact"/>
              <w:ind w:left="0" w:leftChars="0" w:right="0" w:firstLine="0" w:firstLineChars="0"/>
              <w:jc w:val="center"/>
              <w:rPr>
                <w:rFonts w:hint="eastAsia" w:ascii="宋体" w:hAnsi="宋体" w:eastAsia="宋体"/>
                <w:sz w:val="28"/>
                <w:szCs w:val="32"/>
              </w:rPr>
            </w:pP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2EC563B6">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石膏板</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5598EB50">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4DAD5D35">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30</w:t>
            </w:r>
          </w:p>
        </w:tc>
      </w:tr>
      <w:tr w14:paraId="0588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jc w:val="center"/>
        </w:trPr>
        <w:tc>
          <w:tcPr>
            <w:tcW w:w="2211" w:type="dxa"/>
            <w:vMerge w:val="continue"/>
            <w:tcBorders>
              <w:left w:val="single" w:color="auto" w:sz="4" w:space="0"/>
              <w:right w:val="single" w:color="auto" w:sz="4" w:space="0"/>
            </w:tcBorders>
            <w:vAlign w:val="center"/>
          </w:tcPr>
          <w:p w14:paraId="3CC35F6E">
            <w:pPr>
              <w:spacing w:line="420" w:lineRule="exact"/>
              <w:ind w:left="0" w:leftChars="0" w:right="0" w:firstLine="0" w:firstLineChars="0"/>
              <w:jc w:val="center"/>
              <w:rPr>
                <w:rFonts w:hint="eastAsia" w:ascii="宋体" w:hAnsi="宋体" w:eastAsia="宋体"/>
                <w:sz w:val="28"/>
                <w:szCs w:val="32"/>
              </w:rPr>
            </w:pP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3313078F">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三合板</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38A6A967">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4A143828">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40</w:t>
            </w:r>
          </w:p>
        </w:tc>
      </w:tr>
      <w:tr w14:paraId="0B2F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jc w:val="center"/>
        </w:trPr>
        <w:tc>
          <w:tcPr>
            <w:tcW w:w="2211" w:type="dxa"/>
            <w:vMerge w:val="restart"/>
            <w:tcBorders>
              <w:left w:val="single" w:color="auto" w:sz="4" w:space="0"/>
              <w:right w:val="single" w:color="auto" w:sz="4" w:space="0"/>
            </w:tcBorders>
            <w:vAlign w:val="center"/>
          </w:tcPr>
          <w:p w14:paraId="10D24649">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地  面</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0CA02B2C">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水磨石</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731CCB2F">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4E8F5679">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35</w:t>
            </w:r>
          </w:p>
        </w:tc>
      </w:tr>
      <w:tr w14:paraId="21C9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jc w:val="center"/>
        </w:trPr>
        <w:tc>
          <w:tcPr>
            <w:tcW w:w="2211" w:type="dxa"/>
            <w:vMerge w:val="continue"/>
            <w:tcBorders>
              <w:left w:val="single" w:color="auto" w:sz="4" w:space="0"/>
              <w:right w:val="single" w:color="auto" w:sz="4" w:space="0"/>
            </w:tcBorders>
            <w:vAlign w:val="center"/>
          </w:tcPr>
          <w:p w14:paraId="4D2D0BF2">
            <w:pPr>
              <w:spacing w:line="420" w:lineRule="exact"/>
              <w:ind w:left="0" w:leftChars="0" w:right="0" w:firstLine="0" w:firstLineChars="0"/>
              <w:jc w:val="center"/>
              <w:rPr>
                <w:rFonts w:hint="eastAsia" w:ascii="宋体" w:hAnsi="宋体" w:eastAsia="宋体"/>
                <w:sz w:val="28"/>
                <w:szCs w:val="32"/>
              </w:rPr>
            </w:pP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52F66C9B">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地  砖</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1B880FAE">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77D1D324">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40</w:t>
            </w:r>
          </w:p>
        </w:tc>
      </w:tr>
      <w:tr w14:paraId="4B54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jc w:val="center"/>
        </w:trPr>
        <w:tc>
          <w:tcPr>
            <w:tcW w:w="2211" w:type="dxa"/>
            <w:vMerge w:val="continue"/>
            <w:tcBorders>
              <w:left w:val="single" w:color="auto" w:sz="4" w:space="0"/>
              <w:right w:val="single" w:color="auto" w:sz="4" w:space="0"/>
            </w:tcBorders>
            <w:vAlign w:val="center"/>
          </w:tcPr>
          <w:p w14:paraId="33CF2AA5">
            <w:pPr>
              <w:spacing w:line="420" w:lineRule="exact"/>
              <w:ind w:left="0" w:leftChars="0" w:right="0" w:firstLine="0" w:firstLineChars="0"/>
              <w:jc w:val="center"/>
              <w:rPr>
                <w:rFonts w:hint="eastAsia" w:ascii="宋体" w:hAnsi="宋体" w:eastAsia="宋体"/>
                <w:sz w:val="28"/>
                <w:szCs w:val="32"/>
              </w:rPr>
            </w:pP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6EF45D5D">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大理石</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0C39300E">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1D66F972">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60</w:t>
            </w:r>
          </w:p>
        </w:tc>
      </w:tr>
      <w:tr w14:paraId="7FA4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jc w:val="center"/>
        </w:trPr>
        <w:tc>
          <w:tcPr>
            <w:tcW w:w="2211" w:type="dxa"/>
            <w:vMerge w:val="continue"/>
            <w:tcBorders>
              <w:left w:val="single" w:color="auto" w:sz="4" w:space="0"/>
              <w:right w:val="single" w:color="auto" w:sz="4" w:space="0"/>
            </w:tcBorders>
            <w:vAlign w:val="center"/>
          </w:tcPr>
          <w:p w14:paraId="374C0CB8">
            <w:pPr>
              <w:spacing w:line="420" w:lineRule="exact"/>
              <w:ind w:left="0" w:leftChars="0" w:right="0" w:firstLine="0" w:firstLineChars="0"/>
              <w:jc w:val="center"/>
              <w:rPr>
                <w:rFonts w:hint="eastAsia" w:ascii="宋体" w:hAnsi="宋体" w:eastAsia="宋体"/>
                <w:sz w:val="28"/>
                <w:szCs w:val="32"/>
              </w:rPr>
            </w:pP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7D22AE19">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水磨石</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25CCF8B6">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3C655B9C">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35</w:t>
            </w:r>
          </w:p>
        </w:tc>
      </w:tr>
      <w:tr w14:paraId="79C2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jc w:val="center"/>
        </w:trPr>
        <w:tc>
          <w:tcPr>
            <w:tcW w:w="2211" w:type="dxa"/>
            <w:vMerge w:val="continue"/>
            <w:tcBorders>
              <w:left w:val="single" w:color="auto" w:sz="4" w:space="0"/>
              <w:right w:val="single" w:color="auto" w:sz="4" w:space="0"/>
            </w:tcBorders>
            <w:vAlign w:val="center"/>
          </w:tcPr>
          <w:p w14:paraId="5AC9A9DB">
            <w:pPr>
              <w:spacing w:line="420" w:lineRule="exact"/>
              <w:ind w:left="0" w:leftChars="0" w:right="0" w:firstLine="0" w:firstLineChars="0"/>
              <w:jc w:val="center"/>
              <w:rPr>
                <w:rFonts w:hint="eastAsia" w:ascii="宋体" w:hAnsi="宋体" w:eastAsia="宋体"/>
                <w:sz w:val="28"/>
                <w:szCs w:val="32"/>
              </w:rPr>
            </w:pP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2846A9E3">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复合地板</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14909AF5">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33F5742F">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60</w:t>
            </w:r>
          </w:p>
        </w:tc>
      </w:tr>
      <w:tr w14:paraId="62A6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2211" w:type="dxa"/>
            <w:vMerge w:val="continue"/>
            <w:tcBorders>
              <w:left w:val="single" w:color="auto" w:sz="4" w:space="0"/>
              <w:bottom w:val="single" w:color="auto" w:sz="4" w:space="0"/>
              <w:right w:val="single" w:color="auto" w:sz="4" w:space="0"/>
            </w:tcBorders>
            <w:vAlign w:val="center"/>
          </w:tcPr>
          <w:p w14:paraId="3092C9AE">
            <w:pPr>
              <w:spacing w:line="420" w:lineRule="exact"/>
              <w:ind w:left="0" w:leftChars="0" w:right="0" w:firstLine="0" w:firstLineChars="0"/>
              <w:jc w:val="center"/>
              <w:rPr>
                <w:rFonts w:hint="eastAsia" w:ascii="宋体" w:hAnsi="宋体" w:eastAsia="宋体"/>
                <w:sz w:val="28"/>
                <w:szCs w:val="32"/>
              </w:rPr>
            </w:pP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56968152">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实木地板</w:t>
            </w:r>
          </w:p>
        </w:tc>
        <w:tc>
          <w:tcPr>
            <w:tcW w:w="2211" w:type="dxa"/>
            <w:gridSpan w:val="2"/>
            <w:tcBorders>
              <w:top w:val="single" w:color="auto" w:sz="4" w:space="0"/>
              <w:left w:val="single" w:color="auto" w:sz="4" w:space="0"/>
              <w:bottom w:val="single" w:color="auto" w:sz="4" w:space="0"/>
              <w:right w:val="single" w:color="auto" w:sz="4" w:space="0"/>
            </w:tcBorders>
            <w:vAlign w:val="center"/>
          </w:tcPr>
          <w:p w14:paraId="0BCD6177">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平方米</w:t>
            </w:r>
          </w:p>
        </w:tc>
        <w:tc>
          <w:tcPr>
            <w:tcW w:w="2211" w:type="dxa"/>
            <w:tcBorders>
              <w:top w:val="single" w:color="auto" w:sz="4" w:space="0"/>
              <w:left w:val="single" w:color="auto" w:sz="4" w:space="0"/>
              <w:bottom w:val="single" w:color="auto" w:sz="4" w:space="0"/>
              <w:right w:val="single" w:color="auto" w:sz="4" w:space="0"/>
            </w:tcBorders>
            <w:vAlign w:val="center"/>
          </w:tcPr>
          <w:p w14:paraId="496283D4">
            <w:pPr>
              <w:spacing w:line="420" w:lineRule="exact"/>
              <w:ind w:left="0" w:leftChars="0" w:right="0" w:firstLine="0" w:firstLineChars="0"/>
              <w:jc w:val="center"/>
              <w:rPr>
                <w:rFonts w:hint="eastAsia" w:ascii="宋体" w:hAnsi="宋体" w:eastAsia="宋体"/>
                <w:sz w:val="28"/>
                <w:szCs w:val="32"/>
              </w:rPr>
            </w:pPr>
            <w:r>
              <w:rPr>
                <w:rFonts w:hint="eastAsia" w:ascii="宋体" w:hAnsi="宋体" w:eastAsia="宋体"/>
                <w:sz w:val="28"/>
                <w:szCs w:val="32"/>
              </w:rPr>
              <w:t>120</w:t>
            </w:r>
          </w:p>
        </w:tc>
      </w:tr>
    </w:tbl>
    <w:p w14:paraId="4AA05EB8">
      <w:pPr>
        <w:keepNext w:val="0"/>
        <w:keepLines w:val="0"/>
        <w:pageBreakBefore w:val="0"/>
        <w:widowControl w:val="0"/>
        <w:kinsoku/>
        <w:wordWrap/>
        <w:overflowPunct/>
        <w:topLinePunct w:val="0"/>
        <w:autoSpaceDE/>
        <w:autoSpaceDN/>
        <w:bidi w:val="0"/>
        <w:adjustRightInd/>
        <w:snapToGrid/>
        <w:spacing w:line="560" w:lineRule="exact"/>
        <w:ind w:left="2080" w:hanging="2080" w:hangingChars="65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说明：1. 内外装饰能拆用的自行拆除，不能拆用的由评估部门按有关规定进行评估。</w:t>
      </w:r>
    </w:p>
    <w:p w14:paraId="7EBFFB0F">
      <w:pPr>
        <w:keepNext w:val="0"/>
        <w:keepLines w:val="0"/>
        <w:pageBreakBefore w:val="0"/>
        <w:widowControl w:val="0"/>
        <w:kinsoku/>
        <w:wordWrap/>
        <w:overflowPunct/>
        <w:topLinePunct w:val="0"/>
        <w:autoSpaceDE/>
        <w:autoSpaceDN/>
        <w:bidi w:val="0"/>
        <w:adjustRightInd/>
        <w:snapToGrid/>
        <w:spacing w:line="560" w:lineRule="exact"/>
        <w:ind w:firstLine="960" w:firstLineChars="3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 本表未列入的项目，另参照定额计算。</w:t>
      </w:r>
    </w:p>
    <w:p w14:paraId="541A19E1">
      <w:pPr>
        <w:rPr>
          <w:rFonts w:eastAsia="仿宋_GB2312"/>
          <w:sz w:val="32"/>
          <w:szCs w:val="32"/>
        </w:rPr>
      </w:pPr>
    </w:p>
    <w:p w14:paraId="764B546C">
      <w:r>
        <w:t xml:space="preserve"> </w:t>
      </w:r>
    </w:p>
    <w:p w14:paraId="1BD9FFC9">
      <w:pPr>
        <w:rPr>
          <w:rFonts w:hint="eastAsia" w:eastAsia="仿宋_GB2312"/>
          <w:sz w:val="32"/>
          <w:szCs w:val="32"/>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E4CE7">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94046B6">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694046B6">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5E0C3C89">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y1Us7foBAADoAwAADgAAAAAAAAABACAAAAAhAQAAZHJzL2Uyb0RvYy54bWxQ&#10;SwUGAAAAAAYABgBZAQAAjQU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人民政府发布    </w:t>
    </w:r>
  </w:p>
  <w:p w14:paraId="75F00EBC">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3BF90">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HViDo/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qoEzizYOjC7z59v/34&#10;5eePzzTeffvKnieTBo8VYa/tJpxm6DchKT60waQ/aWGHbOzx3lh5iEzQ4nwxKy8u55wJyi0u5omx&#10;eNjqA8ZX0hmWgpprZZNqqGD/GuMI/Q1Jy9qyoeYz+hIjUA+2dPcUGk860HZ5MzqtmhulddqCodte&#10;68D2kPqgnE9fzE41/AVLp6wB+xGXUwkGVS+heWkbFo+eHLL0MHiqwciGMy3pHaUoIyMofQ6S5GtL&#10;LiRjRytTtHXNke5j54Pq+tysSX7K0P1nz069mhrsz3lGPbzP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HViDo/cBAADnAwAADgAAAAAAAAABACAAAAAhAQAAZHJzL2Uyb0RvYy54bWxQSwUG&#10;AAAAAAYABgBZAQAAigUAAAAA&#10;">
              <v:fill on="f" focussize="0,0"/>
              <v:stroke weight="1.75pt" color="#005192" joinstyle="round"/>
              <v:imagedata o:title=""/>
              <o:lock v:ext="edit" aspectratio="f"/>
            </v:line>
          </w:pict>
        </mc:Fallback>
      </mc:AlternateContent>
    </w:r>
  </w:p>
  <w:p w14:paraId="77FC6F8F">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人民政府行政</w:t>
    </w:r>
    <w:r>
      <w:rPr>
        <w:rFonts w:hint="eastAsia" w:ascii="宋体" w:hAnsi="宋体" w:eastAsia="宋体" w:cs="宋体"/>
        <w:b/>
        <w:bCs/>
        <w:color w:val="005192"/>
        <w:sz w:val="32"/>
        <w:szCs w:val="32"/>
        <w:lang w:val="en-US" w:eastAsia="zh-CN"/>
      </w:rPr>
      <w:t>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2A5BEC"/>
    <w:multiLevelType w:val="singleLevel"/>
    <w:tmpl w:val="EB2A5BEC"/>
    <w:lvl w:ilvl="0" w:tentative="0">
      <w:start w:val="2"/>
      <w:numFmt w:val="chineseCounting"/>
      <w:suff w:val="nothing"/>
      <w:lvlText w:val="第%1章　"/>
      <w:lvlJc w:val="left"/>
      <w:rPr>
        <w:rFonts w:hint="eastAsia"/>
      </w:rPr>
    </w:lvl>
  </w:abstractNum>
  <w:abstractNum w:abstractNumId="1">
    <w:nsid w:val="363FBEDE"/>
    <w:multiLevelType w:val="singleLevel"/>
    <w:tmpl w:val="363FBEDE"/>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hMTU4NzllMTFmYmRhMmZiNGM0MDgxN2VmNmVmMDAifQ=="/>
  </w:docVars>
  <w:rsids>
    <w:rsidRoot w:val="00000000"/>
    <w:rsid w:val="181D62A7"/>
    <w:rsid w:val="655979A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5824</Words>
  <Characters>5935</Characters>
  <Lines>1</Lines>
  <Paragraphs>1</Paragraphs>
  <TotalTime>4</TotalTime>
  <ScaleCrop>false</ScaleCrop>
  <LinksUpToDate>false</LinksUpToDate>
  <CharactersWithSpaces>6060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2024-12-11T10:00:29Z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6E7AE972C18F436FB763D5C324076E41_13</vt:lpwstr>
  </property>
</Properties>
</file>