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D0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怀远县住房和城乡建设局</w:t>
      </w:r>
    </w:p>
    <w:p w14:paraId="38EEA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14:paraId="4EF81E35">
      <w:pPr>
        <w:keepNext w:val="0"/>
        <w:keepLines w:val="0"/>
        <w:pageBreakBefore w:val="0"/>
        <w:kinsoku/>
        <w:overflowPunct/>
        <w:topLinePunct w:val="0"/>
        <w:autoSpaceDE/>
        <w:autoSpaceDN/>
        <w:bidi w:val="0"/>
        <w:adjustRightInd/>
        <w:snapToGrid/>
        <w:spacing w:line="560" w:lineRule="exact"/>
        <w:textAlignment w:val="auto"/>
        <w:rPr>
          <w:rFonts w:hint="eastAsia"/>
          <w:color w:val="auto"/>
        </w:rPr>
      </w:pPr>
    </w:p>
    <w:p w14:paraId="206E6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依据《中华人民共和国政府信息公开条例》（国务院令第711号）、《国务院办公厅政府信息与政务公开办公室关于印发〈中华人民共和国政府信息公开工作年度报告格式〉的通知》（国办公开办函〔2021〕30号）要求，结合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本报告中所列数据的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年12月31日止。如有疑问，请与</w:t>
      </w:r>
      <w:r>
        <w:rPr>
          <w:rFonts w:hint="eastAsia" w:ascii="仿宋_GB2312" w:hAnsi="仿宋_GB2312" w:eastAsia="仿宋_GB2312" w:cs="仿宋_GB2312"/>
          <w:i w:val="0"/>
          <w:iCs w:val="0"/>
          <w:caps w:val="0"/>
          <w:color w:val="auto"/>
          <w:spacing w:val="0"/>
          <w:sz w:val="32"/>
          <w:szCs w:val="32"/>
          <w:shd w:val="clear" w:fill="FFFFFF"/>
          <w:lang w:val="en-US" w:eastAsia="zh-CN"/>
        </w:rPr>
        <w:t>怀远县住房和城乡建设局</w:t>
      </w:r>
      <w:r>
        <w:rPr>
          <w:rFonts w:hint="eastAsia" w:ascii="仿宋_GB2312" w:hAnsi="仿宋_GB2312" w:eastAsia="仿宋_GB2312" w:cs="仿宋_GB2312"/>
          <w:i w:val="0"/>
          <w:iCs w:val="0"/>
          <w:caps w:val="0"/>
          <w:color w:val="auto"/>
          <w:spacing w:val="0"/>
          <w:sz w:val="32"/>
          <w:szCs w:val="32"/>
          <w:shd w:val="clear" w:fill="FFFFFF"/>
        </w:rPr>
        <w:t>联系（地址：</w:t>
      </w:r>
      <w:r>
        <w:rPr>
          <w:rFonts w:hint="eastAsia" w:ascii="仿宋_GB2312" w:hAnsi="仿宋_GB2312" w:eastAsia="仿宋_GB2312" w:cs="仿宋_GB2312"/>
          <w:color w:val="auto"/>
          <w:kern w:val="0"/>
          <w:sz w:val="32"/>
          <w:szCs w:val="32"/>
          <w:lang w:val="en-US" w:eastAsia="zh-CN" w:bidi="ar"/>
        </w:rPr>
        <w:t>怀远县榴城镇启王路703号</w:t>
      </w:r>
      <w:r>
        <w:rPr>
          <w:rFonts w:hint="eastAsia" w:ascii="仿宋_GB2312" w:hAnsi="仿宋_GB2312" w:eastAsia="仿宋_GB2312" w:cs="仿宋_GB2312"/>
          <w:i w:val="0"/>
          <w:iCs w:val="0"/>
          <w:caps w:val="0"/>
          <w:color w:val="auto"/>
          <w:spacing w:val="0"/>
          <w:sz w:val="32"/>
          <w:szCs w:val="32"/>
          <w:shd w:val="clear" w:fill="FFFFFF"/>
        </w:rPr>
        <w:t>，电话：0552-</w:t>
      </w:r>
      <w:r>
        <w:rPr>
          <w:rFonts w:hint="eastAsia" w:ascii="仿宋_GB2312" w:hAnsi="仿宋_GB2312" w:eastAsia="仿宋_GB2312" w:cs="仿宋_GB2312"/>
          <w:i w:val="0"/>
          <w:iCs w:val="0"/>
          <w:caps w:val="0"/>
          <w:color w:val="auto"/>
          <w:spacing w:val="0"/>
          <w:sz w:val="32"/>
          <w:szCs w:val="32"/>
          <w:shd w:val="clear" w:fill="FFFFFF"/>
          <w:lang w:val="en-US" w:eastAsia="zh-CN"/>
        </w:rPr>
        <w:t>8213808</w:t>
      </w:r>
      <w:r>
        <w:rPr>
          <w:rFonts w:hint="eastAsia" w:ascii="仿宋_GB2312" w:hAnsi="仿宋_GB2312" w:eastAsia="仿宋_GB2312" w:cs="仿宋_GB2312"/>
          <w:i w:val="0"/>
          <w:iCs w:val="0"/>
          <w:caps w:val="0"/>
          <w:color w:val="auto"/>
          <w:spacing w:val="0"/>
          <w:sz w:val="32"/>
          <w:szCs w:val="32"/>
          <w:shd w:val="clear" w:fill="FFFFFF"/>
        </w:rPr>
        <w:t>，邮编：233400）。</w:t>
      </w:r>
    </w:p>
    <w:p w14:paraId="61FFD4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color w:val="auto"/>
          <w:sz w:val="21"/>
          <w:szCs w:val="21"/>
        </w:rPr>
      </w:pPr>
      <w:r>
        <w:rPr>
          <w:rFonts w:ascii="黑体" w:hAnsi="宋体" w:eastAsia="黑体" w:cs="黑体"/>
          <w:i w:val="0"/>
          <w:iCs w:val="0"/>
          <w:caps w:val="0"/>
          <w:color w:val="auto"/>
          <w:spacing w:val="0"/>
          <w:sz w:val="32"/>
          <w:szCs w:val="32"/>
          <w:shd w:val="clear" w:fill="FFFFFF"/>
        </w:rPr>
        <w:t>一、总体情况</w:t>
      </w:r>
    </w:p>
    <w:p w14:paraId="08540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color w:val="auto"/>
          <w:sz w:val="21"/>
          <w:szCs w:val="21"/>
        </w:rPr>
      </w:pPr>
      <w:r>
        <w:rPr>
          <w:rFonts w:hint="eastAsia" w:ascii="仿宋" w:hAnsi="仿宋" w:eastAsia="仿宋" w:cs="仿宋"/>
          <w:b/>
          <w:bCs/>
          <w:i w:val="0"/>
          <w:iCs w:val="0"/>
          <w:caps w:val="0"/>
          <w:color w:val="auto"/>
          <w:spacing w:val="0"/>
          <w:sz w:val="32"/>
          <w:szCs w:val="32"/>
          <w:shd w:val="clear" w:fill="FFFFFF"/>
        </w:rPr>
        <w:t>（一）主动公开</w:t>
      </w:r>
    </w:p>
    <w:p w14:paraId="313D6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我局及时回应关切、解疑释惑，依法依规发布政府信息425</w:t>
      </w:r>
      <w:r>
        <w:rPr>
          <w:rFonts w:hint="default" w:ascii="仿宋_GB2312" w:hAnsi="仿宋_GB2312" w:eastAsia="仿宋_GB2312" w:cs="仿宋_GB2312"/>
          <w:i w:val="0"/>
          <w:iCs w:val="0"/>
          <w:caps w:val="0"/>
          <w:color w:val="auto"/>
          <w:spacing w:val="0"/>
          <w:sz w:val="32"/>
          <w:szCs w:val="32"/>
          <w:shd w:val="clear" w:fill="FFFFFF"/>
          <w:lang w:val="en-US" w:eastAsia="zh-CN"/>
        </w:rPr>
        <w:t> </w:t>
      </w:r>
      <w:r>
        <w:rPr>
          <w:rFonts w:hint="eastAsia" w:ascii="仿宋_GB2312" w:hAnsi="仿宋_GB2312" w:eastAsia="仿宋_GB2312" w:cs="仿宋_GB2312"/>
          <w:i w:val="0"/>
          <w:iCs w:val="0"/>
          <w:caps w:val="0"/>
          <w:color w:val="auto"/>
          <w:spacing w:val="0"/>
          <w:sz w:val="32"/>
          <w:szCs w:val="32"/>
          <w:shd w:val="clear" w:fill="FFFFFF"/>
          <w:lang w:val="en-US" w:eastAsia="zh-CN"/>
        </w:rPr>
        <w:t>条。其中重大决策预公开</w:t>
      </w:r>
      <w:r>
        <w:rPr>
          <w:rFonts w:hint="default"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lang w:val="en-US" w:eastAsia="zh-CN"/>
        </w:rPr>
        <w:t>条，财政资金39条，行政权力运行7</w:t>
      </w:r>
      <w:r>
        <w:rPr>
          <w:rFonts w:hint="default"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eastAsia="zh-CN"/>
        </w:rPr>
        <w:t>条，招标采购63条，政策解读7条，回应关切25条，重点领域信息公开125条等。</w:t>
      </w:r>
    </w:p>
    <w:p w14:paraId="12E8E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（二）依申请公开</w:t>
      </w:r>
    </w:p>
    <w:p w14:paraId="5A5400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我局严格按照依申请公开工作要求，建立我局依申请公开工作流程，明确责任岗位和人员，做到准确领会、及时回复。进一步规范了政府信息公开的申请登记、审核、办理、 答复、归档环节。2024年，我局共受理依申请公开办件 27件，一方面，存在一人多件重复申请的情况；另一方面，随着城市建设的推进以及居民对居住品质关注度的提升，市政建设及物业管理领域的信息需求愈发凸显，申请多集中于这两方面提出。都已按要求在法定期限内办结。2024年因政府信息公开申请引起行政复议的3件，行政诉讼案件0件。</w:t>
      </w:r>
    </w:p>
    <w:p w14:paraId="5882EE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color w:val="auto"/>
          <w:sz w:val="21"/>
          <w:szCs w:val="21"/>
        </w:rPr>
      </w:pPr>
      <w:r>
        <w:rPr>
          <w:rFonts w:hint="eastAsia" w:ascii="仿宋" w:hAnsi="仿宋" w:eastAsia="仿宋" w:cs="仿宋"/>
          <w:b/>
          <w:bCs/>
          <w:i w:val="0"/>
          <w:iCs w:val="0"/>
          <w:caps w:val="0"/>
          <w:color w:val="auto"/>
          <w:spacing w:val="0"/>
          <w:sz w:val="32"/>
          <w:szCs w:val="32"/>
          <w:shd w:val="clear" w:fill="FFFFFF"/>
        </w:rPr>
        <w:t>（三）政府信息管理情况</w:t>
      </w:r>
      <w:r>
        <w:rPr>
          <w:rFonts w:hint="eastAsia" w:ascii="仿宋" w:hAnsi="仿宋" w:eastAsia="仿宋" w:cs="仿宋"/>
          <w:i w:val="0"/>
          <w:iCs w:val="0"/>
          <w:caps w:val="0"/>
          <w:color w:val="auto"/>
          <w:spacing w:val="0"/>
          <w:sz w:val="32"/>
          <w:szCs w:val="32"/>
          <w:shd w:val="clear" w:fill="FFFFFF"/>
        </w:rPr>
        <w:t>​</w:t>
      </w:r>
    </w:p>
    <w:p w14:paraId="54F99A9C">
      <w:pPr>
        <w:pStyle w:val="3"/>
        <w:ind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局通过严格执行“三级审查”制度，规范了采集、审核、报送、复制、传递等环节程序，强化了信息的编制加工、检查核对及保密审查工作，提高信息发布的质量，根据栏目指标发布相应信息并优化内容，及时完成栏目下无关、失效、情况说明的清理工作，从而提高栏目的阅读质效。在日常工作中积极配合上级考核和检查，对排查的问题及时整改，同时也加强自查自纠。</w:t>
      </w:r>
    </w:p>
    <w:p w14:paraId="6A08A1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color w:val="auto"/>
          <w:sz w:val="21"/>
          <w:szCs w:val="21"/>
        </w:rPr>
      </w:pPr>
      <w:r>
        <w:rPr>
          <w:rFonts w:hint="eastAsia" w:ascii="仿宋" w:hAnsi="仿宋" w:eastAsia="仿宋" w:cs="仿宋"/>
          <w:b/>
          <w:bCs/>
          <w:i w:val="0"/>
          <w:iCs w:val="0"/>
          <w:caps w:val="0"/>
          <w:color w:val="auto"/>
          <w:spacing w:val="0"/>
          <w:sz w:val="32"/>
          <w:szCs w:val="32"/>
          <w:shd w:val="clear" w:fill="FFFFFF"/>
        </w:rPr>
        <w:t>（四）政府信息公开平台建设</w:t>
      </w:r>
      <w:r>
        <w:rPr>
          <w:rFonts w:hint="eastAsia" w:ascii="仿宋" w:hAnsi="仿宋" w:eastAsia="仿宋" w:cs="仿宋"/>
          <w:i w:val="0"/>
          <w:iCs w:val="0"/>
          <w:caps w:val="0"/>
          <w:color w:val="auto"/>
          <w:spacing w:val="0"/>
          <w:sz w:val="32"/>
          <w:szCs w:val="32"/>
          <w:shd w:val="clear" w:fill="FFFFFF"/>
        </w:rPr>
        <w:t>​</w:t>
      </w:r>
    </w:p>
    <w:p w14:paraId="1DFA8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局持续强化政府网站及线下公开场所等平台建设，不断拓宽公开渠道。切实做好内容管理，优化展示方式，着力提升服务水平。对重大突发事件和政务舆情第一时间响应，传权威声音，发布动态信息，积极引导舆论，公开效应持续增强。</w:t>
      </w:r>
    </w:p>
    <w:p w14:paraId="5ED0AB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color w:val="auto"/>
          <w:sz w:val="21"/>
          <w:szCs w:val="21"/>
        </w:rPr>
      </w:pPr>
      <w:r>
        <w:rPr>
          <w:rFonts w:hint="eastAsia" w:ascii="仿宋" w:hAnsi="仿宋" w:eastAsia="仿宋" w:cs="仿宋"/>
          <w:b/>
          <w:bCs/>
          <w:i w:val="0"/>
          <w:iCs w:val="0"/>
          <w:caps w:val="0"/>
          <w:color w:val="auto"/>
          <w:spacing w:val="0"/>
          <w:sz w:val="32"/>
          <w:szCs w:val="32"/>
          <w:shd w:val="clear" w:fill="FFFFFF"/>
        </w:rPr>
        <w:t>（五）监督保障</w:t>
      </w:r>
    </w:p>
    <w:p w14:paraId="6589B8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压实工作责任，转变理念，提高认识，将政务公开纳入重要议事日程，全年多次组织参加全县政务公开工作推进会、业务培训会，督促我局问题整改落实。健全完善政府信息公开社会评议制度，积极开展社会评议，认真收集、吸纳群众评议意见和建议，进一步规范全局政府信息公开工作。</w:t>
      </w:r>
    </w:p>
    <w:p w14:paraId="339BDB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Calibri" w:hAnsi="Calibri" w:cs="Calibri"/>
          <w:color w:val="auto"/>
          <w:sz w:val="21"/>
          <w:szCs w:val="21"/>
        </w:rPr>
      </w:pPr>
      <w:r>
        <w:rPr>
          <w:rFonts w:hint="eastAsia" w:ascii="黑体" w:hAnsi="宋体" w:eastAsia="黑体" w:cs="黑体"/>
          <w:i w:val="0"/>
          <w:iCs w:val="0"/>
          <w:caps w:val="0"/>
          <w:color w:val="auto"/>
          <w:spacing w:val="0"/>
          <w:sz w:val="32"/>
          <w:szCs w:val="32"/>
          <w:shd w:val="clear" w:fill="FFFFFF"/>
        </w:rPr>
        <w:t>二、主动公开政府信息情况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9"/>
        <w:gridCol w:w="2107"/>
        <w:gridCol w:w="2107"/>
        <w:gridCol w:w="2107"/>
      </w:tblGrid>
      <w:tr w14:paraId="2011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76F664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第二十条第（一）项</w:t>
            </w:r>
          </w:p>
        </w:tc>
      </w:tr>
      <w:tr w14:paraId="3C43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4CD6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信息内容</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8C6E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本年制发件数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8F0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本年废止件数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0E6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现行有效件数</w:t>
            </w:r>
          </w:p>
        </w:tc>
      </w:tr>
      <w:tr w14:paraId="34D8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DCC5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规章</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6AB5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F17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ADF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0</w:t>
            </w:r>
          </w:p>
        </w:tc>
      </w:tr>
      <w:tr w14:paraId="755D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994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行政规范性文件</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657E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宋体" w:hAnsi="宋体" w:eastAsia="宋体" w:cs="宋体"/>
                <w:color w:val="auto"/>
                <w:sz w:val="21"/>
                <w:szCs w:val="21"/>
                <w:lang w:val="en-US" w:eastAsia="zh-CN"/>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74D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宋体" w:hAnsi="宋体" w:eastAsia="宋体" w:cs="宋体"/>
                <w:color w:val="auto"/>
                <w:sz w:val="21"/>
                <w:szCs w:val="21"/>
                <w:lang w:val="en-US" w:eastAsia="zh-CN"/>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098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宋体" w:hAnsi="宋体" w:eastAsia="宋体" w:cs="宋体"/>
                <w:color w:val="auto"/>
                <w:sz w:val="21"/>
                <w:szCs w:val="21"/>
                <w:lang w:val="en-US" w:eastAsia="zh-CN"/>
              </w:rPr>
              <w:t>0</w:t>
            </w:r>
          </w:p>
        </w:tc>
      </w:tr>
      <w:tr w14:paraId="4D9A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343C3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第二十条第（五）项</w:t>
            </w:r>
          </w:p>
        </w:tc>
      </w:tr>
      <w:tr w14:paraId="57FB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D24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592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本年处理决定数量</w:t>
            </w:r>
          </w:p>
        </w:tc>
      </w:tr>
      <w:tr w14:paraId="3901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116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3BA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222</w:t>
            </w:r>
          </w:p>
        </w:tc>
      </w:tr>
      <w:tr w14:paraId="1187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011188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第二十条第（六）项</w:t>
            </w:r>
          </w:p>
        </w:tc>
      </w:tr>
      <w:tr w14:paraId="22AA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B207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8F98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本年处理决定数量</w:t>
            </w:r>
          </w:p>
        </w:tc>
      </w:tr>
      <w:tr w14:paraId="0529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19368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E88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3C55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2C6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D1FD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262F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08FF5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第二十条第（八）项</w:t>
            </w:r>
          </w:p>
        </w:tc>
      </w:tr>
      <w:tr w14:paraId="6EB6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CCAE2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信息内容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40A36B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本年收费金额（单位：万元）</w:t>
            </w:r>
          </w:p>
        </w:tc>
      </w:tr>
      <w:tr w14:paraId="7178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82B7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7EC2D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2417.45418</w:t>
            </w:r>
          </w:p>
        </w:tc>
      </w:tr>
    </w:tbl>
    <w:p w14:paraId="67B983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eastAsia="微软雅黑" w:cs="Calibri"/>
          <w:i w:val="0"/>
          <w:iCs w:val="0"/>
          <w:caps w:val="0"/>
          <w:color w:val="auto"/>
          <w:spacing w:val="0"/>
          <w:sz w:val="21"/>
          <w:szCs w:val="21"/>
          <w:shd w:val="clear" w:fill="FFFFFF"/>
        </w:rPr>
      </w:pPr>
    </w:p>
    <w:p w14:paraId="50455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Calibri" w:hAnsi="Calibri" w:cs="Calibri"/>
          <w:color w:val="auto"/>
          <w:sz w:val="21"/>
          <w:szCs w:val="21"/>
        </w:rPr>
      </w:pPr>
      <w:r>
        <w:rPr>
          <w:rFonts w:hint="eastAsia" w:ascii="黑体" w:hAnsi="宋体" w:eastAsia="黑体" w:cs="黑体"/>
          <w:i w:val="0"/>
          <w:iCs w:val="0"/>
          <w:caps w:val="0"/>
          <w:color w:val="auto"/>
          <w:spacing w:val="0"/>
          <w:sz w:val="32"/>
          <w:szCs w:val="32"/>
          <w:shd w:val="clear" w:fill="FFFFFF"/>
        </w:rPr>
        <w:t>三、收到和处理政府信息公开申请情况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9"/>
        <w:gridCol w:w="894"/>
        <w:gridCol w:w="1856"/>
        <w:gridCol w:w="693"/>
        <w:gridCol w:w="787"/>
        <w:gridCol w:w="760"/>
        <w:gridCol w:w="640"/>
        <w:gridCol w:w="827"/>
        <w:gridCol w:w="520"/>
        <w:gridCol w:w="617"/>
      </w:tblGrid>
      <w:tr w14:paraId="077C3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5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1CE8D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ascii="楷_GB2312" w:hAnsi="楷_GB2312" w:eastAsia="楷_GB2312" w:cs="楷_GB2312"/>
                <w:color w:val="auto"/>
                <w:sz w:val="21"/>
                <w:szCs w:val="21"/>
              </w:rPr>
              <w:t>（本列数据的勾稽关系为：第一项加第二项之和，等于第三项加第四项之和）</w:t>
            </w:r>
          </w:p>
        </w:tc>
        <w:tc>
          <w:tcPr>
            <w:tcW w:w="4844"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ED53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申请人情况</w:t>
            </w:r>
          </w:p>
        </w:tc>
      </w:tr>
      <w:tr w14:paraId="33A33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FFFCDC1">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93"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5F4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自然人</w:t>
            </w:r>
          </w:p>
        </w:tc>
        <w:tc>
          <w:tcPr>
            <w:tcW w:w="353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63DDA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法人或其他组织</w:t>
            </w:r>
          </w:p>
        </w:tc>
        <w:tc>
          <w:tcPr>
            <w:tcW w:w="61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1BA7F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总计</w:t>
            </w:r>
          </w:p>
        </w:tc>
      </w:tr>
      <w:tr w14:paraId="6B06AD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1DB31AF9">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93"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577A6CD">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787"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7921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商业</w:t>
            </w:r>
          </w:p>
          <w:p w14:paraId="62E9F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企业</w:t>
            </w:r>
          </w:p>
        </w:tc>
        <w:tc>
          <w:tcPr>
            <w:tcW w:w="760"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F80B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科研</w:t>
            </w:r>
          </w:p>
          <w:p w14:paraId="00C8C1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机构</w:t>
            </w:r>
          </w:p>
        </w:tc>
        <w:tc>
          <w:tcPr>
            <w:tcW w:w="640"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A79F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社会公益组织</w:t>
            </w:r>
          </w:p>
        </w:tc>
        <w:tc>
          <w:tcPr>
            <w:tcW w:w="82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319AAA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法律服务机构</w:t>
            </w:r>
          </w:p>
        </w:tc>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2021B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其他</w:t>
            </w:r>
          </w:p>
        </w:tc>
        <w:tc>
          <w:tcPr>
            <w:tcW w:w="61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00B22C7">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r>
      <w:tr w14:paraId="72D7E9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5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47026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rPr>
              <w:t>一、本年新收政府信息公开申请数量</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3735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26</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206AC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E7C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A34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ABDBF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1967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6551B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27</w:t>
            </w:r>
          </w:p>
        </w:tc>
      </w:tr>
      <w:tr w14:paraId="7DDB49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5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94D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二、上年结转政府信息公开申请数量</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0468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116A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921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14B50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FA7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C433F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86F9E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38F021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B59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三、本年度办理结果</w:t>
            </w:r>
          </w:p>
        </w:tc>
        <w:tc>
          <w:tcPr>
            <w:tcW w:w="2750"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290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（一）予以公开</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AA4F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11</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990D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A86E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841C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42CEA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AEB8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3F40F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11</w:t>
            </w:r>
          </w:p>
        </w:tc>
      </w:tr>
      <w:tr w14:paraId="5F8971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E49172A">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2750"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82C4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（二）部分公开</w:t>
            </w:r>
            <w:r>
              <w:rPr>
                <w:rFonts w:hint="default" w:ascii="楷_GB2312" w:hAnsi="楷_GB2312" w:eastAsia="楷_GB2312" w:cs="楷_GB2312"/>
                <w:color w:val="auto"/>
                <w:sz w:val="21"/>
                <w:szCs w:val="21"/>
              </w:rPr>
              <w:t>（区分处理的，只计这一情形，不计其他情形）</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BCF1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3</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7069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C34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782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72EC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8858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F511B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4</w:t>
            </w:r>
          </w:p>
        </w:tc>
      </w:tr>
      <w:tr w14:paraId="4069A6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3746ACB">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3B3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（三）不予公开</w:t>
            </w: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E21E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1.属于国家秘密</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5FAC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3E82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CEE1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4416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32E8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ABA0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single" w:color="auto" w:sz="6" w:space="0"/>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76B5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24444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1176A28">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C09D82">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8E628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2.其他法律行政法规禁止公开</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8701F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AC915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979A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0370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96A7F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9EBD9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B2856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0DCFC0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5C95CF5">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05C637D">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B708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3.危及“三安全一稳定”</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7BA5F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DA4F9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C79D6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9AB77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F4767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04A6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56D7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798FF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236DEBC">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94B40FA">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CE81D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4.保护第三方合法权益</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6A072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8CA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923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61F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D02A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3530B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B4C1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w:t>
            </w:r>
          </w:p>
        </w:tc>
      </w:tr>
      <w:tr w14:paraId="4FDA6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D5D834">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E243D0">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AC1A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5.属于三类内部事务信息</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8588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F8780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C5A4E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2EC0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519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EC88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28E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30D7C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3F0A1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061E85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D7B6E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6.属于四类过程性信息</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B8339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4C22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E6F9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653BF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2B841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12E49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10B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4C9779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264CD5D">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7FC988">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D046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7.属于行政执法案卷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790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36BD3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F897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6C1F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092DA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478C8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3F0E8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1D9ABF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73EE961">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01AE50D">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1BBC3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8.属于行政查询事项</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87C7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817B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2D2F3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01AB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536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651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E75E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44F0B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4AE3050">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C8DB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（四）无法提供</w:t>
            </w: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B480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1.本机关不掌握相关政府信息</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75FB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2DE92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B29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3EEC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4FCE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5D8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F496A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10</w:t>
            </w:r>
          </w:p>
        </w:tc>
      </w:tr>
      <w:tr w14:paraId="45B64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1CE6F19">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941C17B">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49B9B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2.没有现成信息需要另行制作</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A183F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5E00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2C8B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70EB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F1CF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4981D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765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258890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7F17C17">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E3E1F94">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0107E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3.补正后申请内容仍不明确</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5DF4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64804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FD7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36F4F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253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3C70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10B4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54865F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F57CCF6">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B5E2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（五）不予处理</w:t>
            </w: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1BC2AC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1.信访举报投诉类申请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3366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576B0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1EE0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4009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F67D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5DE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EA08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2A7C1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7024C3">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1B878D9">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6B304E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2.重复申请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632B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14D59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346A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B879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6B4A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FDD25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D9D2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518CDB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57BDFC">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910F5D8">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321F4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3.要求提供公开出版物</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5E871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B8B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21CB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4ED3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8010B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89B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14D2E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17DFF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A3D0A47">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B31A28B">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top"/>
          </w:tcPr>
          <w:p w14:paraId="07D17F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4.无正当理由大量反复申请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F1A9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70494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FAD1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50D0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88E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068E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62ABB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2F962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2A07BA5">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3E0404">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6C8B4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color w:val="auto"/>
                <w:sz w:val="21"/>
                <w:szCs w:val="21"/>
              </w:rPr>
            </w:pPr>
            <w:r>
              <w:rPr>
                <w:rFonts w:hint="eastAsia" w:ascii="宋体" w:hAnsi="宋体" w:eastAsia="宋体" w:cs="宋体"/>
                <w:color w:val="auto"/>
                <w:sz w:val="21"/>
                <w:szCs w:val="21"/>
              </w:rPr>
              <w:t>5.要求行政机关确认或重新出具已获取信息</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306C2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6431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FC9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0BD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37F0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9581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73A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4DABE9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3F0E67">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5015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（六）其他处理</w:t>
            </w: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2EFA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FB7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1AB3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85E0A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E9B9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2138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3CB2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5C08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6C51EF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1DE7EE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A27F1FC">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E8240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C2007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7A326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B98E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C49F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4DDD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312DE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DE7F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61A1F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83890B5">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894"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1AA6BA">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1856"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123FF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3.其他</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892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22E4D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E6FE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8C02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2F683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8488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9B59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cs="Calibri" w:eastAsiaTheme="minorEastAsia"/>
                <w:color w:val="auto"/>
                <w:kern w:val="0"/>
                <w:sz w:val="21"/>
                <w:szCs w:val="21"/>
                <w:lang w:val="en-US" w:eastAsia="zh-CN" w:bidi="ar"/>
              </w:rPr>
            </w:pPr>
            <w:r>
              <w:rPr>
                <w:rFonts w:hint="eastAsia" w:ascii="Calibri" w:hAnsi="Calibri" w:cs="Calibri"/>
                <w:color w:val="auto"/>
                <w:sz w:val="21"/>
                <w:szCs w:val="21"/>
                <w:lang w:val="en-US" w:eastAsia="zh-CN"/>
              </w:rPr>
              <w:t>0</w:t>
            </w:r>
          </w:p>
        </w:tc>
      </w:tr>
      <w:tr w14:paraId="02E3DE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9"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467E636">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2750" w:type="dxa"/>
            <w:gridSpan w:val="2"/>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919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（七）总计</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08ACD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26</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6D50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24D9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FE62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25603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F2090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E73D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27</w:t>
            </w:r>
          </w:p>
        </w:tc>
      </w:tr>
      <w:tr w14:paraId="07BC3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5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0344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color w:val="auto"/>
                <w:sz w:val="21"/>
                <w:szCs w:val="21"/>
              </w:rPr>
            </w:pPr>
            <w:r>
              <w:rPr>
                <w:rFonts w:hint="eastAsia" w:ascii="宋体" w:hAnsi="宋体" w:eastAsia="宋体" w:cs="宋体"/>
                <w:color w:val="auto"/>
                <w:sz w:val="21"/>
                <w:szCs w:val="21"/>
              </w:rPr>
              <w:t>四、结转下年度继续办理</w:t>
            </w:r>
          </w:p>
        </w:tc>
        <w:tc>
          <w:tcPr>
            <w:tcW w:w="693"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D3E0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8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82AD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76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4379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4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74F9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82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F7FC3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520"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EE7B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617"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B2A37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bl>
    <w:p w14:paraId="1A086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宋体" w:eastAsia="黑体" w:cs="黑体"/>
          <w:i w:val="0"/>
          <w:iCs w:val="0"/>
          <w:caps w:val="0"/>
          <w:color w:val="auto"/>
          <w:spacing w:val="0"/>
          <w:sz w:val="32"/>
          <w:szCs w:val="32"/>
          <w:shd w:val="clear" w:fill="FFFFFF"/>
        </w:rPr>
      </w:pPr>
    </w:p>
    <w:p w14:paraId="10F547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Calibri" w:hAnsi="Calibri" w:cs="Calibri"/>
          <w:color w:val="auto"/>
          <w:sz w:val="21"/>
          <w:szCs w:val="21"/>
        </w:rPr>
      </w:pPr>
      <w:r>
        <w:rPr>
          <w:rFonts w:hint="eastAsia" w:ascii="黑体" w:hAnsi="宋体" w:eastAsia="黑体" w:cs="黑体"/>
          <w:i w:val="0"/>
          <w:iCs w:val="0"/>
          <w:caps w:val="0"/>
          <w:color w:val="auto"/>
          <w:spacing w:val="0"/>
          <w:sz w:val="32"/>
          <w:szCs w:val="32"/>
          <w:shd w:val="clear" w:fill="FFFFFF"/>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567"/>
        <w:gridCol w:w="567"/>
        <w:gridCol w:w="568"/>
        <w:gridCol w:w="568"/>
        <w:gridCol w:w="568"/>
        <w:gridCol w:w="568"/>
        <w:gridCol w:w="568"/>
        <w:gridCol w:w="568"/>
        <w:gridCol w:w="568"/>
        <w:gridCol w:w="569"/>
        <w:gridCol w:w="569"/>
        <w:gridCol w:w="569"/>
        <w:gridCol w:w="569"/>
        <w:gridCol w:w="569"/>
      </w:tblGrid>
      <w:tr w14:paraId="5368B6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31005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行政复议</w:t>
            </w:r>
          </w:p>
        </w:tc>
        <w:tc>
          <w:tcPr>
            <w:tcW w:w="6503"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3228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行政诉讼</w:t>
            </w:r>
          </w:p>
        </w:tc>
      </w:tr>
      <w:tr w14:paraId="4D513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6F89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69D4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35C0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其他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D46F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尚未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7CB29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8700F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未经复议直接起诉</w:t>
            </w:r>
          </w:p>
        </w:tc>
        <w:tc>
          <w:tcPr>
            <w:tcW w:w="3255"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6959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复议后起诉</w:t>
            </w:r>
          </w:p>
        </w:tc>
      </w:tr>
      <w:tr w14:paraId="09B83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3738648">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CA1E8CC">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F584325">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051C6C5">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987233B">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6CF8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F429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F11F8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其他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91C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尚未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E599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总计</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F1468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维持</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DA5A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结果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纠正</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CE88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其他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结果</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7AE4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尚未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审结</w:t>
            </w:r>
          </w:p>
        </w:tc>
        <w:tc>
          <w:tcPr>
            <w:tcW w:w="651"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FF324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eastAsia" w:ascii="宋体" w:hAnsi="宋体" w:eastAsia="宋体" w:cs="宋体"/>
                <w:color w:val="auto"/>
                <w:sz w:val="21"/>
                <w:szCs w:val="21"/>
              </w:rPr>
              <w:t>总计</w:t>
            </w:r>
          </w:p>
        </w:tc>
      </w:tr>
      <w:tr w14:paraId="1BE99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5291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Calibri" w:hAnsi="Calibri" w:eastAsia="宋体" w:cs="Calibri"/>
                <w:color w:val="auto"/>
                <w:sz w:val="21"/>
                <w:szCs w:val="21"/>
                <w:lang w:val="en-US" w:eastAsia="zh-CN"/>
              </w:rPr>
              <w:t>1</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58B5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B780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Calibri" w:hAnsi="Calibri" w:eastAsia="宋体" w:cs="Calibri"/>
                <w:color w:val="auto"/>
                <w:sz w:val="21"/>
                <w:szCs w:val="21"/>
                <w:lang w:val="en-US" w:eastAsia="zh-CN"/>
              </w:rPr>
              <w:t>2</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0E683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Calibri" w:hAnsi="Calibri" w:eastAsia="宋体" w:cs="Calibri"/>
                <w:color w:val="auto"/>
                <w:sz w:val="21"/>
                <w:szCs w:val="21"/>
                <w:lang w:val="en-US" w:eastAsia="zh-CN"/>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DAE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Calibri" w:hAnsi="Calibri" w:cs="Calibri" w:eastAsiaTheme="minorEastAsia"/>
                <w:color w:val="auto"/>
                <w:sz w:val="21"/>
                <w:szCs w:val="21"/>
                <w:lang w:eastAsia="zh-CN"/>
              </w:rPr>
            </w:pPr>
            <w:r>
              <w:rPr>
                <w:rFonts w:hint="eastAsia" w:ascii="Calibri" w:hAnsi="Calibri" w:eastAsia="宋体" w:cs="Calibri"/>
                <w:color w:val="auto"/>
                <w:sz w:val="21"/>
                <w:szCs w:val="21"/>
                <w:lang w:val="en-US" w:eastAsia="zh-CN"/>
              </w:rPr>
              <w:t>3</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9E05A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1B77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E063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11FBF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05330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35B02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C1A47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59B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140F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c>
          <w:tcPr>
            <w:tcW w:w="651"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BB30A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21"/>
                <w:szCs w:val="21"/>
              </w:rPr>
            </w:pPr>
            <w:r>
              <w:rPr>
                <w:rFonts w:hint="default" w:ascii="Calibri" w:hAnsi="Calibri" w:eastAsia="宋体" w:cs="Calibri"/>
                <w:color w:val="auto"/>
                <w:sz w:val="21"/>
                <w:szCs w:val="21"/>
              </w:rPr>
              <w:t>0</w:t>
            </w:r>
          </w:p>
        </w:tc>
      </w:tr>
    </w:tbl>
    <w:p w14:paraId="3A0FB7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宋体" w:eastAsia="黑体" w:cs="黑体"/>
          <w:i w:val="0"/>
          <w:iCs w:val="0"/>
          <w:caps w:val="0"/>
          <w:color w:val="auto"/>
          <w:spacing w:val="0"/>
          <w:sz w:val="32"/>
          <w:szCs w:val="32"/>
          <w:shd w:val="clear" w:fill="FFFFFF"/>
        </w:rPr>
      </w:pPr>
      <w:r>
        <w:rPr>
          <w:rFonts w:hint="eastAsia" w:ascii="黑体" w:hAnsi="宋体" w:eastAsia="黑体" w:cs="黑体"/>
          <w:i w:val="0"/>
          <w:iCs w:val="0"/>
          <w:caps w:val="0"/>
          <w:color w:val="auto"/>
          <w:spacing w:val="0"/>
          <w:sz w:val="32"/>
          <w:szCs w:val="32"/>
          <w:shd w:val="clear" w:fill="FFFFFF"/>
          <w:lang w:val="en-US" w:eastAsia="zh-CN"/>
        </w:rPr>
        <w:t>五、</w:t>
      </w:r>
      <w:r>
        <w:rPr>
          <w:rFonts w:hint="eastAsia" w:ascii="黑体" w:hAnsi="宋体" w:eastAsia="黑体" w:cs="黑体"/>
          <w:i w:val="0"/>
          <w:iCs w:val="0"/>
          <w:caps w:val="0"/>
          <w:color w:val="auto"/>
          <w:spacing w:val="0"/>
          <w:sz w:val="32"/>
          <w:szCs w:val="32"/>
          <w:shd w:val="clear" w:fill="FFFFFF"/>
        </w:rPr>
        <w:t>存在的主要问题及改进情况​</w:t>
      </w:r>
    </w:p>
    <w:p w14:paraId="34CE3B0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74523123">
      <w:pPr>
        <w:pStyle w:val="3"/>
        <w:ind w:firstLine="640" w:firstLineChars="200"/>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我局政府信息公开内容不全面，难以满足公众的具体需求。</w:t>
      </w:r>
    </w:p>
    <w:p w14:paraId="6B1EAB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Times New Roman"/>
          <w:color w:val="auto"/>
          <w:kern w:val="2"/>
          <w:sz w:val="32"/>
          <w:szCs w:val="34"/>
          <w:lang w:val="en-US" w:eastAsia="zh-CN" w:bidi="ar-SA"/>
        </w:rPr>
      </w:pPr>
      <w:r>
        <w:rPr>
          <w:rFonts w:hint="eastAsia" w:ascii="楷体_GB2312" w:hAnsi="楷体_GB2312" w:eastAsia="楷体_GB2312" w:cs="楷体_GB2312"/>
          <w:i w:val="0"/>
          <w:iCs w:val="0"/>
          <w:caps w:val="0"/>
          <w:color w:val="auto"/>
          <w:spacing w:val="0"/>
          <w:sz w:val="32"/>
          <w:szCs w:val="32"/>
          <w:shd w:val="clear" w:fill="FFFFFF"/>
          <w:lang w:val="en-US" w:eastAsia="zh-CN"/>
        </w:rPr>
        <w:t>（二）下一步改进措施</w:t>
      </w:r>
    </w:p>
    <w:p w14:paraId="59FAA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在内容上，加强对重点领域信息的公开力度，如、老旧小区改造、城市基础设施建设等。对这些领域的信息进行详细解读和分析，让群众了解政策的背景、目标、实施情况和效果，提高政策的透明度和公信力；在形式上，丰富公开内容，多形式呈现政府公开信息，增强可读性和吸引力；下一步，我局将定期举办政务公开线下活动，与群众面对面沟通，提高群众得知情意识和参与度。</w:t>
      </w:r>
    </w:p>
    <w:p w14:paraId="7C92EE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rPr>
        <w:t>六、其他需要报告的事项</w:t>
      </w:r>
    </w:p>
    <w:p w14:paraId="69764D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Times New Roman"/>
          <w:color w:val="0000FF"/>
          <w:kern w:val="2"/>
          <w:sz w:val="32"/>
          <w:szCs w:val="34"/>
          <w:lang w:val="en-US" w:eastAsia="zh-CN" w:bidi="ar-SA"/>
        </w:rPr>
      </w:pPr>
      <w:r>
        <w:rPr>
          <w:rFonts w:hint="eastAsia" w:ascii="仿宋_GB2312" w:hAnsi="仿宋_GB2312" w:eastAsia="仿宋_GB2312" w:cs="Times New Roman"/>
          <w:color w:val="auto"/>
          <w:kern w:val="2"/>
          <w:sz w:val="32"/>
          <w:szCs w:val="34"/>
          <w:lang w:val="en-US" w:eastAsia="zh-CN" w:bidi="ar-SA"/>
        </w:rPr>
        <w:t>按照《国务院办公厅关于印发〈政府信息公开信息处理费管理办法〉的通知》（国办函〔2020〕109号）规定的按件、按量收费标准，本年度没有产生信息公开处理费。</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_GB2312">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ZWNkYWUzMTA4NTA0MjE2ZjljMzY0Mjk2NTBlMjAifQ=="/>
  </w:docVars>
  <w:rsids>
    <w:rsidRoot w:val="0C14416E"/>
    <w:rsid w:val="0C14416E"/>
    <w:rsid w:val="11AD6919"/>
    <w:rsid w:val="11FA43A7"/>
    <w:rsid w:val="153449D3"/>
    <w:rsid w:val="1F7C7975"/>
    <w:rsid w:val="1FDC003A"/>
    <w:rsid w:val="22270758"/>
    <w:rsid w:val="2C4E1120"/>
    <w:rsid w:val="2DC455B1"/>
    <w:rsid w:val="2FD83941"/>
    <w:rsid w:val="30483869"/>
    <w:rsid w:val="38AF6058"/>
    <w:rsid w:val="40805976"/>
    <w:rsid w:val="43AF245B"/>
    <w:rsid w:val="4455590D"/>
    <w:rsid w:val="464939DE"/>
    <w:rsid w:val="46A3099B"/>
    <w:rsid w:val="4F563217"/>
    <w:rsid w:val="4F565623"/>
    <w:rsid w:val="51600E2A"/>
    <w:rsid w:val="53811CDF"/>
    <w:rsid w:val="579E7A69"/>
    <w:rsid w:val="5CA575C4"/>
    <w:rsid w:val="5D6C236F"/>
    <w:rsid w:val="5E39314C"/>
    <w:rsid w:val="61E21DAC"/>
    <w:rsid w:val="673D422D"/>
    <w:rsid w:val="678B49FB"/>
    <w:rsid w:val="6DD353CD"/>
    <w:rsid w:val="6DD369BE"/>
    <w:rsid w:val="6DD54C21"/>
    <w:rsid w:val="6EAF47C5"/>
    <w:rsid w:val="6F8779FC"/>
    <w:rsid w:val="70485B31"/>
    <w:rsid w:val="70D22E57"/>
    <w:rsid w:val="764B4A70"/>
    <w:rsid w:val="79CC5A25"/>
    <w:rsid w:val="7CB75007"/>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2214</Words>
  <Characters>2313</Characters>
  <Lines>0</Lines>
  <Paragraphs>0</Paragraphs>
  <TotalTime>60</TotalTime>
  <ScaleCrop>false</ScaleCrop>
  <LinksUpToDate>false</LinksUpToDate>
  <CharactersWithSpaces>2317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2025-01-10T01:02:00Z</dcterms:created>
  <dc:creator>Drug lover</dc:creator>
  <cp:lastModifiedBy>Drug lover</cp:lastModifiedBy>
  <dcterms:modified xsi:type="dcterms:W3CDTF">2025-01-22T08:38:36Z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A59EE8CCE802405DBA9D1EC69530FD43_13</vt:lpwstr>
  </property>
  <property fmtid="{D5CDD505-2E9C-101B-9397-08002B2CF9AE}" pid="4" name="KSOTemplateDocerSaveRecord">
    <vt:lpwstr>eyJoZGlkIjoiMTk3NzAxOGUzY2ZkYmMzOWIzZmM2Y2VkNWJjMjdjODAiLCJ1c2VySWQiOiI2NDEwNjk0OTUifQ==</vt:lpwstr>
  </property>
</Properties>
</file>