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小标宋简体" w:hAnsi="Times New Roman" w:eastAsia="方正小标宋简体" w:cs="Times New Roman"/>
          <w:sz w:val="36"/>
          <w:szCs w:val="36"/>
        </w:rPr>
      </w:pPr>
    </w:p>
    <w:p>
      <w:pPr>
        <w:spacing w:line="560" w:lineRule="exact"/>
        <w:ind w:left="2144" w:hanging="2136" w:hangingChars="600"/>
        <w:rPr>
          <w:rFonts w:ascii="仿宋_GB2312" w:hAnsi="Times New Roman" w:eastAsia="仿宋_GB2312" w:cs="Times New Roman"/>
          <w:b/>
          <w:bCs/>
          <w:sz w:val="36"/>
          <w:szCs w:val="36"/>
        </w:rPr>
      </w:pPr>
      <w:bookmarkStart w:id="0" w:name="_Hlk149474259"/>
      <w:r>
        <w:rPr>
          <w:rFonts w:hint="eastAsia" w:ascii="仿宋_GB2312" w:hAnsi="Times New Roman" w:eastAsia="仿宋_GB2312" w:cs="Times New Roman"/>
          <w:b/>
          <w:bCs/>
          <w:sz w:val="36"/>
          <w:szCs w:val="36"/>
        </w:rPr>
        <w:t>202</w:t>
      </w:r>
      <w:r>
        <w:rPr>
          <w:rFonts w:ascii="仿宋_GB2312" w:hAnsi="Times New Roman" w:eastAsia="仿宋_GB2312" w:cs="Times New Roman"/>
          <w:b/>
          <w:bCs/>
          <w:sz w:val="36"/>
          <w:szCs w:val="36"/>
        </w:rPr>
        <w:t>2</w:t>
      </w:r>
      <w:r>
        <w:rPr>
          <w:rFonts w:hint="eastAsia" w:ascii="仿宋_GB2312" w:hAnsi="Times New Roman" w:eastAsia="仿宋_GB2312" w:cs="Times New Roman"/>
          <w:b/>
          <w:bCs/>
          <w:sz w:val="36"/>
          <w:szCs w:val="36"/>
        </w:rPr>
        <w:t>年度</w:t>
      </w:r>
      <w:bookmarkStart w:id="1" w:name="_Hlk149217647"/>
      <w:bookmarkStart w:id="2" w:name="_Hlk149220963"/>
      <w:r>
        <w:rPr>
          <w:rFonts w:hint="eastAsia" w:ascii="仿宋_GB2312" w:hAnsi="Times New Roman" w:eastAsia="仿宋_GB2312" w:cs="Times New Roman"/>
          <w:b/>
          <w:bCs/>
          <w:sz w:val="36"/>
          <w:szCs w:val="36"/>
        </w:rPr>
        <w:t>蚌埠农业科技园</w:t>
      </w:r>
      <w:bookmarkEnd w:id="1"/>
      <w:r>
        <w:rPr>
          <w:rFonts w:hint="eastAsia" w:ascii="仿宋_GB2312" w:hAnsi="Times New Roman" w:eastAsia="仿宋_GB2312" w:cs="Times New Roman"/>
          <w:b/>
          <w:bCs/>
          <w:sz w:val="36"/>
          <w:szCs w:val="36"/>
        </w:rPr>
        <w:t>管委会</w:t>
      </w:r>
      <w:bookmarkEnd w:id="2"/>
      <w:r>
        <w:rPr>
          <w:rFonts w:hint="eastAsia" w:ascii="仿宋_GB2312" w:hAnsi="Times New Roman" w:eastAsia="仿宋_GB2312" w:cs="Times New Roman"/>
          <w:b/>
          <w:bCs/>
          <w:sz w:val="36"/>
          <w:szCs w:val="36"/>
        </w:rPr>
        <w:t>核心区和石榴基地建设发展资金项目支出绩效评价报告</w:t>
      </w:r>
    </w:p>
    <w:bookmarkEnd w:id="0"/>
    <w:p>
      <w:pPr>
        <w:spacing w:line="560" w:lineRule="exact"/>
        <w:ind w:firstLine="2136" w:firstLineChars="600"/>
        <w:rPr>
          <w:rFonts w:ascii="仿宋_GB2312" w:hAnsi="Times New Roman" w:eastAsia="仿宋_GB2312" w:cs="Times New Roman"/>
          <w:b/>
          <w:bCs/>
          <w:sz w:val="36"/>
          <w:szCs w:val="36"/>
        </w:rPr>
      </w:pPr>
    </w:p>
    <w:p>
      <w:pPr>
        <w:spacing w:line="560" w:lineRule="exact"/>
        <w:ind w:firstLine="712" w:firstLineChars="200"/>
        <w:rPr>
          <w:rFonts w:ascii="方正小标宋简体" w:hAnsi="Times New Roman" w:eastAsia="方正小标宋简体" w:cs="Times New Roman"/>
          <w:sz w:val="36"/>
          <w:szCs w:val="36"/>
        </w:rPr>
      </w:pPr>
    </w:p>
    <w:p>
      <w:pPr>
        <w:pStyle w:val="2"/>
        <w:rPr>
          <w:rFonts w:ascii="方正小标宋简体" w:hAnsi="Times New Roman" w:eastAsia="方正小标宋简体" w:cs="Times New Roman"/>
          <w:sz w:val="36"/>
          <w:szCs w:val="36"/>
        </w:rPr>
      </w:pPr>
    </w:p>
    <w:p>
      <w:pPr>
        <w:pStyle w:val="2"/>
        <w:rPr>
          <w:rFonts w:ascii="方正小标宋简体" w:hAnsi="Times New Roman" w:eastAsia="方正小标宋简体" w:cs="Times New Roman"/>
          <w:sz w:val="36"/>
          <w:szCs w:val="36"/>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1652" w:firstLineChars="7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项目主管部门：蚌埠农业科技园管委会</w:t>
      </w:r>
    </w:p>
    <w:p>
      <w:pPr>
        <w:spacing w:line="560" w:lineRule="exact"/>
        <w:ind w:firstLine="1652" w:firstLineChars="7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项目实施单位：蚌埠农业科技园管委会</w:t>
      </w:r>
    </w:p>
    <w:p>
      <w:pPr>
        <w:spacing w:line="560" w:lineRule="exact"/>
        <w:ind w:firstLine="1652" w:firstLineChars="70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pPr>
        <w:spacing w:line="560" w:lineRule="exact"/>
        <w:ind w:firstLine="1652" w:firstLineChars="70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评价单位：</w:t>
      </w:r>
      <w:bookmarkStart w:id="3" w:name="_Hlk149319824"/>
      <w:r>
        <w:rPr>
          <w:rFonts w:hint="eastAsia" w:ascii="仿宋_GB2312" w:hAnsi="Times New Roman" w:eastAsia="仿宋_GB2312" w:cs="Times New Roman"/>
          <w:sz w:val="24"/>
          <w:szCs w:val="24"/>
        </w:rPr>
        <w:t>安徽宝逸通企业咨询管理有限公司</w:t>
      </w:r>
      <w:bookmarkEnd w:id="3"/>
    </w:p>
    <w:p>
      <w:pPr>
        <w:pStyle w:val="2"/>
        <w:ind w:firstLine="472"/>
        <w:rPr>
          <w:rFonts w:ascii="仿宋_GB2312" w:eastAsia="仿宋_GB2312" w:cs="Times New Roman"/>
          <w:sz w:val="24"/>
          <w:szCs w:val="24"/>
        </w:rPr>
      </w:pPr>
    </w:p>
    <w:p>
      <w:pPr>
        <w:pStyle w:val="2"/>
        <w:ind w:firstLine="472"/>
        <w:rPr>
          <w:rFonts w:ascii="仿宋_GB2312" w:eastAsia="仿宋_GB2312" w:cs="Times New Roman"/>
          <w:sz w:val="24"/>
          <w:szCs w:val="24"/>
        </w:rPr>
      </w:pPr>
    </w:p>
    <w:p>
      <w:pPr>
        <w:pStyle w:val="2"/>
        <w:ind w:firstLine="472"/>
        <w:rPr>
          <w:rFonts w:ascii="仿宋_GB2312" w:eastAsia="仿宋_GB2312" w:cs="Times New Roman"/>
          <w:sz w:val="24"/>
          <w:szCs w:val="24"/>
        </w:rPr>
      </w:pPr>
    </w:p>
    <w:p>
      <w:pPr>
        <w:pStyle w:val="2"/>
        <w:ind w:firstLine="472"/>
        <w:rPr>
          <w:rFonts w:ascii="仿宋_GB2312" w:eastAsia="仿宋_GB2312" w:cs="Times New Roman"/>
          <w:sz w:val="24"/>
          <w:szCs w:val="24"/>
        </w:rPr>
      </w:pPr>
    </w:p>
    <w:p>
      <w:pPr>
        <w:spacing w:line="560" w:lineRule="exact"/>
        <w:ind w:firstLine="3068" w:firstLineChars="1300"/>
        <w:jc w:val="both"/>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3</w:t>
      </w:r>
      <w:r>
        <w:rPr>
          <w:rFonts w:hint="eastAsia" w:ascii="仿宋_GB2312" w:hAnsi="Times New Roman" w:eastAsia="仿宋_GB2312" w:cs="Times New Roman"/>
          <w:b/>
          <w:bCs/>
          <w:sz w:val="24"/>
          <w:szCs w:val="24"/>
        </w:rPr>
        <w:t>年</w:t>
      </w:r>
      <w:r>
        <w:rPr>
          <w:rFonts w:ascii="仿宋_GB2312" w:hAnsi="Times New Roman" w:eastAsia="仿宋_GB2312" w:cs="Times New Roman"/>
          <w:b/>
          <w:bCs/>
          <w:sz w:val="24"/>
          <w:szCs w:val="24"/>
        </w:rPr>
        <w:t>10</w:t>
      </w:r>
      <w:r>
        <w:rPr>
          <w:rFonts w:hint="eastAsia" w:ascii="仿宋_GB2312" w:hAnsi="Times New Roman" w:eastAsia="仿宋_GB2312" w:cs="Times New Roman"/>
          <w:b/>
          <w:bCs/>
          <w:sz w:val="24"/>
          <w:szCs w:val="24"/>
        </w:rPr>
        <w:t>月</w:t>
      </w:r>
    </w:p>
    <w:p>
      <w:pPr>
        <w:spacing w:line="560" w:lineRule="exact"/>
        <w:ind w:firstLine="472" w:firstLineChars="200"/>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pPr>
            <w:pStyle w:val="21"/>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- 9 -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- 17 -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- 21 -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- 24 -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r>
            <w:rPr>
              <w:b/>
            </w:rPr>
            <w:fldChar w:fldCharType="end"/>
          </w:r>
          <w:bookmarkStart w:id="4" w:name="_Toc4018"/>
        </w:p>
      </w:sdtContent>
    </w:sdt>
    <w:p>
      <w:pPr>
        <w:ind w:firstLine="3792" w:firstLineChars="1200"/>
        <w:rPr>
          <w:rFonts w:hint="eastAsia" w:ascii="黑体" w:hAnsi="黑体" w:eastAsia="黑体" w:cs="Times New Roman"/>
          <w:sz w:val="32"/>
          <w:szCs w:val="32"/>
        </w:rPr>
      </w:pPr>
      <w:r>
        <w:rPr>
          <w:rFonts w:hint="eastAsia" w:ascii="黑体" w:hAnsi="黑体" w:eastAsia="黑体" w:cs="Times New Roman"/>
          <w:sz w:val="32"/>
          <w:szCs w:val="32"/>
        </w:rPr>
        <w:t>摘要</w:t>
      </w:r>
    </w:p>
    <w:p>
      <w:pPr>
        <w:spacing w:line="560" w:lineRule="exact"/>
        <w:ind w:firstLine="472" w:firstLineChars="200"/>
        <w:jc w:val="left"/>
        <w:outlineLvl w:val="0"/>
        <w:rPr>
          <w:rFonts w:hint="eastAsia" w:ascii="黑体" w:hAnsi="黑体" w:eastAsia="黑体" w:cs="Times New Roman"/>
          <w:sz w:val="24"/>
          <w:szCs w:val="24"/>
          <w:lang w:val="en-US" w:eastAsia="zh-CN"/>
        </w:rPr>
      </w:pPr>
      <w:r>
        <w:rPr>
          <w:rFonts w:hint="eastAsia" w:ascii="黑体" w:hAnsi="黑体" w:eastAsia="黑体" w:cs="Times New Roman"/>
          <w:sz w:val="24"/>
          <w:szCs w:val="24"/>
        </w:rPr>
        <w:t>一、项目</w:t>
      </w:r>
      <w:bookmarkEnd w:id="4"/>
      <w:r>
        <w:rPr>
          <w:rFonts w:hint="eastAsia" w:ascii="黑体" w:hAnsi="黑体" w:eastAsia="黑体" w:cs="Times New Roman"/>
          <w:sz w:val="24"/>
          <w:szCs w:val="24"/>
          <w:lang w:val="en-US" w:eastAsia="zh-CN"/>
        </w:rPr>
        <w:t>概况</w:t>
      </w:r>
    </w:p>
    <w:p>
      <w:pPr>
        <w:pStyle w:val="4"/>
        <w:spacing w:line="560" w:lineRule="exact"/>
        <w:ind w:firstLine="472" w:firstLineChars="200"/>
        <w:jc w:val="left"/>
        <w:rPr>
          <w:rFonts w:ascii="仿宋_GB2312"/>
          <w:sz w:val="24"/>
        </w:rPr>
      </w:pPr>
      <w:r>
        <w:rPr>
          <w:rFonts w:hint="eastAsia" w:ascii="仿宋_GB2312"/>
          <w:sz w:val="24"/>
        </w:rPr>
        <w:t>蚌埠农业科技园管理委员会实施核心区和石榴基地建设发展资金项目，此项经费用于兑付农民土地流转费用及各项奖补费用。保证园区内各项工作的稳定开展，为示范区的有序运营提供了保障。广泛招商引资，促进怀远石榴产业化经营；</w:t>
      </w:r>
      <w:r>
        <w:rPr>
          <w:rFonts w:ascii="仿宋_GB2312"/>
          <w:sz w:val="24"/>
        </w:rPr>
        <w:t>开发、保护和弘扬我县源远流长的石榴文化</w:t>
      </w:r>
      <w:r>
        <w:rPr>
          <w:rFonts w:hint="eastAsia" w:ascii="仿宋_GB2312"/>
          <w:sz w:val="24"/>
        </w:rPr>
        <w:t>；</w:t>
      </w:r>
      <w:r>
        <w:rPr>
          <w:rFonts w:ascii="仿宋_GB2312"/>
          <w:sz w:val="24"/>
        </w:rPr>
        <w:t>扩展石榴销路，增加果农收入，丰富广大群众、农民的文化生活;拉动石榴节举办带来的消费增长效应。</w:t>
      </w:r>
    </w:p>
    <w:p>
      <w:pPr>
        <w:pStyle w:val="4"/>
        <w:spacing w:line="560" w:lineRule="exact"/>
        <w:ind w:firstLine="472" w:firstLineChars="200"/>
        <w:jc w:val="left"/>
        <w:rPr>
          <w:rFonts w:ascii="仿宋_GB2312"/>
          <w:sz w:val="24"/>
        </w:rPr>
      </w:pPr>
      <w:r>
        <w:rPr>
          <w:rFonts w:hint="eastAsia" w:ascii="仿宋_GB2312"/>
          <w:sz w:val="24"/>
        </w:rPr>
        <w:t>我们从预算资金执行、产出、效益、服务对象满意度四个方面对</w:t>
      </w:r>
      <w:r>
        <w:rPr>
          <w:rFonts w:ascii="仿宋_GB2312"/>
          <w:sz w:val="24"/>
        </w:rPr>
        <w:t xml:space="preserve"> 2022 年度蚌埠农业科技园管理委员会实施核心区和石榴基地建设发展资金项目进行绩效评价。</w:t>
      </w:r>
    </w:p>
    <w:p>
      <w:pPr>
        <w:pStyle w:val="4"/>
        <w:spacing w:after="0" w:line="560" w:lineRule="exact"/>
        <w:ind w:firstLine="472" w:firstLineChars="200"/>
        <w:jc w:val="left"/>
        <w:rPr>
          <w:rFonts w:ascii="仿宋_GB2312"/>
          <w:sz w:val="24"/>
        </w:rPr>
      </w:pPr>
      <w:r>
        <w:rPr>
          <w:rFonts w:hint="eastAsia" w:ascii="仿宋_GB2312"/>
          <w:sz w:val="24"/>
        </w:rPr>
        <w:t>在绩效评价过程中发现，经济效益指标问题主要表现在蚌埠农业科技园管理委员会受疫情影响，外出招商次数比预期下降。建议尽量增加外出招商次数，广泛宣传怀远，达到预期规划。</w:t>
      </w:r>
    </w:p>
    <w:p>
      <w:pPr>
        <w:pStyle w:val="4"/>
        <w:spacing w:after="0" w:line="560" w:lineRule="exact"/>
        <w:ind w:firstLine="472" w:firstLineChars="200"/>
        <w:jc w:val="left"/>
        <w:rPr>
          <w:rFonts w:hint="eastAsia" w:ascii="仿宋_GB2312"/>
          <w:sz w:val="24"/>
        </w:rPr>
      </w:pPr>
    </w:p>
    <w:p>
      <w:pPr>
        <w:spacing w:line="560" w:lineRule="exact"/>
        <w:ind w:firstLine="472" w:firstLineChars="200"/>
        <w:outlineLvl w:val="0"/>
        <w:rPr>
          <w:rFonts w:ascii="黑体" w:hAnsi="黑体" w:eastAsia="黑体" w:cs="Times New Roman"/>
          <w:sz w:val="24"/>
          <w:szCs w:val="24"/>
        </w:rPr>
      </w:pPr>
      <w:bookmarkStart w:id="5" w:name="_Toc11742"/>
      <w:r>
        <w:rPr>
          <w:rFonts w:hint="eastAsia" w:ascii="黑体" w:hAnsi="黑体" w:eastAsia="黑体" w:cs="Times New Roman"/>
          <w:sz w:val="24"/>
          <w:szCs w:val="24"/>
        </w:rPr>
        <w:t>二、项目执行情况</w:t>
      </w:r>
      <w:bookmarkEnd w:id="5"/>
    </w:p>
    <w:p>
      <w:pPr>
        <w:spacing w:line="560" w:lineRule="exact"/>
        <w:ind w:firstLine="472" w:firstLineChars="200"/>
        <w:outlineLvl w:val="1"/>
        <w:rPr>
          <w:rFonts w:ascii="楷体_GB2312" w:hAnsi="Times New Roman" w:eastAsia="楷体_GB2312" w:cs="Times New Roman"/>
          <w:sz w:val="24"/>
          <w:szCs w:val="24"/>
        </w:rPr>
      </w:pPr>
      <w:bookmarkStart w:id="6" w:name="_Toc14687"/>
      <w:r>
        <w:rPr>
          <w:rFonts w:hint="eastAsia" w:ascii="楷体_GB2312" w:hAnsi="Times New Roman" w:eastAsia="楷体_GB2312" w:cs="Times New Roman"/>
          <w:sz w:val="24"/>
          <w:szCs w:val="24"/>
        </w:rPr>
        <w:t>（一）预算执行情况</w:t>
      </w:r>
      <w:bookmarkEnd w:id="6"/>
    </w:p>
    <w:p>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2022 年此项经费用于兑付了农民土地流转费用及各项奖补费用。保证园区内各项工作的稳定开展，为示范区的有序运营提供了保障。核心区和石榴基地建设发展资金项目全年预算数为 1000万元,实际使用数为 1000 万元,完成预算的 100%</w:t>
      </w:r>
      <w:r>
        <w:rPr>
          <w:rFonts w:hint="eastAsia" w:ascii="仿宋_GB2312" w:hAnsi="Times New Roman" w:eastAsia="仿宋_GB2312" w:cs="Times New Roman"/>
          <w:sz w:val="24"/>
          <w:szCs w:val="24"/>
        </w:rPr>
        <w:t>。</w:t>
      </w:r>
    </w:p>
    <w:p>
      <w:pPr>
        <w:numPr>
          <w:ilvl w:val="0"/>
          <w:numId w:val="1"/>
        </w:numPr>
        <w:spacing w:line="560" w:lineRule="exact"/>
        <w:ind w:firstLine="472" w:firstLineChars="200"/>
        <w:outlineLvl w:val="1"/>
        <w:rPr>
          <w:rFonts w:ascii="仿宋_GB2312" w:hAnsi="Times New Roman" w:eastAsia="仿宋_GB2312" w:cs="Times New Roman"/>
          <w:sz w:val="24"/>
          <w:szCs w:val="24"/>
        </w:rPr>
      </w:pPr>
      <w:bookmarkStart w:id="7" w:name="_Toc9155"/>
      <w:r>
        <w:rPr>
          <w:rFonts w:hint="eastAsia" w:ascii="仿宋_GB2312" w:hAnsi="Times New Roman" w:eastAsia="仿宋_GB2312" w:cs="Times New Roman"/>
          <w:sz w:val="24"/>
          <w:szCs w:val="24"/>
        </w:rPr>
        <w:t>效益实现情况</w:t>
      </w:r>
      <w:bookmarkEnd w:id="7"/>
    </w:p>
    <w:p>
      <w:pPr>
        <w:pStyle w:val="24"/>
        <w:spacing w:line="560" w:lineRule="exact"/>
        <w:ind w:firstLine="472"/>
        <w:rPr>
          <w:rFonts w:ascii="仿宋_GB2312" w:hAnsi="Times New Roman" w:eastAsia="仿宋_GB2312" w:cs="Times New Roman"/>
          <w:sz w:val="24"/>
          <w:szCs w:val="24"/>
        </w:rPr>
      </w:pPr>
      <w:r>
        <w:rPr>
          <w:rFonts w:ascii="仿宋_GB2312" w:hAnsi="Times New Roman" w:eastAsia="仿宋_GB2312" w:cs="Times New Roman"/>
          <w:sz w:val="24"/>
          <w:szCs w:val="24"/>
        </w:rPr>
        <w:t>为加快示范区建设，推进现代农业发展步代，大力发展石榴产业，设立每年 3000 万元的石榴产业发展基金，主要用于示范区石榴示范基地建设</w:t>
      </w:r>
      <w:r>
        <w:rPr>
          <w:rFonts w:hint="eastAsia" w:ascii="仿宋_GB2312" w:hAnsi="Times New Roman" w:eastAsia="仿宋_GB2312" w:cs="Times New Roman"/>
          <w:sz w:val="24"/>
          <w:szCs w:val="24"/>
        </w:rPr>
        <w:t>。此经费的使用扩大了我县石榴产业的影响力和知名度，增加怀远与石榴之间的大数据链接频率，提高了怀远知名度，让怀远走向世界，让世界了解怀远。广泛招商引资，促进怀远石榴产业化经营；</w:t>
      </w:r>
      <w:r>
        <w:rPr>
          <w:rFonts w:ascii="仿宋_GB2312" w:hAnsi="Times New Roman" w:eastAsia="仿宋_GB2312" w:cs="Times New Roman"/>
          <w:sz w:val="24"/>
          <w:szCs w:val="24"/>
        </w:rPr>
        <w:t>开发、保护和弘扬我县源远流长的石榴文化</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扩展石榴销路，增加果农收入，丰富广大群众、农民的文化生活;拉动石榴节举办带来的消费增长效应。</w:t>
      </w:r>
    </w:p>
    <w:p>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2022 年度蚌埠农业科技园管理委员会实施核心区和石榴基地建设发展资金项目增加客商投资，促进怀远县经济发</w:t>
      </w:r>
      <w:r>
        <w:rPr>
          <w:rFonts w:hint="eastAsia" w:ascii="仿宋_GB2312" w:hAnsi="Times New Roman" w:eastAsia="仿宋_GB2312" w:cs="Times New Roman"/>
          <w:sz w:val="24"/>
          <w:szCs w:val="24"/>
        </w:rPr>
        <w:t>展，部分达到预期效果；</w:t>
      </w:r>
      <w:r>
        <w:rPr>
          <w:rFonts w:ascii="仿宋_GB2312" w:hAnsi="Times New Roman" w:eastAsia="仿宋_GB2312" w:cs="Times New Roman"/>
          <w:sz w:val="24"/>
          <w:szCs w:val="24"/>
        </w:rPr>
        <w:t>扩大怀远县农业发展的影响力和知名度</w:t>
      </w:r>
      <w:r>
        <w:rPr>
          <w:rFonts w:hint="eastAsia" w:ascii="仿宋_GB2312" w:hAnsi="Times New Roman" w:eastAsia="仿宋_GB2312" w:cs="Times New Roman"/>
          <w:sz w:val="24"/>
          <w:szCs w:val="24"/>
        </w:rPr>
        <w:t>；此项目</w:t>
      </w:r>
      <w:r>
        <w:rPr>
          <w:rFonts w:ascii="仿宋_GB2312" w:hAnsi="Times New Roman" w:eastAsia="仿宋_GB2312" w:cs="Times New Roman"/>
          <w:sz w:val="24"/>
          <w:szCs w:val="24"/>
        </w:rPr>
        <w:t>拉动农业带来的消费增长效应</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outlineLvl w:val="0"/>
        <w:rPr>
          <w:rFonts w:ascii="黑体" w:hAnsi="黑体" w:eastAsia="黑体" w:cs="Times New Roman"/>
          <w:bCs/>
          <w:sz w:val="24"/>
          <w:szCs w:val="24"/>
        </w:rPr>
      </w:pPr>
      <w:bookmarkStart w:id="8" w:name="_Toc16658"/>
      <w:r>
        <w:rPr>
          <w:rFonts w:hint="eastAsia" w:ascii="黑体" w:hAnsi="黑体" w:eastAsia="黑体" w:cs="Times New Roman"/>
          <w:bCs/>
          <w:sz w:val="24"/>
          <w:szCs w:val="24"/>
        </w:rPr>
        <w:t>三、绩效评价工作情况及评价结论</w:t>
      </w:r>
      <w:bookmarkEnd w:id="8"/>
    </w:p>
    <w:p>
      <w:pPr>
        <w:spacing w:line="560" w:lineRule="exact"/>
        <w:ind w:firstLine="472" w:firstLineChars="200"/>
        <w:outlineLvl w:val="1"/>
        <w:rPr>
          <w:rFonts w:ascii="楷体_GB2312" w:hAnsi="Times New Roman" w:eastAsia="楷体_GB2312" w:cs="Times New Roman"/>
          <w:sz w:val="24"/>
          <w:szCs w:val="24"/>
        </w:rPr>
      </w:pPr>
      <w:bookmarkStart w:id="9" w:name="_Toc2595"/>
      <w:r>
        <w:rPr>
          <w:rFonts w:hint="eastAsia" w:ascii="楷体_GB2312" w:hAnsi="Times New Roman" w:eastAsia="楷体_GB2312" w:cs="Times New Roman"/>
          <w:sz w:val="24"/>
          <w:szCs w:val="24"/>
        </w:rPr>
        <w:t>（一）评价范围及目的</w:t>
      </w:r>
      <w:bookmarkEnd w:id="9"/>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w:t>
      </w:r>
      <w:bookmarkStart w:id="10" w:name="_Hlk149166822"/>
      <w:r>
        <w:rPr>
          <w:rFonts w:hint="eastAsia" w:ascii="仿宋_GB2312" w:hAnsi="Times New Roman" w:eastAsia="仿宋_GB2312" w:cs="Times New Roman"/>
          <w:sz w:val="24"/>
          <w:szCs w:val="24"/>
        </w:rPr>
        <w:t>20</w:t>
      </w:r>
      <w:r>
        <w:rPr>
          <w:rFonts w:ascii="仿宋_GB2312" w:hAnsi="Times New Roman" w:eastAsia="仿宋_GB2312" w:cs="Times New Roman"/>
          <w:sz w:val="24"/>
          <w:szCs w:val="24"/>
        </w:rPr>
        <w:t>22</w:t>
      </w:r>
      <w:r>
        <w:rPr>
          <w:rFonts w:hint="eastAsia" w:ascii="仿宋_GB2312" w:hAnsi="Times New Roman" w:eastAsia="仿宋_GB2312" w:cs="Times New Roman"/>
          <w:sz w:val="24"/>
          <w:szCs w:val="24"/>
        </w:rPr>
        <w:t>年科技园1</w:t>
      </w:r>
      <w:r>
        <w:rPr>
          <w:rFonts w:ascii="仿宋_GB2312" w:hAnsi="Times New Roman" w:eastAsia="仿宋_GB2312" w:cs="Times New Roman"/>
          <w:sz w:val="24"/>
          <w:szCs w:val="24"/>
        </w:rPr>
        <w:t>000</w:t>
      </w:r>
      <w:r>
        <w:rPr>
          <w:rFonts w:hint="eastAsia" w:ascii="仿宋_GB2312" w:hAnsi="Times New Roman" w:eastAsia="仿宋_GB2312" w:cs="Times New Roman"/>
          <w:sz w:val="24"/>
          <w:szCs w:val="24"/>
        </w:rPr>
        <w:t>万项目资金</w:t>
      </w:r>
      <w:bookmarkEnd w:id="10"/>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，评价其绩效目标设定情况，资金投入和使用情况，为实现设定的绩效目标所制定的制度、采取的措施等，以及绩效目标最终的实现程度及效果。通过评价，深入了解</w:t>
      </w:r>
      <w:r>
        <w:rPr>
          <w:rFonts w:ascii="仿宋_GB2312" w:hAnsi="Times New Roman" w:eastAsia="仿宋_GB2312" w:cs="Times New Roman"/>
          <w:sz w:val="24"/>
          <w:szCs w:val="24"/>
        </w:rPr>
        <w:t>2022年科技园1000万项目资金</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outlineLvl w:val="1"/>
        <w:rPr>
          <w:rFonts w:ascii="楷体_GB2312" w:hAnsi="Times New Roman" w:eastAsia="楷体_GB2312" w:cs="Times New Roman"/>
          <w:sz w:val="24"/>
          <w:szCs w:val="24"/>
        </w:rPr>
      </w:pPr>
      <w:bookmarkStart w:id="11" w:name="_Toc26786"/>
      <w:r>
        <w:rPr>
          <w:rFonts w:hint="eastAsia" w:ascii="楷体_GB2312" w:hAnsi="Times New Roman" w:eastAsia="楷体_GB2312" w:cs="Times New Roman"/>
          <w:sz w:val="24"/>
          <w:szCs w:val="24"/>
        </w:rPr>
        <w:t>（二）评价指标体系</w:t>
      </w:r>
      <w:bookmarkEnd w:id="1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12分）主要评价项目立项、绩效目标、资金投入情况，重点关注项目绩效目标设定情况、预算编制和资金分配情况。项目过程（28分）资金管理和组织实施情况，其中资金方面重点关注资金支出的合法合规性和绩效自评情况，组织实施重点关注管理制度的健全性和制度执行的有效性的情况。项目产出（24分）主要评价项目在本年度的实际产出数量、产出质量、产出成本等产出完成情况，根据项目申报内容，重点核实产出数量是否达到设定目标、产出质量、产出成本是否符合设定标准。项目效益（36分）主要评价社会效益、经济效益、生态效益、可持续影响及服务对象满意度情况，重点关注项目在社会发展方面发挥的实际作用情况和社会公众等服务对象的满意度情况。</w:t>
      </w:r>
    </w:p>
    <w:p>
      <w:pPr>
        <w:spacing w:line="560" w:lineRule="exact"/>
        <w:ind w:firstLine="472" w:firstLineChars="200"/>
        <w:outlineLvl w:val="1"/>
        <w:rPr>
          <w:rFonts w:ascii="楷体_GB2312" w:hAnsi="Times New Roman" w:eastAsia="楷体_GB2312" w:cs="Times New Roman"/>
          <w:sz w:val="24"/>
          <w:szCs w:val="24"/>
        </w:rPr>
      </w:pPr>
      <w:bookmarkStart w:id="12" w:name="_Toc2560"/>
      <w:r>
        <w:rPr>
          <w:rFonts w:hint="eastAsia" w:ascii="楷体_GB2312" w:hAnsi="Times New Roman" w:eastAsia="楷体_GB2312" w:cs="Times New Roman"/>
          <w:sz w:val="24"/>
          <w:szCs w:val="24"/>
        </w:rPr>
        <w:t>（三）评价方法与实施</w:t>
      </w:r>
      <w:bookmarkEnd w:id="1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pPr>
        <w:spacing w:line="560" w:lineRule="exact"/>
        <w:ind w:firstLine="472" w:firstLineChars="200"/>
        <w:outlineLvl w:val="1"/>
        <w:rPr>
          <w:rFonts w:ascii="楷体_GB2312" w:hAnsi="Times New Roman" w:eastAsia="楷体_GB2312" w:cs="Times New Roman"/>
          <w:sz w:val="24"/>
          <w:szCs w:val="24"/>
        </w:rPr>
      </w:pPr>
      <w:bookmarkStart w:id="13" w:name="_Toc29062"/>
      <w:r>
        <w:rPr>
          <w:rFonts w:hint="eastAsia" w:ascii="楷体_GB2312" w:hAnsi="Times New Roman" w:eastAsia="楷体_GB2312" w:cs="Times New Roman"/>
          <w:sz w:val="24"/>
          <w:szCs w:val="24"/>
        </w:rPr>
        <w:t>（四）评价结论</w:t>
      </w:r>
      <w:bookmarkEnd w:id="13"/>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根据评价指标体系对本项目的绩效进行评价, </w:t>
      </w:r>
      <w:r>
        <w:rPr>
          <w:rFonts w:hint="eastAsia" w:ascii="仿宋_GB2312" w:hAnsi="Times New Roman" w:eastAsia="仿宋_GB2312" w:cs="Times New Roman"/>
          <w:sz w:val="24"/>
          <w:szCs w:val="24"/>
          <w:lang w:val="en-US" w:eastAsia="zh-CN"/>
        </w:rPr>
        <w:t>建设发展资金</w:t>
      </w:r>
      <w:r>
        <w:rPr>
          <w:rFonts w:hint="eastAsia" w:ascii="仿宋_GB2312" w:hAnsi="Times New Roman" w:eastAsia="仿宋_GB2312" w:cs="Times New Roman"/>
          <w:sz w:val="24"/>
          <w:szCs w:val="24"/>
        </w:rPr>
        <w:t>项目综合评价得分</w:t>
      </w:r>
      <w:r>
        <w:rPr>
          <w:rFonts w:ascii="仿宋_GB2312" w:hAnsi="Times New Roman" w:eastAsia="仿宋_GB2312" w:cs="Times New Roman"/>
          <w:sz w:val="24"/>
          <w:szCs w:val="24"/>
        </w:rPr>
        <w:t>89.5</w:t>
      </w:r>
      <w:r>
        <w:rPr>
          <w:rFonts w:hint="eastAsia" w:ascii="仿宋_GB2312" w:hAnsi="Times New Roman" w:eastAsia="仿宋_GB2312" w:cs="Times New Roman"/>
          <w:sz w:val="24"/>
          <w:szCs w:val="24"/>
        </w:rPr>
        <w:t>分，评价等级为“ 良”。</w:t>
      </w:r>
      <w:r>
        <w:rPr>
          <w:rFonts w:ascii="仿宋_GB2312" w:hAnsi="Times New Roman" w:eastAsia="仿宋_GB2312" w:cs="Times New Roman"/>
          <w:sz w:val="24"/>
          <w:szCs w:val="24"/>
        </w:rPr>
        <w:t>2022年科技园1000万项目资金</w:t>
      </w:r>
      <w:r>
        <w:rPr>
          <w:rFonts w:hint="eastAsia" w:ascii="仿宋_GB2312" w:hAnsi="Times New Roman" w:eastAsia="仿宋_GB2312" w:cs="Times New Roman"/>
          <w:sz w:val="24"/>
          <w:szCs w:val="24"/>
        </w:rPr>
        <w:t>基本按照计划完成年度工作任务，实现了年度绩效目标，取得了相对较好的社会、经济和生态效益，服务对象满意度高。但是，项目还存在绩效指标设定不明确、细化程度不高等问题。</w:t>
      </w:r>
    </w:p>
    <w:p>
      <w:pPr>
        <w:spacing w:line="560" w:lineRule="exact"/>
        <w:ind w:firstLine="472" w:firstLineChars="200"/>
        <w:outlineLvl w:val="0"/>
        <w:rPr>
          <w:rFonts w:ascii="黑体" w:hAnsi="黑体" w:eastAsia="黑体" w:cs="Times New Roman"/>
          <w:bCs/>
          <w:sz w:val="24"/>
          <w:szCs w:val="24"/>
        </w:rPr>
      </w:pPr>
      <w:bookmarkStart w:id="14" w:name="_Toc4485"/>
      <w:r>
        <w:rPr>
          <w:rFonts w:hint="eastAsia" w:ascii="黑体" w:hAnsi="黑体" w:eastAsia="黑体" w:cs="Times New Roman"/>
          <w:bCs/>
          <w:sz w:val="24"/>
          <w:szCs w:val="24"/>
        </w:rPr>
        <w:t>四、绩效评价指标完成情况</w:t>
      </w:r>
      <w:bookmarkEnd w:id="14"/>
    </w:p>
    <w:p>
      <w:pPr>
        <w:spacing w:line="560" w:lineRule="exact"/>
        <w:ind w:firstLine="472" w:firstLineChars="200"/>
        <w:outlineLvl w:val="1"/>
        <w:rPr>
          <w:rFonts w:ascii="楷体_GB2312" w:hAnsi="Times New Roman" w:eastAsia="楷体_GB2312" w:cs="Times New Roman"/>
          <w:sz w:val="24"/>
          <w:szCs w:val="24"/>
        </w:rPr>
      </w:pPr>
      <w:bookmarkStart w:id="15" w:name="_Toc16774"/>
      <w:r>
        <w:rPr>
          <w:rFonts w:hint="eastAsia" w:ascii="楷体_GB2312" w:hAnsi="Times New Roman" w:eastAsia="楷体_GB2312" w:cs="Times New Roman"/>
          <w:sz w:val="24"/>
          <w:szCs w:val="24"/>
        </w:rPr>
        <w:t>（一）决策指标分析</w:t>
      </w:r>
      <w:bookmarkEnd w:id="1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该指标分值12分，得分10.5分，得分率87.5</w:t>
      </w:r>
      <w:r>
        <w:rPr>
          <w:rFonts w:ascii="仿宋_GB2312" w:hAnsi="Times New Roman" w:eastAsia="仿宋_GB2312" w:cs="Times New Roman"/>
          <w:sz w:val="24"/>
          <w:szCs w:val="24"/>
        </w:rPr>
        <w:t>0</w:t>
      </w:r>
      <w:r>
        <w:rPr>
          <w:rFonts w:hint="eastAsia" w:ascii="仿宋_GB2312" w:hAnsi="Times New Roman" w:eastAsia="仿宋_GB2312" w:cs="Times New Roman"/>
          <w:sz w:val="24"/>
          <w:szCs w:val="24"/>
        </w:rPr>
        <w:t>%。项目立项依据充分，程序规范。项目绩效目标细化分解为具体的绩效指标，但是细化程度不高，部分绩效指标不够全面、不够明确，分类不够清晰，部分细化的三级指标与二级指标匹配性不高，质量指标量化不明确。</w:t>
      </w:r>
    </w:p>
    <w:p>
      <w:pPr>
        <w:spacing w:line="560" w:lineRule="exact"/>
        <w:ind w:firstLine="472" w:firstLineChars="200"/>
        <w:outlineLvl w:val="1"/>
        <w:rPr>
          <w:rFonts w:ascii="楷体_GB2312" w:hAnsi="Times New Roman" w:eastAsia="楷体_GB2312" w:cs="Times New Roman"/>
          <w:sz w:val="24"/>
          <w:szCs w:val="24"/>
        </w:rPr>
      </w:pPr>
      <w:bookmarkStart w:id="16" w:name="_Toc1661"/>
      <w:r>
        <w:rPr>
          <w:rFonts w:hint="eastAsia" w:ascii="楷体_GB2312" w:hAnsi="Times New Roman" w:eastAsia="楷体_GB2312" w:cs="Times New Roman"/>
          <w:sz w:val="24"/>
          <w:szCs w:val="24"/>
        </w:rPr>
        <w:t>（二）过程指标分析</w:t>
      </w:r>
      <w:bookmarkEnd w:id="16"/>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28分，得分26分，得分率92.85%。项目资金及时足额拨付到位，资金拨付具有完整的审批程序，资金使用合规，项目建立了财务及业务管理制度，相关制度基本得到有效执行。但是绩效自评内容不够完整，数据填写不够规范，自评结论不真实，</w:t>
      </w:r>
      <w:bookmarkStart w:id="17" w:name="_Hlk80221096"/>
      <w:r>
        <w:rPr>
          <w:rFonts w:hint="eastAsia" w:ascii="仿宋_GB2312" w:hAnsi="Times New Roman" w:eastAsia="仿宋_GB2312" w:cs="Times New Roman"/>
          <w:sz w:val="24"/>
          <w:szCs w:val="24"/>
        </w:rPr>
        <w:t>未能真实反映项目执行情况</w:t>
      </w:r>
      <w:bookmarkEnd w:id="17"/>
      <w:r>
        <w:rPr>
          <w:rFonts w:hint="eastAsia" w:ascii="仿宋_GB2312" w:hAnsi="Times New Roman" w:eastAsia="仿宋_GB2312" w:cs="Times New Roman"/>
          <w:sz w:val="24"/>
          <w:szCs w:val="24"/>
        </w:rPr>
        <w:t>。</w:t>
      </w:r>
    </w:p>
    <w:p>
      <w:pPr>
        <w:spacing w:line="560" w:lineRule="exact"/>
        <w:ind w:firstLine="472" w:firstLineChars="200"/>
        <w:outlineLvl w:val="1"/>
        <w:rPr>
          <w:rFonts w:ascii="楷体_GB2312" w:hAnsi="Times New Roman" w:eastAsia="楷体_GB2312" w:cs="Times New Roman"/>
          <w:sz w:val="24"/>
          <w:szCs w:val="24"/>
        </w:rPr>
      </w:pPr>
      <w:bookmarkStart w:id="18" w:name="_Toc27095"/>
      <w:r>
        <w:rPr>
          <w:rFonts w:hint="eastAsia" w:ascii="楷体_GB2312" w:hAnsi="Times New Roman" w:eastAsia="楷体_GB2312" w:cs="Times New Roman"/>
          <w:sz w:val="24"/>
          <w:szCs w:val="24"/>
        </w:rPr>
        <w:t>（三）产出指标分析</w:t>
      </w:r>
      <w:bookmarkEnd w:id="1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该指标分值24分，得分20分，得分率83.33%。各项任务完成及时，预算执行完成率100%，主要扣分原因在于未能完成预期效果。</w:t>
      </w:r>
    </w:p>
    <w:p>
      <w:pPr>
        <w:spacing w:line="560" w:lineRule="exact"/>
        <w:ind w:firstLine="472" w:firstLineChars="200"/>
        <w:outlineLvl w:val="1"/>
        <w:rPr>
          <w:rFonts w:ascii="楷体_GB2312" w:hAnsi="Times New Roman" w:eastAsia="楷体_GB2312" w:cs="Times New Roman"/>
          <w:sz w:val="24"/>
          <w:szCs w:val="24"/>
        </w:rPr>
      </w:pPr>
      <w:bookmarkStart w:id="19" w:name="_Toc21880"/>
      <w:r>
        <w:rPr>
          <w:rFonts w:hint="eastAsia" w:ascii="楷体_GB2312" w:hAnsi="Times New Roman" w:eastAsia="楷体_GB2312" w:cs="Times New Roman"/>
          <w:sz w:val="24"/>
          <w:szCs w:val="24"/>
        </w:rPr>
        <w:t>（四）效益指标分析</w:t>
      </w:r>
      <w:bookmarkEnd w:id="19"/>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该指标分值36分，得分3</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91.67</w:t>
      </w:r>
      <w:r>
        <w:rPr>
          <w:rFonts w:hint="eastAsia" w:ascii="仿宋_GB2312" w:hAnsi="Times New Roman" w:eastAsia="仿宋_GB2312" w:cs="Times New Roman"/>
          <w:sz w:val="24"/>
          <w:szCs w:val="24"/>
        </w:rPr>
        <w:t>%。增强企业对农业项目的投资兴趣及信心，吸引新的投资主体到蚌埠投资或原有企业追加投资，形成滚动式开发区位优势、资源优势功能的发挥，最终转化为农业整体经济效益的提高，提升市民满意度</w:t>
      </w:r>
      <w:bookmarkStart w:id="20" w:name="_Hlk80800402"/>
      <w:r>
        <w:rPr>
          <w:rFonts w:hint="eastAsia" w:ascii="仿宋_GB2312" w:hAnsi="Times New Roman" w:eastAsia="仿宋_GB2312" w:cs="Times New Roman"/>
          <w:sz w:val="24"/>
          <w:szCs w:val="24"/>
        </w:rPr>
        <w:t>。</w:t>
      </w:r>
    </w:p>
    <w:p>
      <w:pPr>
        <w:pStyle w:val="2"/>
        <w:ind w:firstLine="632"/>
        <w:rPr>
          <w:rFonts w:hint="eastAsia"/>
        </w:rPr>
      </w:pPr>
    </w:p>
    <w:p>
      <w:pPr>
        <w:spacing w:line="560" w:lineRule="exact"/>
        <w:ind w:firstLine="472" w:firstLineChars="200"/>
        <w:outlineLvl w:val="0"/>
        <w:rPr>
          <w:rFonts w:ascii="黑体" w:hAnsi="黑体" w:eastAsia="黑体" w:cs="Times New Roman"/>
          <w:bCs/>
          <w:sz w:val="24"/>
          <w:szCs w:val="24"/>
        </w:rPr>
      </w:pPr>
      <w:bookmarkStart w:id="21" w:name="_Toc3128"/>
      <w:r>
        <w:rPr>
          <w:rFonts w:hint="eastAsia" w:ascii="黑体" w:hAnsi="黑体" w:eastAsia="黑体" w:cs="Times New Roman"/>
          <w:bCs/>
          <w:sz w:val="24"/>
          <w:szCs w:val="24"/>
        </w:rPr>
        <w:t>五、主要经验及做法</w:t>
      </w:r>
      <w:bookmarkEnd w:id="2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w:t>
      </w:r>
      <w:r>
        <w:rPr>
          <w:rFonts w:ascii="仿宋_GB2312" w:hAnsi="Times New Roman" w:eastAsia="仿宋_GB2312" w:cs="Times New Roman"/>
          <w:sz w:val="24"/>
          <w:szCs w:val="24"/>
        </w:rPr>
        <w:t>加强组织领导。要加强对项目工作的全面领导，便于及时发现项目运行过程中出现的问题并加以改进。严格按照项目管理制度及财务管理制度实施，加强项目管理和监督，确保项目实施规范</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w:t>
      </w:r>
      <w:r>
        <w:rPr>
          <w:rFonts w:ascii="仿宋_GB2312" w:hAnsi="Times New Roman" w:eastAsia="仿宋_GB2312" w:cs="Times New Roman"/>
          <w:sz w:val="24"/>
          <w:szCs w:val="24"/>
        </w:rPr>
        <w:t>专款专用。严格按项目规范要求，做到专款专用，确保项目工作顺利开展。项目内所有支出都由报账员把关，再</w:t>
      </w:r>
      <w:r>
        <w:rPr>
          <w:rFonts w:hint="eastAsia" w:ascii="仿宋_GB2312" w:hAnsi="Times New Roman" w:eastAsia="仿宋_GB2312" w:cs="Times New Roman"/>
          <w:sz w:val="24"/>
          <w:szCs w:val="24"/>
        </w:rPr>
        <w:t>经分管领导审核，最后由主要领导复审。</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w:t>
      </w:r>
      <w:r>
        <w:rPr>
          <w:rFonts w:ascii="仿宋_GB2312" w:hAnsi="Times New Roman" w:eastAsia="仿宋_GB2312" w:cs="Times New Roman"/>
          <w:sz w:val="24"/>
          <w:szCs w:val="24"/>
        </w:rPr>
        <w:t>加强监督。对日常工作加强规范和监督，防止在项目执行过程中出现偏差。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（四）坚持补缺补差，</w:t>
      </w:r>
      <w:r>
        <w:rPr>
          <w:rFonts w:ascii="仿宋_GB2312" w:hAnsi="Times New Roman" w:eastAsia="仿宋_GB2312" w:cs="Times New Roman"/>
          <w:sz w:val="24"/>
          <w:szCs w:val="24"/>
        </w:rPr>
        <w:t>不断加强学习与交流。</w:t>
      </w:r>
    </w:p>
    <w:p>
      <w:pPr>
        <w:pStyle w:val="2"/>
        <w:ind w:firstLine="632"/>
        <w:rPr>
          <w:rFonts w:hint="eastAsia"/>
        </w:rPr>
      </w:pPr>
    </w:p>
    <w:p>
      <w:pPr>
        <w:spacing w:line="560" w:lineRule="exact"/>
        <w:ind w:firstLine="472" w:firstLineChars="200"/>
        <w:outlineLvl w:val="0"/>
        <w:rPr>
          <w:rFonts w:ascii="黑体" w:hAnsi="黑体" w:eastAsia="黑体" w:cs="Times New Roman"/>
          <w:bCs/>
          <w:sz w:val="24"/>
          <w:szCs w:val="24"/>
        </w:rPr>
      </w:pPr>
      <w:bookmarkStart w:id="22" w:name="_Toc2815"/>
      <w:r>
        <w:rPr>
          <w:rFonts w:hint="eastAsia" w:ascii="黑体" w:hAnsi="黑体" w:eastAsia="黑体" w:cs="Times New Roman"/>
          <w:bCs/>
          <w:sz w:val="24"/>
          <w:szCs w:val="24"/>
        </w:rPr>
        <w:t>六、存在问题及原因分析</w:t>
      </w:r>
      <w:bookmarkEnd w:id="22"/>
    </w:p>
    <w:p>
      <w:pPr>
        <w:spacing w:line="560" w:lineRule="exact"/>
        <w:ind w:firstLine="472" w:firstLineChars="200"/>
        <w:rPr>
          <w:rFonts w:ascii="仿宋_GB2312" w:hAnsi="Times New Roman" w:eastAsia="仿宋_GB2312" w:cs="Times New Roman"/>
          <w:sz w:val="24"/>
          <w:szCs w:val="24"/>
        </w:rPr>
      </w:pPr>
      <w:bookmarkStart w:id="23" w:name="_Hlk149255314"/>
      <w:r>
        <w:rPr>
          <w:rFonts w:hint="eastAsia" w:ascii="仿宋_GB2312" w:hAnsi="Times New Roman" w:eastAsia="仿宋_GB2312" w:cs="Times New Roman"/>
          <w:sz w:val="24"/>
          <w:szCs w:val="24"/>
        </w:rPr>
        <w:t>（一）绩效自评数据分析较为简单，其他指标设置明确性不强，自评结论未能完全准确反映项目实际完成情况。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（二）受疫情影响，招商产出数量指标对比预期，在项目预期外出招商次数方面有所下降。</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w:t>
      </w:r>
      <w:r>
        <w:rPr>
          <w:rFonts w:hint="eastAsia" w:ascii="仿宋_GB2312" w:hAnsi="Times New Roman" w:eastAsia="仿宋_GB2312" w:cs="Times New Roman"/>
          <w:sz w:val="24"/>
          <w:szCs w:val="24"/>
          <w:lang w:val="en-US" w:eastAsia="zh-CN"/>
        </w:rPr>
        <w:t>宣传力度不够，要加强宣传管委会核心区和石榴基本建设的重要意义</w:t>
      </w:r>
      <w:r>
        <w:rPr>
          <w:rFonts w:hint="eastAsia" w:ascii="仿宋_GB2312" w:hAnsi="Times New Roman" w:eastAsia="仿宋_GB2312" w:cs="Times New Roman"/>
          <w:sz w:val="24"/>
          <w:szCs w:val="24"/>
        </w:rPr>
        <w:t>。</w:t>
      </w:r>
    </w:p>
    <w:p>
      <w:pPr>
        <w:pStyle w:val="2"/>
        <w:ind w:firstLine="632"/>
        <w:rPr>
          <w:rFonts w:hint="eastAsia"/>
        </w:rPr>
      </w:pPr>
    </w:p>
    <w:bookmarkEnd w:id="23"/>
    <w:p>
      <w:pPr>
        <w:spacing w:line="560" w:lineRule="exact"/>
        <w:ind w:firstLine="472" w:firstLineChars="200"/>
        <w:outlineLvl w:val="0"/>
        <w:rPr>
          <w:rFonts w:ascii="黑体" w:hAnsi="黑体" w:eastAsia="黑体" w:cs="Times New Roman"/>
          <w:bCs/>
          <w:sz w:val="24"/>
          <w:szCs w:val="24"/>
        </w:rPr>
      </w:pPr>
      <w:bookmarkStart w:id="24" w:name="_Toc13766"/>
      <w:r>
        <w:rPr>
          <w:rFonts w:hint="eastAsia" w:ascii="黑体" w:hAnsi="黑体" w:eastAsia="黑体" w:cs="Times New Roman"/>
          <w:bCs/>
          <w:sz w:val="24"/>
          <w:szCs w:val="24"/>
        </w:rPr>
        <w:t>七、有关建议</w:t>
      </w:r>
      <w:bookmarkEnd w:id="24"/>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（一）明确绩效自评思路</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进一步完善绩效评价工作程序，规范绩效目标及绩效自评设定，提高绩效自评工作的科学性、合理性、真实性</w:t>
      </w:r>
      <w:r>
        <w:rPr>
          <w:rFonts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（二）持续加大招商力度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多措并举加大招商宣传力度。充分利用怀远石榴名片、自媒体网络宣传，最大限度调动市民群众的积极性和参与率。高质量发展为主线，不断优化产品结构，以科技创新为引领，持续增强市场竞争力、美誉度。石榴产业健康良性发展，以塑造公共品牌为重点，依托石榴文化打出区域品牌的王牌。</w:t>
      </w:r>
    </w:p>
    <w:p>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(三）立足于蚌埠市农业产业的基础和优势条件</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立足于蚌埠市农业产业的基础和优势条件，针对现代农业发展的特点、基础和要求，按照区域化布局、专业化生产、产业化经营、企业化管理的要求，巩固提高传统特色产业，积极发展优质粮食、果蔬、生态旅游等主导产业，把技术先进、特色突出、规模较大、效益较高的产业放在首要位置；督促组织各单位、乡镇两两互查，互相借鉴，补足短板。</w:t>
      </w:r>
    </w:p>
    <w:bookmarkEnd w:id="20"/>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hint="eastAsia"/>
        </w:rPr>
      </w:pPr>
    </w:p>
    <w:p>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25" w:name="_Toc26016"/>
      <w:r>
        <w:rPr>
          <w:rFonts w:ascii="方正小标宋简体" w:hAnsi="华文宋体" w:eastAsia="方正小标宋简体" w:cs="Times New Roman"/>
          <w:b/>
          <w:bCs/>
          <w:sz w:val="36"/>
          <w:szCs w:val="36"/>
        </w:rPr>
        <w:t>2022年度蚌埠农业科技园管委会核心区和石榴基地建设发展资金项目支出绩效评价报告</w:t>
      </w:r>
      <w:bookmarkEnd w:id="25"/>
    </w:p>
    <w:p>
      <w:pPr>
        <w:spacing w:line="560" w:lineRule="exact"/>
        <w:ind w:firstLine="472" w:firstLineChars="200"/>
        <w:outlineLvl w:val="0"/>
        <w:rPr>
          <w:rFonts w:ascii="黑体" w:hAnsi="黑体" w:eastAsia="黑体" w:cs="Times New Roman"/>
          <w:b/>
          <w:bCs/>
          <w:sz w:val="24"/>
          <w:szCs w:val="24"/>
        </w:rPr>
      </w:pPr>
      <w:bookmarkStart w:id="26" w:name="_Toc27814"/>
      <w:r>
        <w:rPr>
          <w:rFonts w:hint="eastAsia" w:ascii="黑体" w:hAnsi="黑体" w:eastAsia="黑体" w:cs="Times New Roman"/>
          <w:b/>
          <w:bCs/>
          <w:sz w:val="24"/>
          <w:szCs w:val="24"/>
        </w:rPr>
        <w:t>一、项目基本情况</w:t>
      </w:r>
      <w:bookmarkEnd w:id="26"/>
    </w:p>
    <w:p>
      <w:pPr>
        <w:spacing w:line="560" w:lineRule="exact"/>
        <w:ind w:firstLine="472" w:firstLineChars="200"/>
        <w:outlineLvl w:val="1"/>
        <w:rPr>
          <w:rFonts w:ascii="楷体_GB2312" w:hAnsi="Times New Roman" w:eastAsia="楷体_GB2312" w:cs="Times New Roman"/>
          <w:sz w:val="24"/>
          <w:szCs w:val="24"/>
        </w:rPr>
      </w:pPr>
      <w:bookmarkStart w:id="27" w:name="_Toc3481"/>
      <w:r>
        <w:rPr>
          <w:rFonts w:hint="eastAsia" w:ascii="楷体_GB2312" w:hAnsi="Times New Roman" w:eastAsia="楷体_GB2312" w:cs="Times New Roman"/>
          <w:sz w:val="24"/>
          <w:szCs w:val="24"/>
        </w:rPr>
        <w:t>（一）项目概况</w:t>
      </w:r>
      <w:bookmarkEnd w:id="27"/>
    </w:p>
    <w:p>
      <w:pPr>
        <w:spacing w:line="560" w:lineRule="exact"/>
        <w:ind w:firstLine="708"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pPr>
        <w:spacing w:line="560" w:lineRule="exact"/>
        <w:ind w:left="237" w:leftChars="75" w:firstLine="472" w:firstLineChars="200"/>
        <w:rPr>
          <w:rFonts w:ascii="仿宋_GB2312" w:hAnsi="Times New Roman" w:eastAsia="仿宋_GB2312" w:cs="Times New Roman"/>
          <w:sz w:val="24"/>
          <w:szCs w:val="24"/>
        </w:rPr>
      </w:pPr>
      <w:bookmarkStart w:id="28" w:name="_Hlk80109772"/>
      <w:r>
        <w:rPr>
          <w:rFonts w:hint="eastAsia" w:ascii="仿宋_GB2312" w:hAnsi="Times New Roman" w:eastAsia="仿宋_GB2312" w:cs="Times New Roman"/>
          <w:sz w:val="24"/>
          <w:szCs w:val="24"/>
        </w:rPr>
        <w:t>国家农业科技园区建设工作是党中央、国务院提出的一项重要任务，于</w:t>
      </w:r>
      <w:r>
        <w:rPr>
          <w:rFonts w:ascii="仿宋_GB2312" w:hAnsi="Times New Roman" w:eastAsia="仿宋_GB2312" w:cs="Times New Roman"/>
          <w:sz w:val="24"/>
          <w:szCs w:val="24"/>
        </w:rPr>
        <w:t>2001年由科技部等部门联合实施。2020年6月，根据《国家</w:t>
      </w:r>
      <w:r>
        <w:rPr>
          <w:rFonts w:hint="eastAsia" w:ascii="仿宋_GB2312" w:hAnsi="Times New Roman" w:eastAsia="仿宋_GB2312" w:cs="Times New Roman"/>
          <w:sz w:val="24"/>
          <w:szCs w:val="24"/>
        </w:rPr>
        <w:t>创新驱动发展战略纲要》及实施创新驱动发展战略、乡村振兴战略、区域协调发展战略等要求，科技部、农业农村部等六部委共同制定了《国家农业科技园区管理办法》，旨在进一步加强国家农业科技园区的建设与规范化管理，深入推进农业供给侧结构性改革，加快培育农业农村发展新动能，推进农业农村现代化。</w:t>
      </w:r>
    </w:p>
    <w:p>
      <w:pPr>
        <w:spacing w:line="560" w:lineRule="exact"/>
        <w:ind w:left="237" w:leftChars="75"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园区建设按照以企业为主体、市场为导向、政府搭平台的现代农业建设创新模式，坚持“政府引导、企业运作、社会参与、农民受益”的原则，使其成为我国现代农业科技创新转化示范基地、农村科技特派员创业基地、现代农业新兴产业孵化基地。</w:t>
      </w:r>
    </w:p>
    <w:p>
      <w:pPr>
        <w:spacing w:line="560" w:lineRule="exact"/>
        <w:ind w:left="237" w:leftChars="75"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蚌埠国家农业科技园区于</w:t>
      </w:r>
      <w:r>
        <w:rPr>
          <w:rFonts w:ascii="仿宋_GB2312" w:hAnsi="Times New Roman" w:eastAsia="仿宋_GB2312" w:cs="Times New Roman"/>
          <w:sz w:val="24"/>
          <w:szCs w:val="24"/>
        </w:rPr>
        <w:t>2013年批准，2017年验收通过。经过几年的建设与发展，核心区（龙</w:t>
      </w:r>
      <w:r>
        <w:rPr>
          <w:rFonts w:hint="eastAsia" w:ascii="仿宋_GB2312" w:hAnsi="Times New Roman" w:eastAsia="仿宋_GB2312" w:cs="Times New Roman"/>
          <w:sz w:val="24"/>
          <w:szCs w:val="24"/>
        </w:rPr>
        <w:t>亢农场）建设内容基本完成。因蚌埠国家农业科技园区规划已到规划末期，同时为进一步加快融入国家农业科技协同创新体系，打造具有皖北地域特色和产业特点的国家农业科技园区新范式，进一步提高蚌埠市农业科技发展水平，推动皖北地区农业产业结构升级，特进行规划修编，即制定了本规划。</w:t>
      </w:r>
    </w:p>
    <w:p>
      <w:pPr>
        <w:spacing w:line="560" w:lineRule="exact"/>
        <w:ind w:left="237" w:leftChars="75"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蚌埠地处全国粮食主产区，是国家重要的商品粮生产基地，全国农产品现代流通综合试点城市是“长三角”地区重要的优质农产品生产、加工、供应基地，建设国家级农业科技园区具备基础的产业优势。因横跨南北地理分界线蚌埠国家农业科技园</w:t>
      </w:r>
      <w:r>
        <w:rPr>
          <w:rFonts w:hint="eastAsia" w:ascii="仿宋_GB2312" w:hAnsi="Times New Roman" w:eastAsia="仿宋_GB2312" w:cs="Times New Roman"/>
          <w:sz w:val="24"/>
          <w:szCs w:val="24"/>
          <w:lang w:val="en-US" w:eastAsia="zh-CN"/>
        </w:rPr>
        <w:t xml:space="preserve"> </w:t>
      </w:r>
      <w:r>
        <w:rPr>
          <w:rFonts w:hint="eastAsia" w:ascii="仿宋_GB2312" w:hAnsi="Times New Roman" w:eastAsia="仿宋_GB2312" w:cs="Times New Roman"/>
          <w:sz w:val="24"/>
          <w:szCs w:val="24"/>
        </w:rPr>
        <w:t>区的建设利于南北农业生产模式的融合以及减灾增产技术研发与示范，在淮河流域具有很强的典型性和代表性。按照国家科技部制定的《国家农业科技园区管理办法》，规划建设以龙亢农场、淮西现代农业产业园双核驱动的蚌埠国家农业科技园区，对于引领院北地区乃至整个准河流域调整农业结构、带动农民增收、促进农村发展，实现乡村振兴都具有重要的战略意义。</w:t>
      </w:r>
    </w:p>
    <w:p>
      <w:pPr>
        <w:spacing w:line="560" w:lineRule="exact"/>
        <w:ind w:firstLine="708"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（1）项目主要内容</w:t>
      </w:r>
    </w:p>
    <w:bookmarkEnd w:id="28"/>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从农业产业发展资金</w:t>
      </w:r>
      <w:r>
        <w:rPr>
          <w:rFonts w:ascii="仿宋_GB2312" w:hAnsi="Times New Roman" w:eastAsia="仿宋_GB2312" w:cs="Times New Roman"/>
          <w:sz w:val="24"/>
          <w:szCs w:val="24"/>
        </w:rPr>
        <w:t>(石榴、糯稻等)中拨付 1000 万元至农业科技园管委会，优先用于土地流转，其次政策兑现，不足部分由管委会通过引入社会资本等方式解决。</w:t>
      </w:r>
    </w:p>
    <w:p>
      <w:pPr>
        <w:spacing w:line="560" w:lineRule="exact"/>
        <w:ind w:firstLine="472" w:firstLineChars="200"/>
        <w:rPr>
          <w:rFonts w:ascii="仿宋_GB2312" w:hAnsi="Times New Roman" w:eastAsia="仿宋_GB2312" w:cs="Times New Roman"/>
          <w:sz w:val="24"/>
          <w:szCs w:val="24"/>
        </w:rPr>
      </w:pPr>
    </w:p>
    <w:tbl>
      <w:tblPr>
        <w:tblStyle w:val="12"/>
        <w:tblW w:w="8878" w:type="dxa"/>
        <w:tblInd w:w="93" w:type="dxa"/>
        <w:tblLayout w:type="autofit"/>
        <w:tblCellMar>
          <w:top w:w="0" w:type="dxa"/>
          <w:left w:w="108" w:type="dxa"/>
          <w:bottom w:w="0" w:type="dxa"/>
          <w:right w:w="108" w:type="dxa"/>
        </w:tblCellMar>
      </w:tblPr>
      <w:tblGrid>
        <w:gridCol w:w="1723"/>
        <w:gridCol w:w="5600"/>
        <w:gridCol w:w="1555"/>
      </w:tblGrid>
      <w:tr>
        <w:tblPrEx>
          <w:tblCellMar>
            <w:top w:w="0" w:type="dxa"/>
            <w:left w:w="108" w:type="dxa"/>
            <w:bottom w:w="0" w:type="dxa"/>
            <w:right w:w="108" w:type="dxa"/>
          </w:tblCellMar>
        </w:tblPrEx>
        <w:trPr>
          <w:trHeight w:val="405" w:hRule="atLeast"/>
        </w:trPr>
        <w:tc>
          <w:tcPr>
            <w:tcW w:w="1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序号</w:t>
            </w:r>
          </w:p>
        </w:tc>
        <w:tc>
          <w:tcPr>
            <w:tcW w:w="5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资金用途</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金额</w:t>
            </w:r>
          </w:p>
        </w:tc>
      </w:tr>
      <w:tr>
        <w:tblPrEx>
          <w:tblCellMar>
            <w:top w:w="0" w:type="dxa"/>
            <w:left w:w="108" w:type="dxa"/>
            <w:bottom w:w="0" w:type="dxa"/>
            <w:right w:w="108" w:type="dxa"/>
          </w:tblCellMar>
        </w:tblPrEx>
        <w:trPr>
          <w:trHeight w:val="119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r>
              <w:rPr>
                <w:rFonts w:ascii="宋体" w:hAnsi="宋体" w:eastAsia="宋体" w:cs="宋体"/>
                <w:color w:val="000000"/>
                <w:kern w:val="0"/>
                <w:sz w:val="20"/>
                <w:szCs w:val="20"/>
              </w:rPr>
              <w:t>022</w:t>
            </w:r>
            <w:r>
              <w:rPr>
                <w:rFonts w:hint="eastAsia" w:ascii="宋体" w:hAnsi="宋体" w:eastAsia="宋体" w:cs="宋体"/>
                <w:color w:val="000000"/>
                <w:kern w:val="0"/>
                <w:sz w:val="20"/>
                <w:szCs w:val="20"/>
              </w:rPr>
              <w:t>年1</w:t>
            </w:r>
            <w:r>
              <w:rPr>
                <w:rFonts w:ascii="宋体" w:hAnsi="宋体" w:eastAsia="宋体" w:cs="宋体"/>
                <w:color w:val="000000"/>
                <w:kern w:val="0"/>
                <w:sz w:val="20"/>
                <w:szCs w:val="20"/>
              </w:rPr>
              <w:t>2</w:t>
            </w:r>
            <w:r>
              <w:rPr>
                <w:rFonts w:hint="eastAsia" w:ascii="宋体" w:hAnsi="宋体" w:eastAsia="宋体" w:cs="宋体"/>
                <w:color w:val="000000"/>
                <w:kern w:val="0"/>
                <w:sz w:val="20"/>
                <w:szCs w:val="20"/>
              </w:rPr>
              <w:t>月1</w:t>
            </w:r>
            <w:r>
              <w:rPr>
                <w:rFonts w:ascii="宋体" w:hAnsi="宋体" w:eastAsia="宋体" w:cs="宋体"/>
                <w:color w:val="000000"/>
                <w:kern w:val="0"/>
                <w:sz w:val="20"/>
                <w:szCs w:val="20"/>
              </w:rPr>
              <w:t>6</w:t>
            </w:r>
            <w:r>
              <w:rPr>
                <w:rFonts w:hint="eastAsia" w:ascii="宋体" w:hAnsi="宋体" w:eastAsia="宋体" w:cs="宋体"/>
                <w:color w:val="000000"/>
                <w:kern w:val="0"/>
                <w:sz w:val="20"/>
                <w:szCs w:val="20"/>
              </w:rPr>
              <w:t>日支付</w:t>
            </w:r>
            <w:r>
              <w:rPr>
                <w:rFonts w:ascii="宋体" w:hAnsi="宋体" w:eastAsia="宋体" w:cs="宋体"/>
                <w:color w:val="000000"/>
                <w:kern w:val="0"/>
                <w:sz w:val="20"/>
                <w:szCs w:val="20"/>
              </w:rPr>
              <w:t>2023年张坪村、袁庄村、尤村村土地2023年土地流转经费</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rPr>
              <w:t>4</w:t>
            </w:r>
            <w:r>
              <w:rPr>
                <w:rFonts w:hint="eastAsia" w:ascii="宋体" w:hAnsi="宋体" w:eastAsia="宋体" w:cs="宋体"/>
                <w:color w:val="000000"/>
                <w:kern w:val="0"/>
                <w:sz w:val="20"/>
                <w:szCs w:val="20"/>
              </w:rPr>
              <w:t>5</w:t>
            </w:r>
            <w:r>
              <w:rPr>
                <w:rFonts w:ascii="宋体" w:hAnsi="宋体" w:eastAsia="宋体" w:cs="宋体"/>
                <w:color w:val="000000"/>
                <w:kern w:val="0"/>
                <w:sz w:val="20"/>
                <w:szCs w:val="20"/>
              </w:rPr>
              <w:t>0</w:t>
            </w:r>
            <w:r>
              <w:rPr>
                <w:rFonts w:hint="eastAsia" w:ascii="宋体" w:hAnsi="宋体" w:eastAsia="宋体" w:cs="宋体"/>
                <w:color w:val="000000"/>
                <w:kern w:val="0"/>
                <w:sz w:val="20"/>
                <w:szCs w:val="20"/>
              </w:rPr>
              <w:t>万元</w:t>
            </w:r>
          </w:p>
        </w:tc>
      </w:tr>
      <w:tr>
        <w:tblPrEx>
          <w:tblCellMar>
            <w:top w:w="0" w:type="dxa"/>
            <w:left w:w="108" w:type="dxa"/>
            <w:bottom w:w="0" w:type="dxa"/>
            <w:right w:w="108" w:type="dxa"/>
          </w:tblCellMar>
        </w:tblPrEx>
        <w:trPr>
          <w:trHeight w:val="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r>
              <w:rPr>
                <w:rFonts w:ascii="宋体" w:hAnsi="宋体" w:eastAsia="宋体" w:cs="宋体"/>
                <w:color w:val="000000"/>
                <w:kern w:val="0"/>
                <w:sz w:val="20"/>
                <w:szCs w:val="20"/>
              </w:rPr>
              <w:t>022</w:t>
            </w:r>
            <w:r>
              <w:rPr>
                <w:rFonts w:hint="eastAsia" w:ascii="宋体" w:hAnsi="宋体" w:eastAsia="宋体" w:cs="宋体"/>
                <w:color w:val="000000"/>
                <w:kern w:val="0"/>
                <w:sz w:val="20"/>
                <w:szCs w:val="20"/>
              </w:rPr>
              <w:t>年1</w:t>
            </w:r>
            <w:r>
              <w:rPr>
                <w:rFonts w:ascii="宋体" w:hAnsi="宋体" w:eastAsia="宋体" w:cs="宋体"/>
                <w:color w:val="000000"/>
                <w:kern w:val="0"/>
                <w:sz w:val="20"/>
                <w:szCs w:val="20"/>
              </w:rPr>
              <w:t>2</w:t>
            </w:r>
            <w:r>
              <w:rPr>
                <w:rFonts w:hint="eastAsia" w:ascii="宋体" w:hAnsi="宋体" w:eastAsia="宋体" w:cs="宋体"/>
                <w:color w:val="000000"/>
                <w:kern w:val="0"/>
                <w:sz w:val="20"/>
                <w:szCs w:val="20"/>
              </w:rPr>
              <w:t>月1</w:t>
            </w:r>
            <w:r>
              <w:rPr>
                <w:rFonts w:ascii="宋体" w:hAnsi="宋体" w:eastAsia="宋体" w:cs="宋体"/>
                <w:color w:val="000000"/>
                <w:kern w:val="0"/>
                <w:sz w:val="20"/>
                <w:szCs w:val="20"/>
              </w:rPr>
              <w:t>9</w:t>
            </w:r>
            <w:r>
              <w:rPr>
                <w:rFonts w:hint="eastAsia" w:ascii="宋体" w:hAnsi="宋体" w:eastAsia="宋体" w:cs="宋体"/>
                <w:color w:val="000000"/>
                <w:kern w:val="0"/>
                <w:sz w:val="20"/>
                <w:szCs w:val="20"/>
              </w:rPr>
              <w:t>日支付</w:t>
            </w:r>
            <w:r>
              <w:rPr>
                <w:rFonts w:ascii="宋体" w:hAnsi="宋体" w:eastAsia="宋体" w:cs="宋体"/>
                <w:color w:val="000000"/>
                <w:kern w:val="0"/>
                <w:sz w:val="20"/>
                <w:szCs w:val="20"/>
              </w:rPr>
              <w:t>2023年张坪村、袁庄村、尤村村土地2023年土地流转经费</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rPr>
              <w:t>4</w:t>
            </w:r>
            <w:r>
              <w:rPr>
                <w:rFonts w:hint="eastAsia" w:ascii="宋体" w:hAnsi="宋体" w:eastAsia="宋体" w:cs="宋体"/>
                <w:color w:val="000000"/>
                <w:kern w:val="0"/>
                <w:sz w:val="20"/>
                <w:szCs w:val="20"/>
              </w:rPr>
              <w:t>5</w:t>
            </w:r>
            <w:r>
              <w:rPr>
                <w:rFonts w:ascii="宋体" w:hAnsi="宋体" w:eastAsia="宋体" w:cs="宋体"/>
                <w:color w:val="000000"/>
                <w:kern w:val="0"/>
                <w:sz w:val="20"/>
                <w:szCs w:val="20"/>
              </w:rPr>
              <w:t>0</w:t>
            </w:r>
            <w:r>
              <w:rPr>
                <w:rFonts w:hint="eastAsia" w:ascii="宋体" w:hAnsi="宋体" w:eastAsia="宋体" w:cs="宋体"/>
                <w:color w:val="000000"/>
                <w:kern w:val="0"/>
                <w:sz w:val="20"/>
                <w:szCs w:val="20"/>
              </w:rPr>
              <w:t>万元</w:t>
            </w:r>
          </w:p>
        </w:tc>
      </w:tr>
      <w:tr>
        <w:tblPrEx>
          <w:tblCellMar>
            <w:top w:w="0" w:type="dxa"/>
            <w:left w:w="108" w:type="dxa"/>
            <w:bottom w:w="0" w:type="dxa"/>
            <w:right w:w="108" w:type="dxa"/>
          </w:tblCellMar>
        </w:tblPrEx>
        <w:trPr>
          <w:trHeight w:val="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r>
              <w:rPr>
                <w:rFonts w:ascii="宋体" w:hAnsi="宋体" w:eastAsia="宋体" w:cs="宋体"/>
                <w:color w:val="000000"/>
                <w:kern w:val="0"/>
                <w:sz w:val="20"/>
                <w:szCs w:val="20"/>
              </w:rPr>
              <w:t>022</w:t>
            </w:r>
            <w:r>
              <w:rPr>
                <w:rFonts w:hint="eastAsia" w:ascii="宋体" w:hAnsi="宋体" w:eastAsia="宋体" w:cs="宋体"/>
                <w:color w:val="000000"/>
                <w:kern w:val="0"/>
                <w:sz w:val="20"/>
                <w:szCs w:val="20"/>
              </w:rPr>
              <w:t>年1</w:t>
            </w:r>
            <w:r>
              <w:rPr>
                <w:rFonts w:ascii="宋体" w:hAnsi="宋体" w:eastAsia="宋体" w:cs="宋体"/>
                <w:color w:val="000000"/>
                <w:kern w:val="0"/>
                <w:sz w:val="20"/>
                <w:szCs w:val="20"/>
              </w:rPr>
              <w:t>2</w:t>
            </w:r>
            <w:r>
              <w:rPr>
                <w:rFonts w:hint="eastAsia" w:ascii="宋体" w:hAnsi="宋体" w:eastAsia="宋体" w:cs="宋体"/>
                <w:color w:val="000000"/>
                <w:kern w:val="0"/>
                <w:sz w:val="20"/>
                <w:szCs w:val="20"/>
              </w:rPr>
              <w:t>月</w:t>
            </w:r>
            <w:r>
              <w:rPr>
                <w:rFonts w:ascii="宋体" w:hAnsi="宋体" w:eastAsia="宋体" w:cs="宋体"/>
                <w:color w:val="000000"/>
                <w:kern w:val="0"/>
                <w:sz w:val="20"/>
                <w:szCs w:val="20"/>
              </w:rPr>
              <w:t>20</w:t>
            </w:r>
            <w:r>
              <w:rPr>
                <w:rFonts w:hint="eastAsia" w:ascii="宋体" w:hAnsi="宋体" w:eastAsia="宋体" w:cs="宋体"/>
                <w:color w:val="000000"/>
                <w:kern w:val="0"/>
                <w:sz w:val="20"/>
                <w:szCs w:val="20"/>
              </w:rPr>
              <w:t>日支付</w:t>
            </w:r>
            <w:r>
              <w:rPr>
                <w:rFonts w:ascii="宋体" w:hAnsi="宋体" w:eastAsia="宋体" w:cs="宋体"/>
                <w:color w:val="000000"/>
                <w:kern w:val="0"/>
                <w:sz w:val="20"/>
                <w:szCs w:val="20"/>
              </w:rPr>
              <w:t>2023年张坪村、袁庄村、尤村村土地2023年土地流转经费</w:t>
            </w:r>
            <w:r>
              <w:rPr>
                <w:rFonts w:hint="eastAsia" w:ascii="宋体" w:hAnsi="宋体" w:eastAsia="宋体" w:cs="宋体"/>
                <w:color w:val="000000"/>
                <w:kern w:val="0"/>
                <w:sz w:val="20"/>
                <w:szCs w:val="20"/>
              </w:rPr>
              <w:t>2</w:t>
            </w:r>
            <w:r>
              <w:rPr>
                <w:rFonts w:ascii="宋体" w:hAnsi="宋体" w:eastAsia="宋体" w:cs="宋体"/>
                <w:color w:val="000000"/>
                <w:kern w:val="0"/>
                <w:sz w:val="20"/>
                <w:szCs w:val="20"/>
              </w:rPr>
              <w:t>022</w:t>
            </w:r>
            <w:r>
              <w:rPr>
                <w:rFonts w:hint="eastAsia" w:ascii="宋体" w:hAnsi="宋体" w:eastAsia="宋体" w:cs="宋体"/>
                <w:color w:val="000000"/>
                <w:kern w:val="0"/>
                <w:sz w:val="20"/>
                <w:szCs w:val="20"/>
              </w:rPr>
              <w:t>年1</w:t>
            </w:r>
            <w:r>
              <w:rPr>
                <w:rFonts w:ascii="宋体" w:hAnsi="宋体" w:eastAsia="宋体" w:cs="宋体"/>
                <w:color w:val="000000"/>
                <w:kern w:val="0"/>
                <w:sz w:val="20"/>
                <w:szCs w:val="20"/>
              </w:rPr>
              <w:t>2</w:t>
            </w:r>
            <w:r>
              <w:rPr>
                <w:rFonts w:hint="eastAsia" w:ascii="宋体" w:hAnsi="宋体" w:eastAsia="宋体" w:cs="宋体"/>
                <w:color w:val="000000"/>
                <w:kern w:val="0"/>
                <w:sz w:val="20"/>
                <w:szCs w:val="20"/>
              </w:rPr>
              <w:t>月1</w:t>
            </w:r>
            <w:r>
              <w:rPr>
                <w:rFonts w:ascii="宋体" w:hAnsi="宋体" w:eastAsia="宋体" w:cs="宋体"/>
                <w:color w:val="000000"/>
                <w:kern w:val="0"/>
                <w:sz w:val="20"/>
                <w:szCs w:val="20"/>
              </w:rPr>
              <w:t>6</w:t>
            </w:r>
            <w:r>
              <w:rPr>
                <w:rFonts w:hint="eastAsia" w:ascii="宋体" w:hAnsi="宋体" w:eastAsia="宋体" w:cs="宋体"/>
                <w:color w:val="000000"/>
                <w:kern w:val="0"/>
                <w:sz w:val="20"/>
                <w:szCs w:val="20"/>
              </w:rPr>
              <w:t>日支付</w:t>
            </w:r>
            <w:r>
              <w:rPr>
                <w:rFonts w:ascii="宋体" w:hAnsi="宋体" w:eastAsia="宋体" w:cs="宋体"/>
                <w:color w:val="000000"/>
                <w:kern w:val="0"/>
                <w:sz w:val="20"/>
                <w:szCs w:val="20"/>
              </w:rPr>
              <w:t>2023年张坪村、袁庄村、尤村村土地2023年土地流转经费</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rPr>
              <w:t>100</w:t>
            </w:r>
            <w:r>
              <w:rPr>
                <w:rFonts w:hint="eastAsia" w:ascii="宋体" w:hAnsi="宋体" w:eastAsia="宋体" w:cs="宋体"/>
                <w:color w:val="000000"/>
                <w:kern w:val="0"/>
                <w:sz w:val="20"/>
                <w:szCs w:val="20"/>
              </w:rPr>
              <w:t>万元</w:t>
            </w:r>
          </w:p>
        </w:tc>
      </w:tr>
      <w:tr>
        <w:tblPrEx>
          <w:tblCellMar>
            <w:top w:w="0" w:type="dxa"/>
            <w:left w:w="108" w:type="dxa"/>
            <w:bottom w:w="0" w:type="dxa"/>
            <w:right w:w="108" w:type="dxa"/>
          </w:tblCellMar>
        </w:tblPrEx>
        <w:trPr>
          <w:trHeight w:val="603" w:hRule="atLeast"/>
        </w:trPr>
        <w:tc>
          <w:tcPr>
            <w:tcW w:w="73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r>
              <w:rPr>
                <w:rFonts w:ascii="宋体" w:hAnsi="宋体" w:eastAsia="宋体" w:cs="宋体"/>
                <w:color w:val="000000"/>
                <w:kern w:val="0"/>
                <w:sz w:val="20"/>
                <w:szCs w:val="20"/>
              </w:rPr>
              <w:t>00</w:t>
            </w:r>
            <w:r>
              <w:rPr>
                <w:rFonts w:hint="eastAsia" w:ascii="宋体" w:hAnsi="宋体" w:eastAsia="宋体" w:cs="宋体"/>
                <w:color w:val="000000"/>
                <w:kern w:val="0"/>
                <w:sz w:val="20"/>
                <w:szCs w:val="20"/>
              </w:rPr>
              <w:t>万元</w:t>
            </w:r>
          </w:p>
        </w:tc>
      </w:tr>
    </w:tbl>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（2）项目实施情况</w:t>
      </w:r>
    </w:p>
    <w:p>
      <w:pPr>
        <w:spacing w:line="560" w:lineRule="exact"/>
        <w:ind w:firstLine="472" w:firstLineChars="200"/>
        <w:rPr>
          <w:rFonts w:ascii="仿宋_GB2312" w:eastAsia="仿宋_GB2312" w:cs="Times New Roman"/>
          <w:sz w:val="24"/>
          <w:szCs w:val="24"/>
        </w:rPr>
      </w:pPr>
      <w:r>
        <w:rPr>
          <w:rFonts w:hint="eastAsia" w:ascii="仿宋_GB2312" w:hAnsi="Times New Roman" w:eastAsia="仿宋_GB2312" w:cs="Times New Roman"/>
          <w:sz w:val="24"/>
          <w:szCs w:val="24"/>
        </w:rPr>
        <w:t>通过该项目实施，</w:t>
      </w:r>
      <w:r>
        <w:rPr>
          <w:rFonts w:ascii="仿宋_GB2312" w:eastAsia="仿宋_GB2312" w:cs="Times New Roman"/>
          <w:sz w:val="24"/>
          <w:szCs w:val="24"/>
        </w:rPr>
        <w:t>此项经费用于兑付农民土地流转费用及各项奖补费用。保证</w:t>
      </w:r>
      <w:bookmarkStart w:id="29" w:name="_Hlk149171969"/>
      <w:r>
        <w:rPr>
          <w:rFonts w:ascii="仿宋_GB2312" w:eastAsia="仿宋_GB2312" w:cs="Times New Roman"/>
          <w:sz w:val="24"/>
          <w:szCs w:val="24"/>
        </w:rPr>
        <w:t>园</w:t>
      </w:r>
      <w:r>
        <w:rPr>
          <w:rFonts w:hint="eastAsia" w:ascii="仿宋_GB2312" w:eastAsia="仿宋_GB2312" w:cs="Times New Roman"/>
          <w:sz w:val="24"/>
          <w:szCs w:val="24"/>
          <w:lang w:val="en-US" w:eastAsia="zh-CN"/>
        </w:rPr>
        <w:t xml:space="preserve">   </w:t>
      </w:r>
      <w:r>
        <w:rPr>
          <w:rFonts w:ascii="仿宋_GB2312" w:eastAsia="仿宋_GB2312" w:cs="Times New Roman"/>
          <w:sz w:val="24"/>
          <w:szCs w:val="24"/>
        </w:rPr>
        <w:t>区内各项工作的稳定开展</w:t>
      </w:r>
      <w:bookmarkEnd w:id="29"/>
      <w:r>
        <w:rPr>
          <w:rFonts w:ascii="仿宋_GB2312" w:eastAsia="仿宋_GB2312" w:cs="Times New Roman"/>
          <w:sz w:val="24"/>
          <w:szCs w:val="24"/>
        </w:rPr>
        <w:t>，为示范区的有序运营提供了保障。广泛招商引资，促进怀远石榴产业化经营:开发、保护和弘扬我县源远流长的石榴文化; 扩展石榴销路，增加果农收入，丰富广大群众、农民的文化生活</w:t>
      </w:r>
      <w:r>
        <w:rPr>
          <w:rFonts w:hint="eastAsia" w:ascii="仿宋_GB2312" w:eastAsia="仿宋_GB2312" w:cs="Times New Roman"/>
          <w:sz w:val="24"/>
          <w:szCs w:val="24"/>
        </w:rPr>
        <w:t>；</w:t>
      </w:r>
      <w:r>
        <w:rPr>
          <w:rFonts w:ascii="仿宋_GB2312" w:eastAsia="仿宋_GB2312" w:cs="Times New Roman"/>
          <w:sz w:val="24"/>
          <w:szCs w:val="24"/>
        </w:rPr>
        <w:t>拉动石榴节举办带来的消费增长效应。</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形成“核心区</w:t>
      </w:r>
      <w:r>
        <w:rPr>
          <w:rFonts w:ascii="仿宋_GB2312" w:hAnsi="Times New Roman" w:eastAsia="仿宋_GB2312" w:cs="Times New Roman"/>
          <w:sz w:val="24"/>
          <w:szCs w:val="24"/>
        </w:rPr>
        <w:t>-示范区-辐射区”三个层次的整体结构。核心区、示范区和辐射区是整个国家农业科技园区不同层次的组成部分，紧</w:t>
      </w:r>
      <w:r>
        <w:rPr>
          <w:rFonts w:hint="eastAsia" w:ascii="仿宋_GB2312" w:hAnsi="Times New Roman" w:eastAsia="仿宋_GB2312" w:cs="Times New Roman"/>
          <w:sz w:val="24"/>
          <w:szCs w:val="24"/>
        </w:rPr>
        <w:t>密结合，相辅相成，成为一个有机的整体，共同发挥国家农业科技园区的科技示范和引领带动作用。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蚌埠市基础资源和产业发展形成的生产力空间分布特征，考虑国家农业科技园区的先进性、典型性、代表性和示范、引领和带动作用的需要，蚌埠国家农业科技园区采用“一城三园三区”的建设布局，以龙亢科技创新城核心、淮西现代农业核心组成的双核逐层向外示范和辐射。</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w:t>
      </w:r>
      <w:r>
        <w:rPr>
          <w:rFonts w:ascii="仿宋_GB2312" w:hAnsi="Times New Roman" w:eastAsia="仿宋_GB2312" w:cs="Times New Roman"/>
          <w:sz w:val="24"/>
          <w:szCs w:val="24"/>
        </w:rPr>
        <w:t>农业科技园</w:t>
      </w:r>
      <w:r>
        <w:rPr>
          <w:rFonts w:hint="eastAsia" w:ascii="仿宋_GB2312" w:hAnsi="Times New Roman" w:eastAsia="仿宋_GB2312" w:cs="Times New Roman"/>
          <w:sz w:val="24"/>
          <w:szCs w:val="24"/>
        </w:rPr>
        <w:t>项目全年拨付预算资金</w:t>
      </w:r>
      <w:r>
        <w:rPr>
          <w:rFonts w:ascii="仿宋_GB2312" w:hAnsi="Times New Roman" w:eastAsia="仿宋_GB2312" w:cs="Times New Roman"/>
          <w:sz w:val="24"/>
          <w:szCs w:val="24"/>
        </w:rPr>
        <w:t>1000</w:t>
      </w:r>
      <w:r>
        <w:rPr>
          <w:rFonts w:hint="eastAsia" w:ascii="仿宋_GB2312" w:hAnsi="Times New Roman" w:eastAsia="仿宋_GB2312" w:cs="Times New Roman"/>
          <w:sz w:val="24"/>
          <w:szCs w:val="24"/>
        </w:rPr>
        <w:t>万元，实际到位资金</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0万元，实际支出资金</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0万元，资金到位率100%，预算执行率为100%。</w:t>
      </w:r>
    </w:p>
    <w:p>
      <w:pPr>
        <w:spacing w:line="560" w:lineRule="exact"/>
        <w:ind w:firstLine="236" w:firstLineChars="100"/>
        <w:outlineLvl w:val="1"/>
        <w:rPr>
          <w:rFonts w:ascii="楷体_GB2312" w:hAnsi="Times New Roman" w:eastAsia="楷体_GB2312" w:cs="Times New Roman"/>
          <w:sz w:val="24"/>
          <w:szCs w:val="24"/>
        </w:rPr>
      </w:pPr>
      <w:bookmarkStart w:id="30" w:name="_Toc32417"/>
      <w:r>
        <w:rPr>
          <w:rFonts w:hint="eastAsia" w:ascii="楷体_GB2312" w:hAnsi="Times New Roman" w:eastAsia="楷体_GB2312" w:cs="Times New Roman"/>
          <w:sz w:val="24"/>
          <w:szCs w:val="24"/>
        </w:rPr>
        <w:t>（二）项目绩效目标</w:t>
      </w:r>
      <w:bookmarkEnd w:id="3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2022 年度</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2024 年度扩大我县石榴产业的影响力和知名度，增加怀远与石榴之间的大数据链接频率，提高怀远知名度，让怀远走向世界，让世界了解怀远。广泛招商引资促进怀远石榴产业化经营</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开发、保护和弘扬我县源远流长的石榴文化;扩展石榴销路，增加果农收入，丰富广大群众、农民的文化生活;拉动石榴节举办带来的消费增长效应。</w:t>
      </w:r>
    </w:p>
    <w:p>
      <w:pPr>
        <w:spacing w:line="560" w:lineRule="exact"/>
        <w:ind w:firstLine="708"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pPr>
        <w:spacing w:line="560" w:lineRule="exact"/>
        <w:ind w:firstLine="708"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此项经费用于兑付农民土地流转费用及各项奖补费用。保证园区内各项工作的稳定开展，为示范区的有序运营提供了保障。广泛招商引资，促进怀远石榴产业化经营</w:t>
      </w:r>
      <w:r>
        <w:rPr>
          <w:rFonts w:ascii="仿宋_GB2312" w:hAnsi="Times New Roman" w:eastAsia="仿宋_GB2312" w:cs="Times New Roman"/>
          <w:sz w:val="24"/>
          <w:szCs w:val="24"/>
        </w:rPr>
        <w:t>;开发</w:t>
      </w:r>
      <w:r>
        <w:rPr>
          <w:rFonts w:hint="eastAsia" w:ascii="仿宋_GB2312" w:hAnsi="Times New Roman" w:eastAsia="仿宋_GB2312" w:cs="Times New Roman"/>
          <w:sz w:val="24"/>
          <w:szCs w:val="24"/>
        </w:rPr>
        <w:t>保护和弘扬我县源远流长的石榴文化</w:t>
      </w:r>
      <w:r>
        <w:rPr>
          <w:rFonts w:ascii="仿宋_GB2312" w:hAnsi="Times New Roman" w:eastAsia="仿宋_GB2312" w:cs="Times New Roman"/>
          <w:sz w:val="24"/>
          <w:szCs w:val="24"/>
        </w:rPr>
        <w:t>;扩展石榴销路，增加果农收入，丰富广大群众、农民的文化生活;拉动石榴节举办带来的消费增长效应。</w:t>
      </w:r>
    </w:p>
    <w:p>
      <w:pPr>
        <w:pStyle w:val="2"/>
        <w:ind w:firstLine="632"/>
        <w:rPr>
          <w:rFonts w:hint="eastAsia"/>
        </w:rPr>
      </w:pPr>
    </w:p>
    <w:p>
      <w:pPr>
        <w:spacing w:line="560" w:lineRule="exact"/>
        <w:ind w:firstLine="472" w:firstLineChars="200"/>
        <w:outlineLvl w:val="0"/>
        <w:rPr>
          <w:rFonts w:ascii="黑体" w:hAnsi="黑体" w:eastAsia="黑体" w:cs="Times New Roman"/>
          <w:b/>
          <w:bCs/>
          <w:sz w:val="24"/>
          <w:szCs w:val="24"/>
        </w:rPr>
      </w:pPr>
      <w:bookmarkStart w:id="31" w:name="_Toc3602"/>
      <w:r>
        <w:rPr>
          <w:rFonts w:hint="eastAsia" w:ascii="黑体" w:hAnsi="黑体" w:eastAsia="黑体" w:cs="Times New Roman"/>
          <w:b/>
          <w:bCs/>
          <w:sz w:val="24"/>
          <w:szCs w:val="24"/>
        </w:rPr>
        <w:t>二、绩效评价工作开展情况</w:t>
      </w:r>
      <w:bookmarkEnd w:id="31"/>
    </w:p>
    <w:p>
      <w:pPr>
        <w:spacing w:line="560" w:lineRule="exact"/>
        <w:ind w:firstLine="472" w:firstLineChars="200"/>
        <w:outlineLvl w:val="1"/>
        <w:rPr>
          <w:rFonts w:ascii="楷体_GB2312" w:hAnsi="Times New Roman" w:eastAsia="楷体_GB2312" w:cs="Times New Roman"/>
          <w:sz w:val="24"/>
          <w:szCs w:val="24"/>
        </w:rPr>
      </w:pPr>
      <w:bookmarkStart w:id="32" w:name="_Toc23951"/>
      <w:r>
        <w:rPr>
          <w:rFonts w:hint="eastAsia" w:ascii="楷体_GB2312" w:hAnsi="Times New Roman" w:eastAsia="楷体_GB2312" w:cs="Times New Roman"/>
          <w:sz w:val="24"/>
          <w:szCs w:val="24"/>
        </w:rPr>
        <w:t>（一）</w:t>
      </w:r>
      <w:bookmarkStart w:id="33" w:name="_Hlk79591799"/>
      <w:r>
        <w:rPr>
          <w:rFonts w:hint="eastAsia" w:ascii="楷体_GB2312" w:hAnsi="Times New Roman" w:eastAsia="楷体_GB2312" w:cs="Times New Roman"/>
          <w:sz w:val="24"/>
          <w:szCs w:val="24"/>
        </w:rPr>
        <w:t>绩效评价</w:t>
      </w:r>
      <w:bookmarkEnd w:id="33"/>
      <w:r>
        <w:rPr>
          <w:rFonts w:hint="eastAsia" w:ascii="楷体_GB2312" w:hAnsi="Times New Roman" w:eastAsia="楷体_GB2312" w:cs="Times New Roman"/>
          <w:sz w:val="24"/>
          <w:szCs w:val="24"/>
        </w:rPr>
        <w:t>目的、对象和范围</w:t>
      </w:r>
      <w:bookmarkEnd w:id="3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1.绩效评价目的。财政支出绩效评价是提高公共服务质量、提升公共支出有效手段。通过评价，深入了解202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w:t>
      </w:r>
      <w:r>
        <w:rPr>
          <w:rFonts w:ascii="仿宋_GB2312" w:hAnsi="Times New Roman" w:eastAsia="仿宋_GB2312" w:cs="Times New Roman"/>
          <w:sz w:val="24"/>
          <w:szCs w:val="24"/>
        </w:rPr>
        <w:t>科技园</w:t>
      </w:r>
      <w:r>
        <w:rPr>
          <w:rFonts w:hint="eastAsia" w:ascii="仿宋_GB2312" w:hAnsi="Times New Roman" w:eastAsia="仿宋_GB2312" w:cs="Times New Roman"/>
          <w:sz w:val="24"/>
          <w:szCs w:val="24"/>
        </w:rPr>
        <w:t>项目的决策、产出、过程和效益方面的详细情况，总结项目资金使用中的主要经验及存在问题，提出有针对性和可操作性的政策建议，不断提高财政资金管理水平和使用效益，为预算安排提供重要依据。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2.绩效评价对象。202</w:t>
      </w:r>
      <w:r>
        <w:rPr>
          <w:rFonts w:ascii="仿宋_GB2312" w:hAnsi="Times New Roman" w:eastAsia="仿宋_GB2312" w:cs="Times New Roman"/>
          <w:sz w:val="24"/>
          <w:szCs w:val="24"/>
        </w:rPr>
        <w:t>2科技园</w:t>
      </w:r>
      <w:r>
        <w:rPr>
          <w:rFonts w:hint="eastAsia" w:ascii="仿宋_GB2312" w:hAnsi="Times New Roman" w:eastAsia="仿宋_GB2312" w:cs="Times New Roman"/>
          <w:sz w:val="24"/>
          <w:szCs w:val="24"/>
        </w:rPr>
        <w:t>项目资金。</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3.绩效评价范围。本次评价的范围是202</w:t>
      </w:r>
      <w:r>
        <w:rPr>
          <w:rFonts w:ascii="仿宋_GB2312" w:hAnsi="Times New Roman" w:eastAsia="仿宋_GB2312" w:cs="Times New Roman"/>
          <w:sz w:val="24"/>
          <w:szCs w:val="24"/>
        </w:rPr>
        <w:t>2科技园</w:t>
      </w:r>
      <w:r>
        <w:rPr>
          <w:rFonts w:hint="eastAsia" w:ascii="仿宋_GB2312" w:hAnsi="Times New Roman" w:eastAsia="仿宋_GB2312" w:cs="Times New Roman"/>
          <w:sz w:val="24"/>
          <w:szCs w:val="24"/>
        </w:rPr>
        <w:t>项目资金，评价其绩效目标设定情况，资金投入和使用情况，为实现设定的绩效目标所制定的制度、采取的措施等，以及绩效目标最终的实现程度及效果。</w:t>
      </w:r>
    </w:p>
    <w:p>
      <w:pPr>
        <w:spacing w:line="560" w:lineRule="exact"/>
        <w:ind w:firstLine="472" w:firstLineChars="200"/>
        <w:outlineLvl w:val="1"/>
        <w:rPr>
          <w:rFonts w:ascii="楷体_GB2312" w:hAnsi="Times New Roman" w:eastAsia="楷体_GB2312" w:cs="Times New Roman"/>
          <w:sz w:val="24"/>
          <w:szCs w:val="24"/>
        </w:rPr>
      </w:pPr>
      <w:bookmarkStart w:id="34" w:name="_Toc17751"/>
      <w:r>
        <w:rPr>
          <w:rFonts w:hint="eastAsia" w:ascii="楷体_GB2312" w:hAnsi="Times New Roman" w:eastAsia="楷体_GB2312" w:cs="Times New Roman"/>
          <w:sz w:val="24"/>
          <w:szCs w:val="24"/>
        </w:rPr>
        <w:t>（二）绩效评价原则、评价指标体系、评价方法、评价标准</w:t>
      </w:r>
      <w:bookmarkEnd w:id="34"/>
    </w:p>
    <w:p>
      <w:pPr>
        <w:spacing w:line="560" w:lineRule="exact"/>
        <w:ind w:left="237" w:leftChars="75"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1.绩效评价原则：科学规范原则、公正公开原则、分级分类原则以及绩效相关原则。</w:t>
      </w:r>
    </w:p>
    <w:p>
      <w:pPr>
        <w:spacing w:line="560" w:lineRule="exact"/>
        <w:ind w:firstLine="708"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pPr>
        <w:spacing w:line="560" w:lineRule="exact"/>
        <w:ind w:left="237" w:leftChars="75"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w:t>
      </w:r>
      <w:r>
        <w:rPr>
          <w:rFonts w:hint="eastAsia" w:ascii="仿宋_GB2312" w:hAnsi="Times New Roman" w:eastAsia="仿宋_GB2312" w:cs="Times New Roman"/>
          <w:sz w:val="24"/>
          <w:szCs w:val="24"/>
          <w:lang w:val="en-US" w:eastAsia="zh-CN"/>
        </w:rPr>
        <w:t xml:space="preserve"> </w:t>
      </w:r>
      <w:r>
        <w:rPr>
          <w:rFonts w:hint="eastAsia" w:ascii="仿宋_GB2312" w:hAnsi="Times New Roman" w:eastAsia="仿宋_GB2312" w:cs="Times New Roman"/>
          <w:sz w:val="24"/>
          <w:szCs w:val="24"/>
        </w:rPr>
        <w:t>标的影响程度来合理确定评价指标的分值比例结构。</w:t>
      </w:r>
    </w:p>
    <w:p>
      <w:pPr>
        <w:spacing w:line="560" w:lineRule="exact"/>
        <w:ind w:left="316" w:leftChars="100"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w:t>
      </w:r>
      <w:r>
        <w:rPr>
          <w:rFonts w:ascii="仿宋_GB2312" w:hAnsi="Times New Roman" w:eastAsia="仿宋_GB2312" w:cs="Times New Roman"/>
          <w:sz w:val="24"/>
          <w:szCs w:val="24"/>
        </w:rPr>
        <w:t>科技园</w:t>
      </w:r>
      <w:r>
        <w:rPr>
          <w:rFonts w:hint="eastAsia" w:ascii="仿宋_GB2312" w:hAnsi="Times New Roman" w:eastAsia="仿宋_GB2312" w:cs="Times New Roman"/>
          <w:sz w:val="24"/>
          <w:szCs w:val="24"/>
        </w:rPr>
        <w:t>资金项目评价指标体系包括4项一级指标，14项二级指标，23项三级指标，满分为100分。具体如下：</w:t>
      </w:r>
    </w:p>
    <w:tbl>
      <w:tblPr>
        <w:tblStyle w:val="12"/>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tblPrEx>
          <w:tblCellMar>
            <w:top w:w="0" w:type="dxa"/>
            <w:left w:w="108" w:type="dxa"/>
            <w:bottom w:w="0" w:type="dxa"/>
            <w:right w:w="108" w:type="dxa"/>
          </w:tblCellMar>
        </w:tblPrEx>
        <w:trPr>
          <w:trHeight w:val="270" w:hRule="atLeast"/>
        </w:trPr>
        <w:tc>
          <w:tcPr>
            <w:tcW w:w="7995" w:type="dxa"/>
            <w:gridSpan w:val="6"/>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tblPrEx>
          <w:tblCellMar>
            <w:top w:w="0" w:type="dxa"/>
            <w:left w:w="108" w:type="dxa"/>
            <w:bottom w:w="0" w:type="dxa"/>
            <w:right w:w="108" w:type="dxa"/>
          </w:tblCellMar>
        </w:tblPrEx>
        <w:trPr>
          <w:trHeight w:val="270" w:hRule="atLeast"/>
        </w:trPr>
        <w:tc>
          <w:tcPr>
            <w:tcW w:w="1080" w:type="dxa"/>
            <w:tcBorders>
              <w:top w:val="double" w:color="000000" w:sz="4" w:space="0"/>
              <w:left w:val="nil"/>
              <w:bottom w:val="single" w:color="000000" w:sz="8" w:space="0"/>
              <w:right w:val="single" w:color="000000" w:sz="8" w:space="0"/>
            </w:tcBorders>
            <w:shd w:val="clear" w:color="auto" w:fill="auto"/>
          </w:tcPr>
          <w:p>
            <w:pPr>
              <w:widowControl/>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一级指标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二级指标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2595"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三级指标</w:t>
            </w:r>
          </w:p>
        </w:tc>
        <w:tc>
          <w:tcPr>
            <w:tcW w:w="1080" w:type="dxa"/>
            <w:tcBorders>
              <w:top w:val="double" w:color="000000" w:sz="4" w:space="0"/>
              <w:left w:val="single" w:color="000000" w:sz="8" w:space="0"/>
              <w:bottom w:val="single" w:color="000000" w:sz="8" w:space="0"/>
              <w:right w:val="nil"/>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r>
      <w:tr>
        <w:tblPrEx>
          <w:tblCellMar>
            <w:top w:w="0" w:type="dxa"/>
            <w:left w:w="108" w:type="dxa"/>
            <w:bottom w:w="0" w:type="dxa"/>
            <w:right w:w="108" w:type="dxa"/>
          </w:tblCellMar>
        </w:tblPrEx>
        <w:trPr>
          <w:trHeight w:val="45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决策</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12</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项目立项</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立项依据充分性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立项程序规范性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绩效目标合理性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绩效指标明确性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资金投入</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预算编制科学性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资金分配合理性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30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过程</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28</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资金管理</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20</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资金到位率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资金拨付及时性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预算执行率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资金使用合规性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绩效自评内容准确完整性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绩效自评结论真实性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组织实施</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管理制度健全性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制度执行有效性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32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24</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产出数量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val="en-US" w:eastAsia="zh-CN"/>
              </w:rPr>
              <w:t>园区大于16000亩</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32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产出质量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sz w:val="16"/>
                <w:szCs w:val="16"/>
              </w:rPr>
              <w:t>8</w:t>
            </w:r>
          </w:p>
        </w:tc>
        <w:tc>
          <w:tcPr>
            <w:tcW w:w="2595" w:type="dxa"/>
            <w:tcBorders>
              <w:top w:val="nil"/>
              <w:left w:val="single" w:color="000000" w:sz="8" w:space="0"/>
              <w:bottom w:val="single" w:color="000000" w:sz="8" w:space="0"/>
              <w:right w:val="single" w:color="000000" w:sz="8" w:space="0"/>
            </w:tcBorders>
            <w:shd w:val="clear" w:color="auto" w:fill="auto"/>
          </w:tcPr>
          <w:p>
            <w:pPr>
              <w:jc w:val="center"/>
              <w:rPr>
                <w:rFonts w:hint="eastAsia" w:ascii="宋体" w:hAnsi="宋体" w:eastAsia="宋体" w:cs="宋体"/>
                <w:color w:val="000000"/>
                <w:sz w:val="16"/>
                <w:szCs w:val="16"/>
                <w:lang w:val="en-US" w:eastAsia="zh-CN"/>
              </w:rPr>
            </w:pPr>
            <w:r>
              <w:rPr>
                <w:rFonts w:hint="eastAsia" w:ascii="宋体" w:hAnsi="宋体" w:eastAsia="宋体" w:cs="宋体"/>
                <w:color w:val="000000"/>
                <w:kern w:val="0"/>
                <w:sz w:val="16"/>
                <w:szCs w:val="16"/>
              </w:rPr>
              <w:t>但未达到预期</w:t>
            </w:r>
            <w:r>
              <w:rPr>
                <w:rFonts w:hint="eastAsia" w:ascii="宋体" w:hAnsi="宋体" w:eastAsia="宋体" w:cs="宋体"/>
                <w:color w:val="000000"/>
                <w:kern w:val="0"/>
                <w:sz w:val="16"/>
                <w:szCs w:val="16"/>
                <w:lang w:val="en-US" w:eastAsia="zh-CN"/>
              </w:rPr>
              <w:t>目标</w:t>
            </w:r>
          </w:p>
        </w:tc>
        <w:tc>
          <w:tcPr>
            <w:tcW w:w="1080" w:type="dxa"/>
            <w:tcBorders>
              <w:top w:val="nil"/>
              <w:left w:val="single" w:color="000000" w:sz="8" w:space="0"/>
              <w:bottom w:val="single" w:color="000000" w:sz="8" w:space="0"/>
              <w:right w:val="nil"/>
            </w:tcBorders>
            <w:shd w:val="clear" w:color="auto" w:fill="auto"/>
            <w:vAlign w:val="center"/>
          </w:tcPr>
          <w:p>
            <w:pPr>
              <w:jc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sz w:val="16"/>
                <w:szCs w:val="16"/>
              </w:rPr>
              <w:t>7</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产出时效</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各项任务完成及时性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产出成本</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预算控制率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r>
      <w:tr>
        <w:tblPrEx>
          <w:tblCellMar>
            <w:top w:w="0" w:type="dxa"/>
            <w:left w:w="108" w:type="dxa"/>
            <w:bottom w:w="0" w:type="dxa"/>
            <w:right w:w="108" w:type="dxa"/>
          </w:tblCellMar>
        </w:tblPrEx>
        <w:trPr>
          <w:trHeight w:val="46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效益</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36</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经济效益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完善城市功能，支撑县域经济发展</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tblPrEx>
          <w:tblCellMar>
            <w:top w:w="0" w:type="dxa"/>
            <w:left w:w="108" w:type="dxa"/>
            <w:bottom w:w="0" w:type="dxa"/>
            <w:right w:w="108" w:type="dxa"/>
          </w:tblCellMar>
        </w:tblPrEx>
        <w:trPr>
          <w:trHeight w:val="46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社会效益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营造美好、整洁、文明、积极向上的城市氛围</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r>
      <w:tr>
        <w:tblPrEx>
          <w:tblCellMar>
            <w:top w:w="0" w:type="dxa"/>
            <w:left w:w="108" w:type="dxa"/>
            <w:bottom w:w="0" w:type="dxa"/>
            <w:right w:w="108" w:type="dxa"/>
          </w:tblCellMar>
        </w:tblPrEx>
        <w:trPr>
          <w:trHeight w:val="14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生态效益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改善人居环境，强化城市市容环境</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r>
      <w:tr>
        <w:tblPrEx>
          <w:tblCellMar>
            <w:top w:w="0" w:type="dxa"/>
            <w:left w:w="108" w:type="dxa"/>
            <w:bottom w:w="0" w:type="dxa"/>
            <w:right w:w="108" w:type="dxa"/>
          </w:tblCellMar>
        </w:tblPrEx>
        <w:trPr>
          <w:trHeight w:val="80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Times New Roman" w:hAnsi="Times New Roman" w:eastAsia="宋体" w:cs="Times New Roman"/>
                <w:sz w:val="16"/>
                <w:szCs w:val="16"/>
              </w:rPr>
              <w:t>构建有利于园区发展的体制机制</w:t>
            </w:r>
            <w:r>
              <w:rPr>
                <w:rFonts w:hint="eastAsia" w:ascii="Times New Roman" w:hAnsi="Times New Roman" w:eastAsia="宋体" w:cs="Times New Roman"/>
                <w:sz w:val="16"/>
                <w:szCs w:val="16"/>
                <w:lang w:val="en-US" w:eastAsia="zh-CN"/>
              </w:rPr>
              <w:t>使</w:t>
            </w:r>
            <w:r>
              <w:rPr>
                <w:rFonts w:hint="eastAsia" w:ascii="Times New Roman" w:hAnsi="Times New Roman" w:eastAsia="宋体" w:cs="Times New Roman"/>
                <w:sz w:val="16"/>
                <w:szCs w:val="16"/>
              </w:rPr>
              <w:t>工作常态化</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tblPrEx>
          <w:tblCellMar>
            <w:top w:w="0" w:type="dxa"/>
            <w:left w:w="108" w:type="dxa"/>
            <w:bottom w:w="0" w:type="dxa"/>
            <w:right w:w="108" w:type="dxa"/>
          </w:tblCellMar>
        </w:tblPrEx>
        <w:trPr>
          <w:trHeight w:val="9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满意度</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群众满意度</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tblPrEx>
          <w:tblCellMar>
            <w:top w:w="0" w:type="dxa"/>
            <w:left w:w="108" w:type="dxa"/>
            <w:bottom w:w="0" w:type="dxa"/>
            <w:right w:w="108" w:type="dxa"/>
          </w:tblCellMar>
        </w:tblPrEx>
        <w:trPr>
          <w:trHeight w:val="270" w:hRule="atLeast"/>
        </w:trPr>
        <w:tc>
          <w:tcPr>
            <w:tcW w:w="1080" w:type="dxa"/>
            <w:tcBorders>
              <w:top w:val="nil"/>
              <w:left w:val="nil"/>
              <w:bottom w:val="double" w:color="000000" w:sz="4"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合计</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hint="eastAsia" w:ascii="Times New Roman" w:hAnsi="Times New Roman" w:eastAsia="宋体" w:cs="Times New Roman"/>
                <w:b/>
                <w:bCs/>
                <w:color w:val="000000"/>
                <w:kern w:val="0"/>
                <w:sz w:val="16"/>
                <w:szCs w:val="16"/>
              </w:rPr>
              <w:t>100</w:t>
            </w:r>
          </w:p>
        </w:tc>
        <w:tc>
          <w:tcPr>
            <w:tcW w:w="2595"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nil"/>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r>
    </w:tbl>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本次绩效评价标准主要是参照计划标准和历史标准制定。对于已经制定计划目标的指标，直接用实际情况与计划情况相比较进行评价。对于没有制定计划目标的指标，则参照历史标准进行评价。</w:t>
      </w:r>
    </w:p>
    <w:p>
      <w:pPr>
        <w:spacing w:line="560" w:lineRule="exact"/>
        <w:ind w:firstLine="472" w:firstLineChars="200"/>
        <w:outlineLvl w:val="1"/>
        <w:rPr>
          <w:rFonts w:ascii="楷体_GB2312" w:hAnsi="Times New Roman" w:eastAsia="楷体_GB2312" w:cs="Times New Roman"/>
          <w:sz w:val="24"/>
          <w:szCs w:val="24"/>
        </w:rPr>
      </w:pPr>
      <w:bookmarkStart w:id="35" w:name="_Toc23601"/>
      <w:r>
        <w:rPr>
          <w:rFonts w:hint="eastAsia" w:ascii="楷体_GB2312" w:hAnsi="Times New Roman" w:eastAsia="楷体_GB2312" w:cs="Times New Roman"/>
          <w:sz w:val="24"/>
          <w:szCs w:val="24"/>
        </w:rPr>
        <w:t>（三）绩效评价工作过程</w:t>
      </w:r>
      <w:bookmarkEnd w:id="3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评价工作组与项目实施单位及相关人员初步沟通项目背景、预算申请及批复、绩效目标、目前的开展进度。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评价小组从目标要求、工作内容、方式方法、时间进度及工作步骤等方面做出具体明确的计划，为绩效评价工作的组织实施提供指引。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书及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pPr>
        <w:pStyle w:val="2"/>
        <w:ind w:firstLine="632"/>
        <w:rPr>
          <w:rFonts w:hint="eastAsia"/>
        </w:rPr>
      </w:pPr>
    </w:p>
    <w:p>
      <w:pPr>
        <w:spacing w:line="560" w:lineRule="exact"/>
        <w:ind w:firstLine="472" w:firstLineChars="200"/>
        <w:outlineLvl w:val="0"/>
        <w:rPr>
          <w:rFonts w:ascii="黑体" w:hAnsi="黑体" w:eastAsia="黑体" w:cs="Times New Roman"/>
          <w:b/>
          <w:bCs/>
          <w:sz w:val="24"/>
          <w:szCs w:val="24"/>
        </w:rPr>
      </w:pPr>
      <w:bookmarkStart w:id="36" w:name="_Toc31295"/>
      <w:r>
        <w:rPr>
          <w:rFonts w:hint="eastAsia" w:ascii="黑体" w:hAnsi="黑体" w:eastAsia="黑体" w:cs="Times New Roman"/>
          <w:b/>
          <w:bCs/>
          <w:sz w:val="24"/>
          <w:szCs w:val="24"/>
        </w:rPr>
        <w:t>三、综合评价情况及评价结论</w:t>
      </w:r>
      <w:bookmarkEnd w:id="36"/>
    </w:p>
    <w:p>
      <w:pPr>
        <w:spacing w:line="560" w:lineRule="exact"/>
        <w:ind w:firstLine="472" w:firstLineChars="200"/>
        <w:outlineLvl w:val="1"/>
        <w:rPr>
          <w:rFonts w:ascii="楷体_GB2312" w:hAnsi="Times New Roman" w:eastAsia="楷体_GB2312" w:cs="Times New Roman"/>
          <w:sz w:val="24"/>
          <w:szCs w:val="24"/>
        </w:rPr>
      </w:pPr>
      <w:bookmarkStart w:id="37" w:name="_Toc20659"/>
      <w:r>
        <w:rPr>
          <w:rFonts w:hint="eastAsia" w:ascii="楷体_GB2312" w:hAnsi="Times New Roman" w:eastAsia="楷体_GB2312" w:cs="Times New Roman"/>
          <w:sz w:val="24"/>
          <w:szCs w:val="24"/>
        </w:rPr>
        <w:t>（一）综合评价情况</w:t>
      </w:r>
      <w:bookmarkEnd w:id="3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科技园资金项目立项依据充分，立项程序规范，绩效目标设置合理，资金到位及时、使用合规，管理制度健全，基本得到有效执行，项目产出完成情况良好，取得了较好的社会、经济和生态效益，服务对象满意度高。</w:t>
      </w:r>
    </w:p>
    <w:p>
      <w:pPr>
        <w:spacing w:line="560" w:lineRule="exact"/>
        <w:ind w:firstLine="472" w:firstLineChars="200"/>
        <w:outlineLvl w:val="1"/>
        <w:rPr>
          <w:rFonts w:ascii="楷体_GB2312" w:hAnsi="Times New Roman" w:eastAsia="楷体_GB2312" w:cs="Times New Roman"/>
          <w:sz w:val="24"/>
          <w:szCs w:val="24"/>
        </w:rPr>
      </w:pPr>
      <w:bookmarkStart w:id="38" w:name="_Toc29228"/>
      <w:r>
        <w:rPr>
          <w:rFonts w:hint="eastAsia" w:ascii="楷体_GB2312" w:hAnsi="Times New Roman" w:eastAsia="楷体_GB2312" w:cs="Times New Roman"/>
          <w:sz w:val="24"/>
          <w:szCs w:val="24"/>
        </w:rPr>
        <w:t>（二）评价结论</w:t>
      </w:r>
      <w:bookmarkEnd w:id="3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w:t>
      </w:r>
      <w:r>
        <w:rPr>
          <w:rFonts w:ascii="仿宋_GB2312" w:hAnsi="Times New Roman" w:eastAsia="仿宋_GB2312" w:cs="Times New Roman"/>
          <w:sz w:val="24"/>
          <w:szCs w:val="24"/>
        </w:rPr>
        <w:t>89.5</w:t>
      </w:r>
      <w:r>
        <w:rPr>
          <w:rFonts w:hint="eastAsia" w:ascii="仿宋_GB2312" w:hAnsi="Times New Roman" w:eastAsia="仿宋_GB2312" w:cs="Times New Roman"/>
          <w:sz w:val="24"/>
          <w:szCs w:val="24"/>
        </w:rPr>
        <w:t>分，评价等级为“良”。</w:t>
      </w:r>
    </w:p>
    <w:p>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3"/>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pPr>
              <w:spacing w:line="560" w:lineRule="exact"/>
              <w:jc w:val="center"/>
              <w:rPr>
                <w:rFonts w:ascii="Times New Roman" w:hAnsi="Times New Roman" w:eastAsia="宋体" w:cs="Times New Roman"/>
                <w:b/>
                <w:bCs/>
                <w:sz w:val="16"/>
                <w:szCs w:val="16"/>
              </w:rPr>
            </w:pPr>
            <w:bookmarkStart w:id="39" w:name="_Hlk79742153"/>
            <w:r>
              <w:rPr>
                <w:rFonts w:ascii="Times New Roman" w:hAnsi="Times New Roman" w:eastAsia="宋体" w:cs="Times New Roman"/>
                <w:b/>
                <w:bCs/>
                <w:sz w:val="16"/>
                <w:szCs w:val="16"/>
              </w:rPr>
              <w:t>指标</w:t>
            </w:r>
          </w:p>
        </w:tc>
        <w:tc>
          <w:tcPr>
            <w:tcW w:w="1275"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12</w:t>
            </w:r>
          </w:p>
        </w:tc>
        <w:tc>
          <w:tcPr>
            <w:tcW w:w="1418" w:type="dxa"/>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28</w:t>
            </w:r>
          </w:p>
        </w:tc>
        <w:tc>
          <w:tcPr>
            <w:tcW w:w="1276" w:type="dxa"/>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24</w:t>
            </w:r>
          </w:p>
        </w:tc>
        <w:tc>
          <w:tcPr>
            <w:tcW w:w="1134" w:type="dxa"/>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36</w:t>
            </w:r>
          </w:p>
        </w:tc>
        <w:tc>
          <w:tcPr>
            <w:tcW w:w="1276" w:type="dxa"/>
            <w:tcBorders>
              <w:righ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w:t>
            </w:r>
            <w:r>
              <w:rPr>
                <w:rFonts w:ascii="Times New Roman" w:hAnsi="Times New Roman" w:eastAsia="宋体" w:cs="Times New Roman"/>
                <w:sz w:val="16"/>
                <w:szCs w:val="16"/>
              </w:rPr>
              <w:t>0.5</w:t>
            </w:r>
          </w:p>
        </w:tc>
        <w:tc>
          <w:tcPr>
            <w:tcW w:w="1418" w:type="dxa"/>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 xml:space="preserve"> </w:t>
            </w:r>
            <w:r>
              <w:rPr>
                <w:rFonts w:ascii="Times New Roman" w:hAnsi="Times New Roman" w:eastAsia="宋体" w:cs="Times New Roman"/>
                <w:sz w:val="16"/>
                <w:szCs w:val="16"/>
              </w:rPr>
              <w:t>26</w:t>
            </w:r>
          </w:p>
        </w:tc>
        <w:tc>
          <w:tcPr>
            <w:tcW w:w="1276" w:type="dxa"/>
          </w:tcPr>
          <w:p>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2</w:t>
            </w:r>
            <w:r>
              <w:rPr>
                <w:rFonts w:ascii="Times New Roman" w:hAnsi="Times New Roman" w:eastAsia="宋体" w:cs="Times New Roman"/>
                <w:sz w:val="16"/>
                <w:szCs w:val="16"/>
              </w:rPr>
              <w:t>0</w:t>
            </w:r>
          </w:p>
        </w:tc>
        <w:tc>
          <w:tcPr>
            <w:tcW w:w="1134" w:type="dxa"/>
          </w:tcPr>
          <w:p>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3</w:t>
            </w:r>
            <w:r>
              <w:rPr>
                <w:rFonts w:ascii="Times New Roman" w:hAnsi="Times New Roman" w:eastAsia="宋体" w:cs="Times New Roman"/>
                <w:sz w:val="16"/>
                <w:szCs w:val="16"/>
              </w:rPr>
              <w:t>3</w:t>
            </w:r>
          </w:p>
        </w:tc>
        <w:tc>
          <w:tcPr>
            <w:tcW w:w="1276" w:type="dxa"/>
            <w:tcBorders>
              <w:right w:val="nil"/>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w:t>
            </w:r>
            <w:r>
              <w:rPr>
                <w:rFonts w:ascii="Times New Roman" w:hAnsi="Times New Roman" w:eastAsia="宋体" w:cs="Times New Roman"/>
                <w:sz w:val="16"/>
                <w:szCs w:val="16"/>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87.5%</w:t>
            </w:r>
          </w:p>
        </w:tc>
        <w:tc>
          <w:tcPr>
            <w:tcW w:w="1418"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92.85%</w:t>
            </w:r>
          </w:p>
        </w:tc>
        <w:tc>
          <w:tcPr>
            <w:tcW w:w="1276"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80.33%</w:t>
            </w:r>
          </w:p>
        </w:tc>
        <w:tc>
          <w:tcPr>
            <w:tcW w:w="1134"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91.67%</w:t>
            </w:r>
          </w:p>
        </w:tc>
        <w:tc>
          <w:tcPr>
            <w:tcW w:w="1276" w:type="dxa"/>
            <w:tcBorders>
              <w:bottom w:val="double" w:color="auto" w:sz="4" w:space="0"/>
              <w:righ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89.50%</w:t>
            </w:r>
          </w:p>
        </w:tc>
      </w:tr>
      <w:bookmarkEnd w:id="39"/>
    </w:tbl>
    <w:p>
      <w:pPr>
        <w:spacing w:line="560" w:lineRule="exact"/>
        <w:ind w:firstLine="472" w:firstLineChars="200"/>
        <w:outlineLvl w:val="0"/>
        <w:rPr>
          <w:rFonts w:ascii="黑体" w:hAnsi="黑体" w:eastAsia="黑体" w:cs="Times New Roman"/>
          <w:b/>
          <w:bCs/>
          <w:sz w:val="24"/>
          <w:szCs w:val="24"/>
        </w:rPr>
      </w:pPr>
      <w:bookmarkStart w:id="40" w:name="_Toc15151"/>
    </w:p>
    <w:p>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四、绩效评价指标分析</w:t>
      </w:r>
      <w:bookmarkEnd w:id="40"/>
    </w:p>
    <w:p>
      <w:pPr>
        <w:spacing w:line="560" w:lineRule="exact"/>
        <w:ind w:firstLine="472" w:firstLineChars="200"/>
        <w:outlineLvl w:val="1"/>
        <w:rPr>
          <w:rFonts w:ascii="楷体_GB2312" w:hAnsi="Times New Roman" w:eastAsia="楷体_GB2312" w:cs="Times New Roman"/>
          <w:sz w:val="24"/>
          <w:szCs w:val="24"/>
        </w:rPr>
      </w:pPr>
      <w:bookmarkStart w:id="41" w:name="_Toc17424"/>
      <w:r>
        <w:rPr>
          <w:rFonts w:hint="eastAsia" w:ascii="楷体_GB2312" w:hAnsi="Times New Roman" w:eastAsia="楷体_GB2312" w:cs="Times New Roman"/>
          <w:sz w:val="24"/>
          <w:szCs w:val="24"/>
        </w:rPr>
        <w:t>（一）项目决策情况</w:t>
      </w:r>
      <w:bookmarkEnd w:id="41"/>
    </w:p>
    <w:p>
      <w:pPr>
        <w:spacing w:line="560" w:lineRule="exact"/>
        <w:ind w:firstLine="472" w:firstLineChars="200"/>
        <w:rPr>
          <w:rFonts w:ascii="仿宋_GB2312" w:hAnsi="Times New Roman" w:eastAsia="仿宋_GB2312" w:cs="Times New Roman"/>
          <w:sz w:val="24"/>
          <w:szCs w:val="24"/>
        </w:rPr>
      </w:pPr>
      <w:bookmarkStart w:id="42"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12分，得分</w:t>
      </w:r>
      <w:r>
        <w:rPr>
          <w:rFonts w:ascii="仿宋_GB2312" w:hAnsi="Times New Roman" w:eastAsia="仿宋_GB2312" w:cs="Times New Roman"/>
          <w:sz w:val="24"/>
          <w:szCs w:val="24"/>
        </w:rPr>
        <w:t>10.5</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87.50</w:t>
      </w:r>
      <w:r>
        <w:rPr>
          <w:rFonts w:hint="eastAsia" w:ascii="仿宋_GB2312" w:hAnsi="Times New Roman" w:eastAsia="仿宋_GB2312" w:cs="Times New Roman"/>
          <w:sz w:val="24"/>
          <w:szCs w:val="24"/>
        </w:rPr>
        <w:t>%。主要问题在于设定的部分绩效目标较为简单、笼统，未根据项目实际对产出和效益进行量化、细化，多数为泛化的定性指标，评价依据不清，标准不明确，缺少科学合理的衡量标准：</w:t>
      </w:r>
    </w:p>
    <w:p>
      <w:pPr>
        <w:spacing w:line="560" w:lineRule="exact"/>
        <w:ind w:firstLine="2124" w:firstLineChars="900"/>
        <w:rPr>
          <w:rFonts w:ascii="仿宋_GB2312" w:hAnsi="Times New Roman" w:eastAsia="仿宋_GB2312" w:cs="Times New Roman"/>
          <w:b/>
          <w:bCs/>
          <w:color w:val="FF0000"/>
          <w:sz w:val="24"/>
          <w:szCs w:val="24"/>
        </w:rPr>
      </w:pPr>
      <w:r>
        <w:rPr>
          <w:rFonts w:hint="eastAsia" w:ascii="仿宋_GB2312" w:hAnsi="Times New Roman" w:eastAsia="仿宋_GB2312" w:cs="Times New Roman"/>
          <w:b/>
          <w:bCs/>
          <w:sz w:val="24"/>
          <w:szCs w:val="24"/>
        </w:rPr>
        <w:t xml:space="preserve">  决策类指标评分情况</w:t>
      </w:r>
    </w:p>
    <w:tbl>
      <w:tblPr>
        <w:tblStyle w:val="13"/>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2674"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700" w:type="dxa"/>
            <w:tcBorders>
              <w:top w:val="double" w:color="auto" w:sz="4" w:space="0"/>
              <w:bottom w:val="single" w:color="auto" w:sz="4" w:space="0"/>
              <w:right w:val="nil"/>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项目立项</w:t>
            </w:r>
          </w:p>
        </w:tc>
        <w:tc>
          <w:tcPr>
            <w:tcW w:w="2674"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立项依据充分性</w:t>
            </w:r>
          </w:p>
        </w:tc>
        <w:tc>
          <w:tcPr>
            <w:tcW w:w="1134" w:type="dxa"/>
            <w:tcBorders>
              <w:top w:val="single" w:color="auto" w:sz="4" w:space="0"/>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700"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立项程序规范性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w:t>
            </w: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绩效目标合理性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绩效指标明确性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r>
              <w:rPr>
                <w:rFonts w:hint="eastAsia" w:ascii="Times New Roman" w:hAnsi="Times New Roman" w:eastAsia="宋体" w:cs="Times New Roman"/>
                <w:sz w:val="16"/>
                <w:szCs w:val="16"/>
                <w:lang w:val="en-US" w:eastAsia="zh-CN"/>
              </w:rPr>
              <w:t>.</w:t>
            </w:r>
            <w:r>
              <w:rPr>
                <w:rFonts w:ascii="Times New Roman" w:hAnsi="Times New Roman" w:eastAsia="宋体" w:cs="Times New Roman"/>
                <w:sz w:val="16"/>
                <w:szCs w:val="16"/>
              </w:rPr>
              <w:t>5</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资金投入</w:t>
            </w: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预算编制科学性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资金分配合理性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12</w:t>
            </w:r>
            <w:r>
              <w:rPr>
                <w:rFonts w:ascii="Times New Roman" w:hAnsi="Times New Roman" w:eastAsia="宋体" w:cs="Times New Roman"/>
                <w:b/>
                <w:bCs/>
                <w:sz w:val="16"/>
                <w:szCs w:val="16"/>
              </w:rPr>
              <w:fldChar w:fldCharType="end"/>
            </w:r>
          </w:p>
        </w:tc>
        <w:tc>
          <w:tcPr>
            <w:tcW w:w="1134" w:type="dxa"/>
            <w:tcBorders>
              <w:bottom w:val="doub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10.5</w:t>
            </w:r>
            <w:r>
              <w:rPr>
                <w:rFonts w:ascii="Times New Roman" w:hAnsi="Times New Roman" w:eastAsia="宋体" w:cs="Times New Roman"/>
                <w:b/>
                <w:bCs/>
                <w:sz w:val="16"/>
                <w:szCs w:val="16"/>
              </w:rPr>
              <w:fldChar w:fldCharType="end"/>
            </w:r>
            <w:r>
              <w:rPr>
                <w:rFonts w:ascii="Times New Roman" w:hAnsi="Times New Roman" w:eastAsia="宋体" w:cs="Times New Roman"/>
                <w:b/>
                <w:bCs/>
                <w:sz w:val="16"/>
                <w:szCs w:val="16"/>
              </w:rPr>
              <w:t>0</w:t>
            </w:r>
          </w:p>
        </w:tc>
        <w:tc>
          <w:tcPr>
            <w:tcW w:w="1700" w:type="dxa"/>
            <w:tcBorders>
              <w:bottom w:val="doub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87.50%</w:t>
            </w:r>
          </w:p>
        </w:tc>
      </w:tr>
      <w:bookmarkEnd w:id="42"/>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评分情况：本项目立项</w:t>
      </w:r>
      <w:bookmarkStart w:id="43" w:name="_Hlk149173295"/>
      <w:r>
        <w:rPr>
          <w:rFonts w:hint="eastAsia" w:ascii="仿宋_GB2312" w:hAnsi="Times New Roman" w:eastAsia="仿宋_GB2312" w:cs="Times New Roman"/>
          <w:sz w:val="24"/>
          <w:szCs w:val="24"/>
        </w:rPr>
        <w:t>通过</w:t>
      </w:r>
      <w:r>
        <w:rPr>
          <w:rFonts w:ascii="仿宋_GB2312" w:hAnsi="Times New Roman" w:eastAsia="仿宋_GB2312" w:cs="Times New Roman"/>
          <w:sz w:val="24"/>
          <w:szCs w:val="24"/>
        </w:rPr>
        <w:t>县政府财经联席会议</w:t>
      </w:r>
      <w:bookmarkEnd w:id="43"/>
      <w:r>
        <w:rPr>
          <w:rFonts w:ascii="仿宋_GB2312" w:hAnsi="Times New Roman" w:eastAsia="仿宋_GB2312" w:cs="Times New Roman"/>
          <w:sz w:val="24"/>
          <w:szCs w:val="24"/>
        </w:rPr>
        <w:t>办公室</w:t>
      </w:r>
      <w:r>
        <w:rPr>
          <w:rFonts w:hint="eastAsia" w:ascii="仿宋_GB2312" w:hAnsi="Times New Roman" w:eastAsia="仿宋_GB2312" w:cs="Times New Roman"/>
          <w:sz w:val="24"/>
          <w:szCs w:val="24"/>
        </w:rPr>
        <w:t>《财经联席会议纪要</w:t>
      </w:r>
      <w:r>
        <w:rPr>
          <w:rFonts w:ascii="仿宋_GB2312" w:hAnsi="Times New Roman" w:eastAsia="仿宋_GB2312" w:cs="Times New Roman"/>
          <w:sz w:val="24"/>
          <w:szCs w:val="24"/>
        </w:rPr>
        <w:t>(2022年第9次会议)</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2022年11月29日</w:t>
      </w:r>
      <w:r>
        <w:rPr>
          <w:rFonts w:hint="eastAsia" w:ascii="仿宋_GB2312" w:hAnsi="Times New Roman" w:eastAsia="仿宋_GB2312" w:cs="Times New Roman"/>
          <w:sz w:val="24"/>
          <w:szCs w:val="24"/>
        </w:rPr>
        <w:t>会议听取并原则同意县财政局关于拨付蚌埠农业科技园建设资金的报告。</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项目立项符合法律法规及相关政策的规定，立期依据充分，该项满分1分，得1分，得分率100.00%。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w:t>
      </w:r>
      <w:r>
        <w:rPr>
          <w:rFonts w:ascii="仿宋_GB2312" w:hAnsi="Times New Roman" w:eastAsia="仿宋_GB2312" w:cs="Times New Roman"/>
          <w:sz w:val="24"/>
          <w:szCs w:val="24"/>
        </w:rPr>
        <w:t>2022 年度</w:t>
      </w:r>
      <w:r>
        <w:rPr>
          <w:rFonts w:hint="eastAsia" w:ascii="仿宋_GB2312" w:hAnsi="Times New Roman" w:eastAsia="仿宋_GB2312" w:cs="Times New Roman"/>
          <w:sz w:val="24"/>
          <w:szCs w:val="24"/>
        </w:rPr>
        <w:t>蚌</w:t>
      </w:r>
      <w:r>
        <w:rPr>
          <w:rFonts w:ascii="仿宋_GB2312" w:hAnsi="Times New Roman" w:eastAsia="仿宋_GB2312" w:cs="Times New Roman"/>
          <w:sz w:val="24"/>
          <w:szCs w:val="24"/>
        </w:rPr>
        <w:t>埠农业科技园管理委员会实施核心区和石榴基地建设发展资金项目申请、设立过程符合相关要求</w:t>
      </w:r>
      <w:r>
        <w:rPr>
          <w:rFonts w:hint="eastAsia" w:ascii="仿宋_GB2312" w:hAnsi="Times New Roman" w:eastAsia="仿宋_GB2312" w:cs="Times New Roman"/>
          <w:sz w:val="24"/>
          <w:szCs w:val="24"/>
        </w:rPr>
        <w:t>，用以反映和考核项目立项的规范情况。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年度蚌埠农业科技园管理委员会实施核心区和石榴基地建设发展资金项目符合法律法规、相关政策、发展规划以及部门职责</w:t>
      </w:r>
      <w:r>
        <w:rPr>
          <w:rFonts w:hint="eastAsia" w:ascii="仿宋_GB2312" w:hAnsi="Times New Roman" w:eastAsia="仿宋_GB2312" w:cs="Times New Roman"/>
          <w:sz w:val="24"/>
          <w:szCs w:val="24"/>
        </w:rPr>
        <w:t>；怀远县政府财经联席会议，听取并原则同意财政局关于拨付蚌埠农业科技园建设资金预算金额</w:t>
      </w:r>
      <w:r>
        <w:rPr>
          <w:rFonts w:ascii="仿宋_GB2312" w:hAnsi="Times New Roman" w:eastAsia="仿宋_GB2312" w:cs="Times New Roman"/>
          <w:sz w:val="24"/>
          <w:szCs w:val="24"/>
        </w:rPr>
        <w:t>1000</w:t>
      </w:r>
      <w:r>
        <w:rPr>
          <w:rFonts w:hint="eastAsia" w:ascii="仿宋_GB2312" w:hAnsi="Times New Roman" w:eastAsia="仿宋_GB2312" w:cs="Times New Roman"/>
          <w:sz w:val="24"/>
          <w:szCs w:val="24"/>
        </w:rPr>
        <w:t>万元。</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本项目按照规定的程序申请设立，取得符合要求的项目立项批复文件，该项满分1分，得1分，得分率100.00%。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w:t>
      </w:r>
      <w:r>
        <w:rPr>
          <w:rFonts w:ascii="仿宋_GB2312" w:hAnsi="Times New Roman" w:eastAsia="仿宋_GB2312" w:cs="Times New Roman"/>
          <w:sz w:val="24"/>
          <w:szCs w:val="24"/>
        </w:rPr>
        <w:t>2022 年度蚌埠农业科技园管理委员会实施核心区和石榴基地建设发展资金项目</w:t>
      </w:r>
      <w:r>
        <w:rPr>
          <w:rFonts w:hint="eastAsia" w:ascii="仿宋_GB2312" w:hAnsi="Times New Roman" w:eastAsia="仿宋_GB2312" w:cs="Times New Roman"/>
          <w:sz w:val="24"/>
          <w:szCs w:val="24"/>
        </w:rPr>
        <w:t>目标是否依据充分，是否符合客观实际，用以反映和考核项目绩效目标与项目实施的相符情况。</w:t>
      </w:r>
    </w:p>
    <w:p>
      <w:pPr>
        <w:spacing w:line="560" w:lineRule="exact"/>
        <w:ind w:firstLine="472" w:firstLineChars="200"/>
        <w:rPr>
          <w:rFonts w:ascii="仿宋_GB2312" w:hAnsi="Times New Roman" w:eastAsia="仿宋_GB2312" w:cs="Times New Roman"/>
          <w:sz w:val="24"/>
          <w:szCs w:val="24"/>
        </w:rPr>
      </w:pPr>
      <w:bookmarkStart w:id="44" w:name="_Hlk79766109"/>
      <w:r>
        <w:rPr>
          <w:rFonts w:hint="eastAsia" w:ascii="仿宋_GB2312" w:hAnsi="Times New Roman" w:eastAsia="仿宋_GB2312" w:cs="Times New Roman"/>
          <w:sz w:val="24"/>
          <w:szCs w:val="24"/>
        </w:rPr>
        <w:t>评分情况：</w:t>
      </w:r>
      <w:bookmarkEnd w:id="44"/>
      <w:r>
        <w:rPr>
          <w:rFonts w:hint="eastAsia" w:ascii="仿宋_GB2312" w:hAnsi="Times New Roman" w:eastAsia="仿宋_GB2312" w:cs="Times New Roman"/>
          <w:sz w:val="24"/>
          <w:szCs w:val="24"/>
        </w:rPr>
        <w:t>项目所设定的绩效目标依据充分，符合客观实际，与项目实施的相符。该项满分3分，实际得分3分，得分率100%。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4.绩效指标明确性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指标解释：依据绩效目标设定的绩效指标是否清晰、细化、可衡量等，用以反映和考核项目绩效目标的明细化情况。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年度蚌埠农业科技园管理委员会实施核心区和石榴基地建设发展资金项目，</w:t>
      </w:r>
      <w:r>
        <w:rPr>
          <w:rFonts w:hint="eastAsia" w:ascii="仿宋_GB2312" w:hAnsi="Times New Roman" w:eastAsia="仿宋_GB2312" w:cs="Times New Roman"/>
          <w:sz w:val="24"/>
          <w:szCs w:val="24"/>
        </w:rPr>
        <w:t>绩效目标较为简单，未根据项目实际对产出和效益进行量化、细化，多数为泛化的定性指标；如效益指标实际产生的具体效益情况，指标过于简洁，缺乏量化的数据进行支撑。根据评价标准，该项满分3分，得1.</w:t>
      </w:r>
      <w:r>
        <w:rPr>
          <w:rFonts w:ascii="仿宋_GB2312" w:hAnsi="Times New Roman" w:eastAsia="仿宋_GB2312" w:cs="Times New Roman"/>
          <w:sz w:val="24"/>
          <w:szCs w:val="24"/>
        </w:rPr>
        <w:t>5</w:t>
      </w:r>
      <w:r>
        <w:rPr>
          <w:rFonts w:hint="eastAsia" w:ascii="仿宋_GB2312" w:hAnsi="Times New Roman" w:eastAsia="仿宋_GB2312" w:cs="Times New Roman"/>
          <w:sz w:val="24"/>
          <w:szCs w:val="24"/>
        </w:rPr>
        <w:t>分，得分率为</w:t>
      </w:r>
      <w:r>
        <w:rPr>
          <w:rFonts w:ascii="仿宋_GB2312" w:hAnsi="Times New Roman" w:eastAsia="仿宋_GB2312" w:cs="Times New Roman"/>
          <w:sz w:val="24"/>
          <w:szCs w:val="24"/>
        </w:rPr>
        <w:t>50</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5.预算编制科学性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指标解释：项目预算编制是否经过科学论证、有明确标准、资金额度与年度目标是否相适应，用以反映和考核项目预算编制的科学性、合理性情况。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w:t>
      </w:r>
      <w:r>
        <w:rPr>
          <w:rFonts w:hint="eastAsia" w:ascii="仿宋_GB2312" w:hAnsi="Times New Roman" w:eastAsia="仿宋_GB2312" w:cs="Times New Roman"/>
          <w:sz w:val="24"/>
          <w:szCs w:val="24"/>
        </w:rPr>
        <w:t>据以往的支出决算测算得出各项经费标准，预算内容与项目内容匹配，预算额度测算依据充分，按照标准编制，与202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年目标相适应。</w:t>
      </w:r>
      <w:bookmarkStart w:id="45" w:name="_Hlk79831575"/>
      <w:r>
        <w:rPr>
          <w:rFonts w:hint="eastAsia" w:ascii="仿宋_GB2312" w:hAnsi="Times New Roman" w:eastAsia="仿宋_GB2312" w:cs="Times New Roman"/>
          <w:sz w:val="24"/>
          <w:szCs w:val="24"/>
        </w:rPr>
        <w:t>依据评分标准，该项满分2分，得2分，得分率100.00%。</w:t>
      </w:r>
    </w:p>
    <w:bookmarkEnd w:id="45"/>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6.资金分配合理性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指标解释：项目是否有测算依据、与补助单位或地方实际是否相适应，用以反映和考核项目预算资金分配的科学性、合理性情况。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bookmarkStart w:id="46" w:name="_Hlk149174117"/>
      <w:r>
        <w:rPr>
          <w:rFonts w:ascii="仿宋_GB2312" w:hAnsi="Times New Roman" w:eastAsia="仿宋_GB2312" w:cs="Times New Roman"/>
          <w:sz w:val="24"/>
          <w:szCs w:val="24"/>
        </w:rPr>
        <w:t>2022 年度蚌埠农业科技园管理委员会实施核心区和石榴基地建设发展资金</w:t>
      </w:r>
      <w:bookmarkEnd w:id="46"/>
      <w:r>
        <w:rPr>
          <w:rFonts w:hint="eastAsia" w:ascii="仿宋_GB2312" w:hAnsi="Times New Roman" w:eastAsia="仿宋_GB2312" w:cs="Times New Roman"/>
          <w:sz w:val="24"/>
          <w:szCs w:val="24"/>
        </w:rPr>
        <w:t>；该项目资金分配有测算依据，资金分配科学合理。依据评分标准，该项满分2分，得2分，得分率100.00%。</w:t>
      </w:r>
    </w:p>
    <w:p>
      <w:pPr>
        <w:spacing w:line="560" w:lineRule="exact"/>
        <w:ind w:firstLine="472" w:firstLineChars="200"/>
        <w:outlineLvl w:val="1"/>
        <w:rPr>
          <w:rFonts w:ascii="楷体_GB2312" w:hAnsi="Times New Roman" w:eastAsia="楷体_GB2312" w:cs="Times New Roman"/>
          <w:sz w:val="24"/>
          <w:szCs w:val="24"/>
        </w:rPr>
      </w:pPr>
      <w:bookmarkStart w:id="47" w:name="_Toc31012"/>
      <w:r>
        <w:rPr>
          <w:rFonts w:hint="eastAsia" w:ascii="楷体_GB2312" w:hAnsi="Times New Roman" w:eastAsia="楷体_GB2312" w:cs="Times New Roman"/>
          <w:sz w:val="24"/>
          <w:szCs w:val="24"/>
        </w:rPr>
        <w:t>（二）项目过程情况</w:t>
      </w:r>
      <w:bookmarkEnd w:id="4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26分，得分率92.85%%。主要问题在于绩效指标设置不明确、不规范，绩效自评内容不完整，填写不规范，自评结论不能够真实准确反映项目实际完成情况：</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pPr>
              <w:spacing w:line="560" w:lineRule="exact"/>
              <w:ind w:left="155" w:hanging="155" w:hangingChars="99"/>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195"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308" w:type="dxa"/>
            <w:tcBorders>
              <w:top w:val="double" w:color="auto" w:sz="4" w:space="0"/>
              <w:bottom w:val="single" w:color="auto" w:sz="4" w:space="0"/>
              <w:right w:val="nil"/>
            </w:tcBorders>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43" w:type="dxa"/>
            <w:tcBorders>
              <w:top w:val="double" w:color="auto" w:sz="4" w:space="0"/>
              <w:bottom w:val="single" w:color="auto" w:sz="4" w:space="0"/>
              <w:right w:val="nil"/>
            </w:tcBorders>
            <w:vAlign w:val="center"/>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418"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资金管理</w:t>
            </w:r>
          </w:p>
        </w:tc>
        <w:tc>
          <w:tcPr>
            <w:tcW w:w="3195"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资金到位率</w:t>
            </w:r>
          </w:p>
        </w:tc>
        <w:tc>
          <w:tcPr>
            <w:tcW w:w="1308"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top w:val="single" w:color="auto" w:sz="4" w:space="0"/>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资金拨付及时性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预算执行率</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资金使用合规性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绩效自评内容准确完整性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绩效自评结论真实性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组织实施</w:t>
            </w: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管理制度健全性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制度执行有效性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30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28</w:t>
            </w:r>
            <w:r>
              <w:rPr>
                <w:rFonts w:ascii="Times New Roman" w:hAnsi="Times New Roman" w:eastAsia="宋体" w:cs="Times New Roman"/>
                <w:b/>
                <w:bCs/>
                <w:sz w:val="16"/>
                <w:szCs w:val="16"/>
              </w:rPr>
              <w:fldChar w:fldCharType="end"/>
            </w:r>
          </w:p>
        </w:tc>
        <w:tc>
          <w:tcPr>
            <w:tcW w:w="1243" w:type="dxa"/>
            <w:tcBorders>
              <w:bottom w:val="double" w:color="auto" w:sz="4" w:space="0"/>
              <w:right w:val="nil"/>
            </w:tcBorders>
            <w:vAlign w:val="center"/>
          </w:tcPr>
          <w:p>
            <w:pPr>
              <w:spacing w:line="560" w:lineRule="exact"/>
              <w:ind w:firstLine="156" w:firstLineChars="100"/>
              <w:rPr>
                <w:rFonts w:ascii="Times New Roman" w:hAnsi="Times New Roman" w:eastAsia="宋体" w:cs="Times New Roman"/>
                <w:b/>
                <w:bCs/>
                <w:sz w:val="16"/>
                <w:szCs w:val="16"/>
              </w:rPr>
            </w:pPr>
            <w:r>
              <w:rPr>
                <w:rFonts w:hint="eastAsia" w:ascii="Times New Roman" w:hAnsi="Times New Roman" w:eastAsia="宋体" w:cs="Times New Roman"/>
                <w:b/>
                <w:bCs/>
                <w:sz w:val="16"/>
                <w:szCs w:val="16"/>
              </w:rPr>
              <w:t>26</w:t>
            </w:r>
          </w:p>
        </w:tc>
        <w:tc>
          <w:tcPr>
            <w:tcW w:w="141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hint="eastAsia" w:ascii="Times New Roman" w:hAnsi="Times New Roman" w:eastAsia="宋体" w:cs="Times New Roman"/>
                <w:b/>
                <w:bCs/>
                <w:sz w:val="16"/>
                <w:szCs w:val="16"/>
              </w:rPr>
              <w:t>92</w:t>
            </w:r>
            <w:r>
              <w:rPr>
                <w:rFonts w:ascii="Times New Roman" w:hAnsi="Times New Roman" w:eastAsia="宋体" w:cs="Times New Roman"/>
                <w:b/>
                <w:bCs/>
                <w:sz w:val="16"/>
                <w:szCs w:val="16"/>
              </w:rPr>
              <w:t>.</w:t>
            </w:r>
            <w:r>
              <w:rPr>
                <w:rFonts w:hint="eastAsia" w:ascii="Times New Roman" w:hAnsi="Times New Roman" w:eastAsia="宋体" w:cs="Times New Roman"/>
                <w:b/>
                <w:bCs/>
                <w:sz w:val="16"/>
                <w:szCs w:val="16"/>
              </w:rPr>
              <w:t>85</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1.资金到位率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指标解释：实际到位资金与预算资金的比例，用以反映和考核资金落实情况对项目实施的总体保障程度。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评分情况：《怀远县财经联席会议纪要》会议听取并原则同意县财政局关于拨付蚌埠农业科技园建设资金1</w:t>
      </w:r>
      <w:r>
        <w:rPr>
          <w:rFonts w:ascii="仿宋_GB2312" w:hAnsi="Times New Roman" w:eastAsia="仿宋_GB2312" w:cs="Times New Roman"/>
          <w:sz w:val="24"/>
          <w:szCs w:val="24"/>
        </w:rPr>
        <w:t>00</w:t>
      </w:r>
      <w:r>
        <w:rPr>
          <w:rFonts w:hint="eastAsia" w:ascii="仿宋_GB2312" w:hAnsi="Times New Roman" w:eastAsia="仿宋_GB2312" w:cs="Times New Roman"/>
          <w:sz w:val="24"/>
          <w:szCs w:val="24"/>
        </w:rPr>
        <w:t>0万元，资金到位率为 100%。根据评价标准，该项满分2分，得2分，得分率100.00%。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2.资金拨付及时性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指标解释：项目资金是否按照依法依规及时拨付，用以反映和考核项目资金拨付时效情况。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评分情况：怀远县财政局于 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 xml:space="preserve"> 年1</w:t>
      </w:r>
      <w:r>
        <w:rPr>
          <w:rFonts w:ascii="仿宋_GB2312" w:hAnsi="Times New Roman" w:eastAsia="仿宋_GB2312" w:cs="Times New Roman"/>
          <w:sz w:val="24"/>
          <w:szCs w:val="24"/>
        </w:rPr>
        <w:t>1</w:t>
      </w:r>
      <w:r>
        <w:rPr>
          <w:rFonts w:hint="eastAsia" w:ascii="仿宋_GB2312" w:hAnsi="Times New Roman" w:eastAsia="仿宋_GB2312" w:cs="Times New Roman"/>
          <w:sz w:val="24"/>
          <w:szCs w:val="24"/>
        </w:rPr>
        <w:t>月申请拨付</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0万元，按月申请后及时拨付，无滞后现象。根据评价标准，该项满分2分，得2分，得分率100.00%。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3.预算执行率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指标解释：项目预算资金是否按照计划执行，用以反映或考核项目预算执行情况。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评分情况：县科技园202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w:t>
      </w:r>
      <w:r>
        <w:rPr>
          <w:rFonts w:ascii="仿宋_GB2312" w:hAnsi="Times New Roman" w:eastAsia="仿宋_GB2312" w:cs="Times New Roman"/>
          <w:sz w:val="24"/>
          <w:szCs w:val="24"/>
        </w:rPr>
        <w:t>蚌埠农业科技园管理委员会实施核心区和石榴基地建设发展资金</w:t>
      </w:r>
      <w:r>
        <w:rPr>
          <w:rFonts w:hint="eastAsia" w:ascii="仿宋_GB2312" w:hAnsi="Times New Roman" w:eastAsia="仿宋_GB2312" w:cs="Times New Roman"/>
          <w:sz w:val="24"/>
          <w:szCs w:val="24"/>
        </w:rPr>
        <w:t>预算金额</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0万元，预算执行率100.00%。根据评价标准，该项满分2分，得2分，得分率100.00%。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4.资金使用合规性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val="en-US" w:eastAsia="zh-CN"/>
        </w:rPr>
        <w:t>项目</w:t>
      </w:r>
      <w:r>
        <w:rPr>
          <w:rFonts w:hint="eastAsia" w:ascii="仿宋_GB2312" w:hAnsi="Times New Roman" w:eastAsia="仿宋_GB2312" w:cs="Times New Roman"/>
          <w:sz w:val="24"/>
          <w:szCs w:val="24"/>
        </w:rPr>
        <w:t>资金使用符合相关财务制度的规定，审批程序和手续完整，能够做到专款专用，未发现截留、挤占、挪用、虚列开支等情况。该项指标满分4分，得4分，得分率100%。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5.绩效自评内容准确完整性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指标解释：是否对设定的绩效目标指标值均进行了绩效自评，相关数据填写是否规范。</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w:t>
      </w:r>
      <w:r>
        <w:rPr>
          <w:rFonts w:hint="eastAsia" w:ascii="仿宋_GB2312" w:hAnsi="Times New Roman" w:eastAsia="仿宋_GB2312" w:cs="Times New Roman"/>
          <w:sz w:val="24"/>
          <w:szCs w:val="24"/>
        </w:rPr>
        <w:t>绩效目标进行了绩效自评，但由于指标设定不完整，细化、量化程度不高，绩效自评内容过于简单。该项指标满分5分，得4分，得分率80.00%。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6.绩效自评结论真实性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指标解释：绩效自评结论是否与实际数据一致。</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评分情况：绩效自评数据分析较为简单，其他指标设置明确性不强，自评结论未能完全准确反映项目实际完成情况。该项指标满分5分，得</w:t>
      </w:r>
      <w:r>
        <w:rPr>
          <w:rFonts w:ascii="仿宋_GB2312" w:hAnsi="Times New Roman" w:eastAsia="仿宋_GB2312" w:cs="Times New Roman"/>
          <w:sz w:val="24"/>
          <w:szCs w:val="24"/>
        </w:rPr>
        <w:t>4</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80</w:t>
      </w:r>
      <w:r>
        <w:rPr>
          <w:rFonts w:hint="eastAsia" w:ascii="仿宋_GB2312" w:hAnsi="Times New Roman" w:eastAsia="仿宋_GB2312" w:cs="Times New Roman"/>
          <w:sz w:val="24"/>
          <w:szCs w:val="24"/>
        </w:rPr>
        <w:t>.00%。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7.管理制度健全性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评分情况：管理制度健全，有完善的内控制度、收支业务管理制度、合同管理办法、预算管理制度。该项指标满分4分，得4分，得分率100.00%。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8.制度执行有效性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评分情况：所有的资金使用严格执行相关审批制度和财务制度，业务管理制度也得到有效执行。该项指标满分4分，得4分，得分率100.00%。</w:t>
      </w:r>
    </w:p>
    <w:p>
      <w:pPr>
        <w:spacing w:line="560" w:lineRule="exact"/>
        <w:ind w:firstLine="472" w:firstLineChars="200"/>
        <w:outlineLvl w:val="1"/>
        <w:rPr>
          <w:rFonts w:ascii="楷体_GB2312" w:hAnsi="Times New Roman" w:eastAsia="楷体_GB2312" w:cs="Times New Roman"/>
          <w:sz w:val="24"/>
          <w:szCs w:val="24"/>
        </w:rPr>
      </w:pPr>
      <w:bookmarkStart w:id="48" w:name="_Toc14450"/>
      <w:r>
        <w:rPr>
          <w:rFonts w:hint="eastAsia" w:ascii="楷体_GB2312" w:hAnsi="Times New Roman" w:eastAsia="楷体_GB2312" w:cs="Times New Roman"/>
          <w:sz w:val="24"/>
          <w:szCs w:val="24"/>
        </w:rPr>
        <w:t>（三）项目产出情况</w:t>
      </w:r>
      <w:bookmarkEnd w:id="4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项目产出的评价指标包括产出数量、产出质量、产出时效、产出成本四项二级指标，</w:t>
      </w:r>
      <w:r>
        <w:rPr>
          <w:rFonts w:ascii="仿宋_GB2312" w:hAnsi="Times New Roman" w:eastAsia="仿宋_GB2312" w:cs="Times New Roman"/>
          <w:sz w:val="24"/>
          <w:szCs w:val="24"/>
        </w:rPr>
        <w:t>2022 年度蚌埠农业科技园管理委员会实施核心区和石榴基地建设发展资金项目进行绩效评价</w:t>
      </w:r>
      <w:r>
        <w:rPr>
          <w:rFonts w:hint="eastAsia" w:ascii="仿宋_GB2312" w:hAnsi="Times New Roman" w:eastAsia="仿宋_GB2312" w:cs="Times New Roman"/>
          <w:sz w:val="24"/>
          <w:szCs w:val="24"/>
        </w:rPr>
        <w:t>共涉及数量、质量、时效、成本指标、各项任务完成及时性、预算控制率4个三级指标。“项目产出”总分24分，得分20分，得分率83.33%。</w:t>
      </w:r>
      <w:bookmarkStart w:id="49" w:name="_Hlk80115348"/>
      <w:r>
        <w:rPr>
          <w:rFonts w:hint="eastAsia" w:ascii="仿宋_GB2312" w:hAnsi="Times New Roman" w:eastAsia="仿宋_GB2312" w:cs="Times New Roman"/>
          <w:sz w:val="24"/>
          <w:szCs w:val="24"/>
        </w:rPr>
        <w:t>主要问题在</w:t>
      </w:r>
      <w:bookmarkEnd w:id="49"/>
      <w:r>
        <w:rPr>
          <w:rFonts w:hint="eastAsia" w:ascii="仿宋_GB2312" w:hAnsi="Times New Roman" w:eastAsia="仿宋_GB2312" w:cs="Times New Roman"/>
          <w:sz w:val="24"/>
          <w:szCs w:val="24"/>
        </w:rPr>
        <w:t>于</w:t>
      </w:r>
      <w:r>
        <w:rPr>
          <w:rFonts w:hint="eastAsia" w:ascii="仿宋_GB2312" w:hAnsi="Times New Roman" w:eastAsia="仿宋_GB2312" w:cs="Times New Roman"/>
          <w:sz w:val="24"/>
          <w:szCs w:val="24"/>
          <w:lang w:val="en-US" w:eastAsia="zh-CN"/>
        </w:rPr>
        <w:t>完成质量上没能达标</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color w:val="FF0000"/>
          <w:sz w:val="24"/>
          <w:szCs w:val="24"/>
        </w:rPr>
      </w:pPr>
      <w:r>
        <w:rPr>
          <w:rFonts w:hint="eastAsia" w:ascii="仿宋_GB2312" w:hAnsi="Times New Roman" w:eastAsia="仿宋_GB2312" w:cs="Times New Roman"/>
          <w:b/>
          <w:bCs/>
          <w:sz w:val="24"/>
          <w:szCs w:val="24"/>
        </w:rPr>
        <w:t>过程类指标评分情况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402"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pPr>
              <w:spacing w:line="560" w:lineRule="exact"/>
              <w:rPr>
                <w:rFonts w:ascii="Times New Roman" w:hAnsi="Times New Roman" w:eastAsia="宋体" w:cs="Times New Roman"/>
                <w:sz w:val="16"/>
                <w:szCs w:val="16"/>
              </w:rPr>
            </w:pPr>
            <w:bookmarkStart w:id="50" w:name="_Hlk149315882"/>
            <w:r>
              <w:rPr>
                <w:rFonts w:ascii="Times New Roman" w:hAnsi="Times New Roman" w:eastAsia="宋体" w:cs="Times New Roman"/>
                <w:sz w:val="16"/>
                <w:szCs w:val="16"/>
              </w:rPr>
              <w:t>产出数量</w:t>
            </w:r>
          </w:p>
        </w:tc>
        <w:tc>
          <w:tcPr>
            <w:tcW w:w="3402" w:type="dxa"/>
            <w:tcBorders>
              <w:top w:val="single" w:color="auto" w:sz="4" w:space="0"/>
            </w:tcBorders>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数量指标</w:t>
            </w:r>
          </w:p>
        </w:tc>
        <w:tc>
          <w:tcPr>
            <w:tcW w:w="1134" w:type="dxa"/>
            <w:tcBorders>
              <w:top w:val="single" w:color="auto" w:sz="4" w:space="0"/>
              <w:right w:val="nil"/>
            </w:tcBorders>
            <w:vAlign w:val="center"/>
          </w:tcPr>
          <w:p>
            <w:pPr>
              <w:spacing w:line="560" w:lineRule="exact"/>
              <w:ind w:firstLine="227" w:firstLineChars="145"/>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6</w:t>
            </w:r>
          </w:p>
        </w:tc>
        <w:tc>
          <w:tcPr>
            <w:tcW w:w="1275" w:type="dxa"/>
            <w:tcBorders>
              <w:top w:val="single" w:color="auto" w:sz="4" w:space="0"/>
              <w:right w:val="nil"/>
            </w:tcBorders>
            <w:vAlign w:val="center"/>
          </w:tcPr>
          <w:p>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6</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bookmarkEnd w:id="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bookmarkStart w:id="51" w:name="_Hlk149224412"/>
            <w:r>
              <w:rPr>
                <w:rFonts w:ascii="Times New Roman" w:hAnsi="Times New Roman" w:eastAsia="宋体" w:cs="Times New Roman"/>
                <w:sz w:val="16"/>
                <w:szCs w:val="16"/>
              </w:rPr>
              <w:t>产出质量</w:t>
            </w:r>
            <w:bookmarkEnd w:id="51"/>
          </w:p>
        </w:tc>
        <w:tc>
          <w:tcPr>
            <w:tcW w:w="3402"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质量</w:t>
            </w:r>
            <w:r>
              <w:rPr>
                <w:rFonts w:hint="eastAsia" w:ascii="Times New Roman" w:hAnsi="Times New Roman" w:eastAsia="宋体" w:cs="Times New Roman"/>
                <w:sz w:val="16"/>
                <w:szCs w:val="16"/>
              </w:rPr>
              <w:t>指标</w:t>
            </w:r>
          </w:p>
        </w:tc>
        <w:tc>
          <w:tcPr>
            <w:tcW w:w="1134" w:type="dxa"/>
            <w:tcBorders>
              <w:right w:val="nil"/>
            </w:tcBorders>
            <w:vAlign w:val="center"/>
          </w:tcPr>
          <w:p>
            <w:pPr>
              <w:spacing w:line="560" w:lineRule="exact"/>
              <w:ind w:firstLine="227" w:firstLineChars="145"/>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w:t>
            </w:r>
          </w:p>
        </w:tc>
        <w:tc>
          <w:tcPr>
            <w:tcW w:w="1275" w:type="dxa"/>
            <w:tcBorders>
              <w:right w:val="nil"/>
            </w:tcBorders>
            <w:vAlign w:val="center"/>
          </w:tcPr>
          <w:p>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4</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5</w:t>
            </w:r>
            <w:r>
              <w:rPr>
                <w:rFonts w:ascii="Times New Roman" w:hAnsi="Times New Roman" w:eastAsia="宋体" w:cs="Times New Roman"/>
                <w:sz w:val="16"/>
                <w:szCs w:val="16"/>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402"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时效</w:t>
            </w:r>
            <w:r>
              <w:rPr>
                <w:rFonts w:hint="eastAsia" w:ascii="Times New Roman" w:hAnsi="Times New Roman" w:eastAsia="宋体" w:cs="Times New Roman"/>
                <w:sz w:val="16"/>
                <w:szCs w:val="16"/>
              </w:rPr>
              <w:t>指标</w:t>
            </w:r>
          </w:p>
        </w:tc>
        <w:tc>
          <w:tcPr>
            <w:tcW w:w="1134" w:type="dxa"/>
            <w:tcBorders>
              <w:right w:val="nil"/>
            </w:tcBorders>
            <w:vAlign w:val="center"/>
          </w:tcPr>
          <w:p>
            <w:pPr>
              <w:spacing w:line="560" w:lineRule="exact"/>
              <w:ind w:firstLine="227" w:firstLineChars="145"/>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275" w:type="dxa"/>
            <w:tcBorders>
              <w:right w:val="nil"/>
            </w:tcBorders>
            <w:vAlign w:val="center"/>
          </w:tcPr>
          <w:p>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402"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成本</w:t>
            </w:r>
            <w:r>
              <w:rPr>
                <w:rFonts w:hint="eastAsia" w:ascii="Times New Roman" w:hAnsi="Times New Roman" w:eastAsia="宋体" w:cs="Times New Roman"/>
                <w:sz w:val="16"/>
                <w:szCs w:val="16"/>
              </w:rPr>
              <w:t>指标</w:t>
            </w:r>
          </w:p>
        </w:tc>
        <w:tc>
          <w:tcPr>
            <w:tcW w:w="1134" w:type="dxa"/>
            <w:tcBorders>
              <w:right w:val="nil"/>
            </w:tcBorders>
            <w:vAlign w:val="center"/>
          </w:tcPr>
          <w:p>
            <w:pPr>
              <w:spacing w:line="560" w:lineRule="exact"/>
              <w:ind w:firstLine="227" w:firstLineChars="145"/>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275" w:type="dxa"/>
            <w:tcBorders>
              <w:right w:val="nil"/>
            </w:tcBorders>
            <w:vAlign w:val="center"/>
          </w:tcPr>
          <w:p>
            <w:pPr>
              <w:spacing w:line="560" w:lineRule="exact"/>
              <w:ind w:firstLine="178" w:firstLineChars="114"/>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pPr>
              <w:spacing w:line="560" w:lineRule="exact"/>
              <w:ind w:firstLine="225" w:firstLineChars="144"/>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24</w:t>
            </w:r>
            <w:r>
              <w:rPr>
                <w:rFonts w:ascii="Times New Roman" w:hAnsi="Times New Roman" w:eastAsia="宋体" w:cs="Times New Roman"/>
                <w:b/>
                <w:bCs/>
                <w:sz w:val="16"/>
                <w:szCs w:val="16"/>
              </w:rPr>
              <w:fldChar w:fldCharType="end"/>
            </w:r>
          </w:p>
        </w:tc>
        <w:tc>
          <w:tcPr>
            <w:tcW w:w="1275"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rPr>
              <w:t>20</w:t>
            </w:r>
          </w:p>
        </w:tc>
        <w:tc>
          <w:tcPr>
            <w:tcW w:w="1560"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rPr>
              <w:t>83</w:t>
            </w:r>
            <w:r>
              <w:rPr>
                <w:rFonts w:ascii="Times New Roman" w:hAnsi="Times New Roman" w:eastAsia="宋体" w:cs="Times New Roman"/>
                <w:b/>
                <w:bCs/>
                <w:sz w:val="16"/>
                <w:szCs w:val="16"/>
              </w:rPr>
              <w:t>.</w:t>
            </w:r>
            <w:r>
              <w:rPr>
                <w:rFonts w:hint="eastAsia" w:ascii="Times New Roman" w:hAnsi="Times New Roman" w:eastAsia="宋体" w:cs="Times New Roman"/>
                <w:b/>
                <w:bCs/>
                <w:sz w:val="16"/>
                <w:szCs w:val="16"/>
              </w:rPr>
              <w:t>33</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w:t>
      </w:r>
      <w:r>
        <w:rPr>
          <w:rFonts w:ascii="Times New Roman" w:hAnsi="Times New Roman" w:eastAsia="宋体" w:cs="Times New Roman"/>
          <w:sz w:val="16"/>
          <w:szCs w:val="16"/>
        </w:rPr>
        <w:t xml:space="preserve"> </w:t>
      </w:r>
      <w:r>
        <w:rPr>
          <w:rFonts w:ascii="仿宋_GB2312" w:hAnsi="Times New Roman" w:eastAsia="仿宋_GB2312" w:cs="Times New Roman"/>
          <w:sz w:val="24"/>
          <w:szCs w:val="24"/>
        </w:rPr>
        <w:t>产出数量</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指标解释：项目实施的实际产出数与计划产出数的比率，用以反映和考核项目产出数量目标的实现程度。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年度蚌埠农业科技园管理委员会实施核心区和石榴基地建设发展资金项目完成土地流转亩数&gt;16000 亩</w:t>
      </w:r>
      <w:r>
        <w:rPr>
          <w:rFonts w:hint="eastAsia" w:ascii="仿宋_GB2312" w:hAnsi="Times New Roman" w:eastAsia="仿宋_GB2312" w:cs="Times New Roman"/>
          <w:sz w:val="24"/>
          <w:szCs w:val="24"/>
        </w:rPr>
        <w:t>。该项指标满分6分，得6分，得分率100.00%。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bookmarkStart w:id="52" w:name="_Hlk79870035"/>
      <w:r>
        <w:rPr>
          <w:rFonts w:hint="eastAsia"/>
        </w:rPr>
        <w:t xml:space="preserve"> </w:t>
      </w:r>
      <w:r>
        <w:rPr>
          <w:rFonts w:hint="eastAsia" w:ascii="仿宋_GB2312" w:hAnsi="Times New Roman" w:eastAsia="仿宋_GB2312" w:cs="Times New Roman"/>
          <w:sz w:val="24"/>
          <w:szCs w:val="24"/>
        </w:rPr>
        <w:t>产出质量</w:t>
      </w:r>
    </w:p>
    <w:bookmarkEnd w:id="52"/>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指标解释：项目实际完成的质量达标产出数与实际产出数的比率，用以反映和考核项目产出质量目标的实现程度。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年度蚌埠农业科技园管理委员会实施核心区和石榴基地建设发展资金项目保障示范区发展运营效果明显</w:t>
      </w:r>
      <w:r>
        <w:rPr>
          <w:rFonts w:hint="eastAsia" w:ascii="仿宋_GB2312" w:hAnsi="Times New Roman" w:eastAsia="仿宋_GB2312" w:cs="Times New Roman"/>
          <w:sz w:val="24"/>
          <w:szCs w:val="24"/>
        </w:rPr>
        <w:t>，但未达到预期。满分8分，得分4分，得分率50.00%。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w:t>
      </w:r>
      <w:r>
        <w:rPr>
          <w:rFonts w:hint="eastAsia"/>
        </w:rPr>
        <w:t xml:space="preserve"> </w:t>
      </w:r>
      <w:r>
        <w:rPr>
          <w:rFonts w:hint="eastAsia" w:ascii="仿宋_GB2312" w:hAnsi="Times New Roman" w:eastAsia="仿宋_GB2312" w:cs="Times New Roman"/>
          <w:sz w:val="24"/>
          <w:szCs w:val="24"/>
        </w:rPr>
        <w:t>产出时效</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指标解释：项目实际完成时间与计划完成时间的比较，用以反映和考核项目产出时效目标的实现程度。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年度蚌埠农业科技园管理委员会实施核心区和石榴基地建设发展资金项目</w:t>
      </w:r>
      <w:r>
        <w:rPr>
          <w:rFonts w:hint="eastAsia" w:ascii="仿宋_GB2312" w:hAnsi="Times New Roman" w:eastAsia="仿宋_GB2312" w:cs="Times New Roman"/>
          <w:sz w:val="24"/>
          <w:szCs w:val="24"/>
        </w:rPr>
        <w:t>任务均得到保质保量完成，资金支付及时；符合该项指标满分5分，得5分，得分率100.00%。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w:t>
      </w:r>
      <w:r>
        <w:rPr>
          <w:rFonts w:ascii="仿宋_GB2312" w:hAnsi="Times New Roman" w:eastAsia="仿宋_GB2312" w:cs="Times New Roman"/>
          <w:sz w:val="24"/>
          <w:szCs w:val="24"/>
        </w:rPr>
        <w:t xml:space="preserve"> 产出</w:t>
      </w:r>
      <w:r>
        <w:rPr>
          <w:rFonts w:hint="eastAsia" w:ascii="仿宋_GB2312" w:hAnsi="Times New Roman" w:eastAsia="仿宋_GB2312" w:cs="Times New Roman"/>
          <w:sz w:val="24"/>
          <w:szCs w:val="24"/>
        </w:rPr>
        <w:t>成本</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指标解释：完成项目计划工作目标的实际节约成本与计划成本的比率，用以反映和考核项目的成本节约程度。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ascii="仿宋_GB2312" w:hAnsi="Times New Roman" w:eastAsia="仿宋_GB2312" w:cs="Times New Roman"/>
          <w:sz w:val="24"/>
          <w:szCs w:val="24"/>
        </w:rPr>
        <w:t>2022 年度蚌埠农业科技园管理委员会实施核心区和石榴基地建设发展资金项目</w:t>
      </w:r>
      <w:r>
        <w:rPr>
          <w:rFonts w:hint="eastAsia" w:ascii="仿宋_GB2312" w:hAnsi="Times New Roman" w:eastAsia="仿宋_GB2312" w:cs="Times New Roman"/>
          <w:sz w:val="24"/>
          <w:szCs w:val="24"/>
        </w:rPr>
        <w:t>预算控制在范围内。该项指标满分5分，得5分，得分率100.00%。</w:t>
      </w:r>
    </w:p>
    <w:p>
      <w:pPr>
        <w:spacing w:line="560" w:lineRule="exact"/>
        <w:ind w:firstLine="472" w:firstLineChars="200"/>
        <w:outlineLvl w:val="1"/>
        <w:rPr>
          <w:rFonts w:ascii="楷体_GB2312" w:hAnsi="Times New Roman" w:eastAsia="楷体_GB2312" w:cs="Times New Roman"/>
          <w:sz w:val="24"/>
          <w:szCs w:val="24"/>
        </w:rPr>
      </w:pPr>
      <w:bookmarkStart w:id="53" w:name="_Toc13789"/>
      <w:r>
        <w:rPr>
          <w:rFonts w:hint="eastAsia" w:ascii="楷体_GB2312" w:hAnsi="Times New Roman" w:eastAsia="楷体_GB2312" w:cs="Times New Roman"/>
          <w:sz w:val="24"/>
          <w:szCs w:val="24"/>
        </w:rPr>
        <w:t>（四）项目效益情况</w:t>
      </w:r>
      <w:bookmarkEnd w:id="53"/>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项目效益的评价指标包括经济效、益社会效益、生态效益、可持续影响、满意度五项二级指标，</w:t>
      </w:r>
      <w:bookmarkStart w:id="54" w:name="_Hlk149319712"/>
      <w:r>
        <w:rPr>
          <w:rFonts w:hint="eastAsia" w:ascii="仿宋_GB2312" w:hAnsi="Times New Roman" w:eastAsia="仿宋_GB2312" w:cs="Times New Roman"/>
          <w:sz w:val="24"/>
          <w:szCs w:val="24"/>
        </w:rPr>
        <w:t>增强企业对农业项目的投资兴趣及信心，吸引新的投资主体到蚌埠投资或原有企业追加投资，形成滚动式开发区位优势、资源优势功能的发挥，最终转化为农业整体经济效益的提高</w:t>
      </w:r>
      <w:bookmarkEnd w:id="54"/>
      <w:r>
        <w:rPr>
          <w:rFonts w:hint="eastAsia" w:ascii="仿宋_GB2312" w:hAnsi="Times New Roman" w:eastAsia="仿宋_GB2312" w:cs="Times New Roman"/>
          <w:sz w:val="24"/>
          <w:szCs w:val="24"/>
        </w:rPr>
        <w:t>；推进科技园工作常态化及服务对象满意度5个三级指标。“项目效益”总分36分，得分3</w:t>
      </w:r>
      <w:r>
        <w:rPr>
          <w:rFonts w:ascii="仿宋_GB2312" w:hAnsi="Times New Roman" w:eastAsia="仿宋_GB2312" w:cs="Times New Roman"/>
          <w:sz w:val="24"/>
          <w:szCs w:val="24"/>
        </w:rPr>
        <w:t>3</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91.67</w:t>
      </w:r>
      <w:r>
        <w:rPr>
          <w:rFonts w:hint="eastAsia" w:ascii="仿宋_GB2312" w:hAnsi="Times New Roman" w:eastAsia="仿宋_GB2312" w:cs="Times New Roman"/>
          <w:sz w:val="24"/>
          <w:szCs w:val="24"/>
        </w:rPr>
        <w:t xml:space="preserve"> %。</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过程类指标评分情况</w:t>
      </w:r>
    </w:p>
    <w:tbl>
      <w:tblPr>
        <w:tblStyle w:val="13"/>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4239"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056"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903"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149"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09" w:type="dxa"/>
            <w:tcBorders>
              <w:top w:val="single" w:color="auto" w:sz="4" w:space="0"/>
              <w:left w:val="nil"/>
            </w:tcBorders>
            <w:vAlign w:val="center"/>
          </w:tcPr>
          <w:p>
            <w:pPr>
              <w:spacing w:line="560" w:lineRule="exact"/>
              <w:rPr>
                <w:rFonts w:ascii="Times New Roman" w:hAnsi="Times New Roman" w:eastAsia="宋体" w:cs="Times New Roman"/>
                <w:sz w:val="16"/>
                <w:szCs w:val="16"/>
              </w:rPr>
            </w:pPr>
            <w:bookmarkStart w:id="55" w:name="_Hlk149253802"/>
            <w:bookmarkStart w:id="56" w:name="_Hlk149253864"/>
            <w:r>
              <w:rPr>
                <w:rFonts w:hint="eastAsia" w:ascii="Times New Roman" w:hAnsi="Times New Roman" w:eastAsia="宋体" w:cs="Times New Roman"/>
                <w:sz w:val="16"/>
                <w:szCs w:val="16"/>
              </w:rPr>
              <w:t>经济</w:t>
            </w:r>
            <w:r>
              <w:rPr>
                <w:rFonts w:ascii="Times New Roman" w:hAnsi="Times New Roman" w:eastAsia="宋体" w:cs="Times New Roman"/>
                <w:sz w:val="16"/>
                <w:szCs w:val="16"/>
              </w:rPr>
              <w:t>效益</w:t>
            </w:r>
            <w:bookmarkEnd w:id="55"/>
          </w:p>
        </w:tc>
        <w:tc>
          <w:tcPr>
            <w:tcW w:w="4239" w:type="dxa"/>
            <w:tcBorders>
              <w:top w:val="single" w:color="auto" w:sz="4" w:space="0"/>
            </w:tcBorders>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促进农村生产经济、加工业和生态旅游产业的迅速发展</w:t>
            </w:r>
          </w:p>
        </w:tc>
        <w:tc>
          <w:tcPr>
            <w:tcW w:w="1056" w:type="dxa"/>
            <w:tcBorders>
              <w:top w:val="single" w:color="auto" w:sz="4" w:space="0"/>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6</w:t>
            </w:r>
          </w:p>
        </w:tc>
        <w:tc>
          <w:tcPr>
            <w:tcW w:w="903" w:type="dxa"/>
            <w:tcBorders>
              <w:top w:val="single" w:color="auto" w:sz="4" w:space="0"/>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5</w:t>
            </w:r>
          </w:p>
        </w:tc>
        <w:tc>
          <w:tcPr>
            <w:tcW w:w="1149" w:type="dxa"/>
            <w:tcBorders>
              <w:top w:val="single" w:color="auto" w:sz="4" w:space="0"/>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83.33</w:t>
            </w:r>
            <w:r>
              <w:rPr>
                <w:rFonts w:ascii="Times New Roman" w:hAnsi="Times New Roman" w:eastAsia="宋体" w:cs="Times New Roman"/>
                <w:sz w:val="16"/>
                <w:szCs w:val="16"/>
              </w:rPr>
              <w:t>%</w:t>
            </w:r>
          </w:p>
        </w:tc>
      </w:tr>
      <w:bookmarkEnd w:id="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社会</w:t>
            </w:r>
            <w:r>
              <w:rPr>
                <w:rFonts w:ascii="Times New Roman" w:hAnsi="Times New Roman" w:eastAsia="宋体" w:cs="Times New Roman"/>
                <w:sz w:val="16"/>
                <w:szCs w:val="16"/>
              </w:rPr>
              <w:t>效益</w:t>
            </w:r>
          </w:p>
        </w:tc>
        <w:tc>
          <w:tcPr>
            <w:tcW w:w="4239" w:type="dxa"/>
          </w:tcPr>
          <w:p>
            <w:pPr>
              <w:spacing w:line="560" w:lineRule="exact"/>
              <w:jc w:val="left"/>
              <w:rPr>
                <w:rFonts w:ascii="Times New Roman" w:hAnsi="Times New Roman" w:eastAsia="宋体" w:cs="Times New Roman"/>
                <w:sz w:val="16"/>
                <w:szCs w:val="16"/>
              </w:rPr>
            </w:pPr>
            <w:bookmarkStart w:id="57" w:name="_Hlk149254211"/>
            <w:r>
              <w:rPr>
                <w:rFonts w:hint="eastAsia" w:ascii="Times New Roman" w:hAnsi="Times New Roman" w:eastAsia="宋体" w:cs="Times New Roman"/>
                <w:sz w:val="16"/>
                <w:szCs w:val="16"/>
              </w:rPr>
              <w:t>农业结构优化、调整，促进就业和农民收入</w:t>
            </w:r>
            <w:bookmarkEnd w:id="57"/>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10</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8</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8</w:t>
            </w:r>
            <w:r>
              <w:rPr>
                <w:rFonts w:hint="eastAsia" w:ascii="Times New Roman" w:hAnsi="Times New Roman" w:eastAsia="宋体" w:cs="Times New Roman"/>
                <w:sz w:val="16"/>
                <w:szCs w:val="16"/>
              </w:rPr>
              <w:t>0</w:t>
            </w:r>
            <w:r>
              <w:rPr>
                <w:rFonts w:ascii="Times New Roman" w:hAnsi="Times New Roman" w:eastAsia="宋体" w:cs="Times New Roman"/>
                <w:sz w:val="16"/>
                <w:szCs w:val="16"/>
              </w:rPr>
              <w:t>.</w:t>
            </w:r>
            <w:r>
              <w:rPr>
                <w:rFonts w:hint="eastAsia" w:ascii="Times New Roman" w:hAnsi="Times New Roman" w:eastAsia="宋体" w:cs="Times New Roman"/>
                <w:sz w:val="16"/>
                <w:szCs w:val="16"/>
              </w:rPr>
              <w:t>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生态效益</w:t>
            </w:r>
          </w:p>
        </w:tc>
        <w:tc>
          <w:tcPr>
            <w:tcW w:w="4239" w:type="dxa"/>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科技园建设将进一步提高特色农产品品质</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8</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bookmarkStart w:id="58" w:name="_Hlk149254401"/>
            <w:r>
              <w:rPr>
                <w:rFonts w:ascii="Times New Roman" w:hAnsi="Times New Roman" w:eastAsia="宋体" w:cs="Times New Roman"/>
                <w:sz w:val="16"/>
                <w:szCs w:val="16"/>
              </w:rPr>
              <w:t>可持续影响</w:t>
            </w:r>
            <w:bookmarkEnd w:id="58"/>
          </w:p>
        </w:tc>
        <w:tc>
          <w:tcPr>
            <w:tcW w:w="4239" w:type="dxa"/>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构建有利于园区发展的体制机制</w:t>
            </w:r>
            <w:r>
              <w:rPr>
                <w:rFonts w:hint="eastAsia" w:ascii="Times New Roman" w:hAnsi="Times New Roman" w:eastAsia="宋体" w:cs="Times New Roman"/>
                <w:sz w:val="16"/>
                <w:szCs w:val="16"/>
                <w:lang w:val="en-US" w:eastAsia="zh-CN"/>
              </w:rPr>
              <w:t>使</w:t>
            </w:r>
            <w:r>
              <w:rPr>
                <w:rFonts w:hint="eastAsia" w:ascii="Times New Roman" w:hAnsi="Times New Roman" w:eastAsia="宋体" w:cs="Times New Roman"/>
                <w:sz w:val="16"/>
                <w:szCs w:val="16"/>
              </w:rPr>
              <w:t>工作常态化</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6</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6</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满意度</w:t>
            </w:r>
          </w:p>
        </w:tc>
        <w:tc>
          <w:tcPr>
            <w:tcW w:w="4239" w:type="dxa"/>
          </w:tcPr>
          <w:p>
            <w:pPr>
              <w:spacing w:line="560" w:lineRule="exact"/>
              <w:jc w:val="left"/>
              <w:rPr>
                <w:rFonts w:ascii="Times New Roman" w:hAnsi="Times New Roman" w:eastAsia="宋体" w:cs="Times New Roman"/>
                <w:sz w:val="16"/>
                <w:szCs w:val="16"/>
              </w:rPr>
            </w:pPr>
            <w:r>
              <w:rPr>
                <w:rFonts w:ascii="Times New Roman" w:hAnsi="Times New Roman" w:eastAsia="宋体" w:cs="Times New Roman"/>
                <w:sz w:val="16"/>
                <w:szCs w:val="16"/>
              </w:rPr>
              <w:t>服务对象满意度</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pPr>
              <w:spacing w:line="560" w:lineRule="exact"/>
              <w:ind w:left="-581" w:leftChars="-184"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056"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36</w:t>
            </w:r>
            <w:r>
              <w:rPr>
                <w:rFonts w:ascii="Times New Roman" w:hAnsi="Times New Roman" w:eastAsia="宋体" w:cs="Times New Roman"/>
                <w:b/>
                <w:bCs/>
                <w:sz w:val="16"/>
                <w:szCs w:val="16"/>
              </w:rPr>
              <w:fldChar w:fldCharType="end"/>
            </w:r>
          </w:p>
        </w:tc>
        <w:tc>
          <w:tcPr>
            <w:tcW w:w="903" w:type="dxa"/>
            <w:tcBorders>
              <w:bottom w:val="double" w:color="auto" w:sz="4" w:space="0"/>
              <w:right w:val="nil"/>
            </w:tcBorders>
            <w:vAlign w:val="center"/>
          </w:tcPr>
          <w:p>
            <w:pPr>
              <w:spacing w:line="560" w:lineRule="exact"/>
              <w:ind w:firstLine="227" w:firstLineChars="145"/>
              <w:rPr>
                <w:rFonts w:ascii="Times New Roman" w:hAnsi="Times New Roman" w:eastAsia="宋体" w:cs="Times New Roman"/>
                <w:b/>
                <w:bCs/>
                <w:sz w:val="16"/>
                <w:szCs w:val="16"/>
              </w:rPr>
            </w:pPr>
            <w:r>
              <w:rPr>
                <w:rFonts w:ascii="Times New Roman" w:hAnsi="Times New Roman" w:eastAsia="宋体" w:cs="Times New Roman"/>
                <w:b/>
                <w:bCs/>
                <w:sz w:val="16"/>
                <w:szCs w:val="16"/>
              </w:rPr>
              <w:t>33</w:t>
            </w:r>
          </w:p>
        </w:tc>
        <w:tc>
          <w:tcPr>
            <w:tcW w:w="1149"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91.67%</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w:t>
      </w:r>
      <w:r>
        <w:rPr>
          <w:rFonts w:hint="eastAsia"/>
        </w:rPr>
        <w:t xml:space="preserve"> </w:t>
      </w:r>
      <w:r>
        <w:rPr>
          <w:rFonts w:hint="eastAsia" w:ascii="仿宋_GB2312" w:hAnsi="Times New Roman" w:eastAsia="仿宋_GB2312" w:cs="Times New Roman"/>
          <w:sz w:val="24"/>
          <w:szCs w:val="24"/>
        </w:rPr>
        <w:t>经济效益-促进农村生产经济、加工业和生态旅游产业的迅速发展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指标解释：项目实施对经济发展所带来的直接或间接影响情况。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园区经济效益主要体现在种植业、养殖、旅游业和加工业增值效益四方面。蚌埠国家农业科技园区建设，可以整合土地资源，调整产业结构，延伸农业产业链条，大幅度提高优质粮食、怀远石榴、设施蔬菜等产业的产量和品质，能够有效提高农产品的市场竞争力和经济效益，增加农民收入。能够促进农村生产经济、加工业和生态旅游产业的迅速发展。</w:t>
      </w:r>
      <w:r>
        <w:rPr>
          <w:rFonts w:ascii="仿宋_GB2312" w:hAnsi="Times New Roman" w:eastAsia="仿宋_GB2312" w:cs="Times New Roman"/>
          <w:sz w:val="24"/>
          <w:szCs w:val="24"/>
        </w:rPr>
        <w:t>向蚌埠市及皖北、苏北等地辐射推广后，可产生更大的经济效益。同时将极大地改善沿淮地区的农业投</w:t>
      </w:r>
      <w:r>
        <w:rPr>
          <w:rFonts w:hint="eastAsia" w:ascii="仿宋_GB2312" w:hAnsi="Times New Roman" w:eastAsia="仿宋_GB2312" w:cs="Times New Roman"/>
          <w:sz w:val="24"/>
          <w:szCs w:val="24"/>
        </w:rPr>
        <w:t>资环境，增强企业对农业项目的投资兴趣及信心，吸引新的投资主体到蚌埠投资或原有企业追加投资，形成滚动式开发区位优势、资源优势功能的发挥，最终转化为农业整体经济效益的提高。但是没有达到预期效益，该指标满分6分，得分5分，得分率83.33%。</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 社会</w:t>
      </w:r>
      <w:r>
        <w:rPr>
          <w:rFonts w:ascii="仿宋_GB2312" w:hAnsi="Times New Roman" w:eastAsia="仿宋_GB2312" w:cs="Times New Roman"/>
          <w:sz w:val="24"/>
          <w:szCs w:val="24"/>
        </w:rPr>
        <w:t>效益</w:t>
      </w:r>
      <w:r>
        <w:rPr>
          <w:rFonts w:hint="eastAsia" w:ascii="仿宋_GB2312" w:hAnsi="Times New Roman" w:eastAsia="仿宋_GB2312" w:cs="Times New Roman"/>
          <w:sz w:val="24"/>
          <w:szCs w:val="24"/>
        </w:rPr>
        <w:t>-农业结构优化、调整，促进就业和农民收入</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指标解释：项目实施对社会发展所带来的直接或间接影响情况。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创新农业科技成果转化及产业化运行机制，使一批农业科技成果应用到实际中，强化农业科技成果转化和孵化功能，解决一批区域农业发展的关键问题，大幅提高园区及周边农业主导产业的科技含量。使蚌埠国家农业科技园区成为在不断打造创新链和创业链中实现农业科技成果转化和农业科技创新的重要平台。也可成为在校学生毕业实习和从事学位研究课题的基地。生态旅游产业、农产品深加工、农产品交易、综合服务、仓储及物流等建设内容的实施，延伸了产业链条，增加了农产品附加值，同时也增加了大量的就业渠道，据初步估计，至少吸纳就业人员数</w:t>
      </w:r>
      <w:r>
        <w:rPr>
          <w:rFonts w:ascii="仿宋_GB2312" w:hAnsi="Times New Roman" w:eastAsia="仿宋_GB2312" w:cs="Times New Roman"/>
          <w:sz w:val="24"/>
          <w:szCs w:val="24"/>
        </w:rPr>
        <w:t>1300人，带动周边农民人均</w:t>
      </w:r>
      <w:r>
        <w:rPr>
          <w:rFonts w:hint="eastAsia" w:ascii="仿宋_GB2312" w:hAnsi="Times New Roman" w:eastAsia="仿宋_GB2312" w:cs="Times New Roman"/>
          <w:sz w:val="24"/>
          <w:szCs w:val="24"/>
        </w:rPr>
        <w:t>增收</w:t>
      </w:r>
      <w:r>
        <w:rPr>
          <w:rFonts w:ascii="仿宋_GB2312" w:hAnsi="Times New Roman" w:eastAsia="仿宋_GB2312" w:cs="Times New Roman"/>
          <w:sz w:val="24"/>
          <w:szCs w:val="24"/>
        </w:rPr>
        <w:t>7000元，累计培训农民6.32万人次以上。通过园区项目的实施，农业结构将会得到进一步优化，产业结构将得到进一步调整，农业产业的高效化将</w:t>
      </w:r>
      <w:r>
        <w:rPr>
          <w:rFonts w:hint="eastAsia" w:ascii="仿宋_GB2312" w:hAnsi="Times New Roman" w:eastAsia="仿宋_GB2312" w:cs="Times New Roman"/>
          <w:sz w:val="24"/>
          <w:szCs w:val="24"/>
        </w:rPr>
        <w:t>会得到进一步体现，农产品的产量和品质将得到大幅度改善，农民收入将有较大幅度的提高。社会效益显著，还是有提升招商力度，通过招商带来预期效益。该指标满分10分，得分</w:t>
      </w:r>
      <w:r>
        <w:rPr>
          <w:rFonts w:ascii="仿宋_GB2312" w:hAnsi="Times New Roman" w:eastAsia="仿宋_GB2312" w:cs="Times New Roman"/>
          <w:sz w:val="24"/>
          <w:szCs w:val="24"/>
        </w:rPr>
        <w:t>8</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8</w:t>
      </w:r>
      <w:r>
        <w:rPr>
          <w:rFonts w:hint="eastAsia" w:ascii="仿宋_GB2312" w:hAnsi="Times New Roman" w:eastAsia="仿宋_GB2312" w:cs="Times New Roman"/>
          <w:sz w:val="24"/>
          <w:szCs w:val="24"/>
        </w:rPr>
        <w:t>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 生态效益</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科技园建设将进一步提优化态环境</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指标解释：项目实施对生态环境所带来的直接或间接影响情况。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园区的建设将进一步提高特色农产品品质，通过优质品种选育改良推广、建立标准化的种植体系，再到标准化生产加工，开发的绿色、有机产品满足人们对优质产品的需求。通过采用无公害生产技术，以及沼气发酵等循环农业技术，土壤中有机质的含量将大为增加，土壤的物理结构、化学组成将得到较好的改善，为园区的可持续发展提供了有利的土壤环境。园区建设运行对大气、土壤、水资源环境将起到积极的保护作用；同时，通过农田林网建设、扩大绿化面积等措施的实施将对园区及示范区周边的环境产生良性的影响。该指标满分8分，得分</w:t>
      </w:r>
      <w:r>
        <w:rPr>
          <w:rFonts w:ascii="仿宋_GB2312" w:hAnsi="Times New Roman" w:eastAsia="仿宋_GB2312" w:cs="Times New Roman"/>
          <w:sz w:val="24"/>
          <w:szCs w:val="24"/>
        </w:rPr>
        <w:t>8</w:t>
      </w:r>
      <w:r>
        <w:rPr>
          <w:rFonts w:hint="eastAsia" w:ascii="仿宋_GB2312" w:hAnsi="Times New Roman" w:eastAsia="仿宋_GB2312" w:cs="Times New Roman"/>
          <w:sz w:val="24"/>
          <w:szCs w:val="24"/>
        </w:rPr>
        <w:t>分，得分率</w:t>
      </w:r>
      <w:r>
        <w:rPr>
          <w:rFonts w:ascii="仿宋_GB2312" w:hAnsi="Times New Roman" w:eastAsia="仿宋_GB2312" w:cs="Times New Roman"/>
          <w:sz w:val="24"/>
          <w:szCs w:val="24"/>
        </w:rPr>
        <w:t>100</w:t>
      </w:r>
      <w:r>
        <w:rPr>
          <w:rFonts w:hint="eastAsia" w:ascii="仿宋_GB2312" w:hAnsi="Times New Roman" w:eastAsia="仿宋_GB2312" w:cs="Times New Roman"/>
          <w:sz w:val="24"/>
          <w:szCs w:val="24"/>
        </w:rPr>
        <w:t>.00%。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 可持续影响-构建有利于园区发展体制机制</w:t>
      </w:r>
      <w:r>
        <w:rPr>
          <w:rFonts w:hint="eastAsia" w:ascii="仿宋_GB2312" w:hAnsi="Times New Roman" w:eastAsia="仿宋_GB2312" w:cs="Times New Roman"/>
          <w:sz w:val="24"/>
          <w:szCs w:val="24"/>
          <w:lang w:val="en-US" w:eastAsia="zh-CN"/>
        </w:rPr>
        <w:t>使</w:t>
      </w:r>
      <w:r>
        <w:rPr>
          <w:rFonts w:hint="eastAsia" w:ascii="仿宋_GB2312" w:hAnsi="Times New Roman" w:eastAsia="仿宋_GB2312" w:cs="Times New Roman"/>
          <w:sz w:val="24"/>
          <w:szCs w:val="24"/>
        </w:rPr>
        <w:t>工作常态化</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指标解释：项目实施发挥的持续性作用。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统筹兼顾科技创新链条、文化创意链条与产业创业链条等，突出管理机制、经营机制、土地管理体制、投融资机制的创新，构建有利于园区发展的体制机制，全面拓展对外开放的广度和深度，支撑园区建设的创新发展。充分发挥区位优势和资源优势，以发展特色产业为重点，科学定位，优化布局，培植和壮大特色优势产业，构筑有竞争力的区域特色生态经济体系，推进园区与外部区域的优势互补、良性互动、错位发展及共同发展。该指标满分6分，得分6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5.满意度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指标解释：服务对象满意度。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评分情况：通过电话回访服务对象，综合政务网站上群众反馈意见，满意度为95%。该指标满分6分，得分6分，得分率100.00%。</w:t>
      </w:r>
    </w:p>
    <w:p>
      <w:pPr>
        <w:pStyle w:val="2"/>
        <w:ind w:firstLine="632"/>
      </w:pPr>
    </w:p>
    <w:p>
      <w:pPr>
        <w:numPr>
          <w:ilvl w:val="0"/>
          <w:numId w:val="2"/>
        </w:numPr>
        <w:spacing w:line="560" w:lineRule="exact"/>
        <w:ind w:firstLine="472" w:firstLineChars="200"/>
        <w:outlineLvl w:val="0"/>
        <w:rPr>
          <w:rFonts w:ascii="黑体" w:hAnsi="黑体" w:eastAsia="黑体" w:cs="Times New Roman"/>
          <w:b/>
          <w:bCs/>
          <w:sz w:val="24"/>
          <w:szCs w:val="24"/>
        </w:rPr>
      </w:pPr>
      <w:bookmarkStart w:id="59" w:name="_Toc18123"/>
      <w:r>
        <w:rPr>
          <w:rFonts w:hint="eastAsia" w:ascii="黑体" w:hAnsi="黑体" w:eastAsia="黑体" w:cs="Times New Roman"/>
          <w:b/>
          <w:bCs/>
          <w:sz w:val="24"/>
          <w:szCs w:val="24"/>
        </w:rPr>
        <w:t>主要经验及做法</w:t>
      </w:r>
      <w:bookmarkEnd w:id="59"/>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w:t>
      </w:r>
      <w:r>
        <w:rPr>
          <w:rFonts w:ascii="仿宋_GB2312" w:hAnsi="Times New Roman" w:eastAsia="仿宋_GB2312" w:cs="Times New Roman"/>
          <w:sz w:val="24"/>
          <w:szCs w:val="24"/>
        </w:rPr>
        <w:t>加强组织领导。要加强对项目工作的全面领导，便于及时发现项目运行过程中出现的问题并加以改进。严格按照项目管理制度及财务管理制度实施，加强项目管理和监督，确保项目实施规范</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w:t>
      </w:r>
      <w:r>
        <w:rPr>
          <w:rFonts w:ascii="仿宋_GB2312" w:hAnsi="Times New Roman" w:eastAsia="仿宋_GB2312" w:cs="Times New Roman"/>
          <w:sz w:val="24"/>
          <w:szCs w:val="24"/>
        </w:rPr>
        <w:t>专款专用。严格按项目规范要求，做到专款专用，确保项目工作顺利开展。项目内所有支出都由报账员把关，再</w:t>
      </w:r>
      <w:r>
        <w:rPr>
          <w:rFonts w:hint="eastAsia" w:ascii="仿宋_GB2312" w:hAnsi="Times New Roman" w:eastAsia="仿宋_GB2312" w:cs="Times New Roman"/>
          <w:sz w:val="24"/>
          <w:szCs w:val="24"/>
        </w:rPr>
        <w:t>经分管领导审核，最后由主要领导复审。</w:t>
      </w:r>
    </w:p>
    <w:p>
      <w:pPr>
        <w:pStyle w:val="24"/>
        <w:numPr>
          <w:ilvl w:val="0"/>
          <w:numId w:val="3"/>
        </w:numPr>
        <w:spacing w:line="560" w:lineRule="exact"/>
        <w:ind w:firstLineChars="0"/>
        <w:rPr>
          <w:rFonts w:ascii="仿宋_GB2312" w:hAnsi="Times New Roman" w:eastAsia="仿宋_GB2312" w:cs="Times New Roman"/>
          <w:sz w:val="24"/>
          <w:szCs w:val="24"/>
        </w:rPr>
      </w:pPr>
      <w:r>
        <w:rPr>
          <w:rFonts w:ascii="仿宋_GB2312" w:hAnsi="Times New Roman" w:eastAsia="仿宋_GB2312" w:cs="Times New Roman"/>
          <w:sz w:val="24"/>
          <w:szCs w:val="24"/>
        </w:rPr>
        <w:t>加强监督。对日常工作加强规范和监督，防止在项目执行过程中出现偏差。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（四）坚持补缺补差，</w:t>
      </w:r>
      <w:r>
        <w:rPr>
          <w:rFonts w:ascii="仿宋_GB2312" w:hAnsi="Times New Roman" w:eastAsia="仿宋_GB2312" w:cs="Times New Roman"/>
          <w:sz w:val="24"/>
          <w:szCs w:val="24"/>
        </w:rPr>
        <w:t>不断加强学习与交流。</w:t>
      </w:r>
    </w:p>
    <w:p>
      <w:pPr>
        <w:spacing w:line="560" w:lineRule="exact"/>
        <w:rPr>
          <w:rFonts w:ascii="仿宋_GB2312" w:hAnsi="Times New Roman" w:eastAsia="仿宋_GB2312" w:cs="Times New Roman"/>
          <w:sz w:val="24"/>
          <w:szCs w:val="24"/>
        </w:rPr>
      </w:pPr>
    </w:p>
    <w:p>
      <w:pPr>
        <w:spacing w:line="560" w:lineRule="exact"/>
        <w:ind w:firstLine="472" w:firstLineChars="200"/>
        <w:outlineLvl w:val="0"/>
        <w:rPr>
          <w:rFonts w:ascii="黑体" w:hAnsi="黑体" w:eastAsia="黑体" w:cs="Times New Roman"/>
          <w:b/>
          <w:bCs/>
          <w:sz w:val="24"/>
          <w:szCs w:val="24"/>
        </w:rPr>
      </w:pPr>
      <w:bookmarkStart w:id="60" w:name="_Toc1758"/>
      <w:r>
        <w:rPr>
          <w:rFonts w:hint="eastAsia" w:ascii="黑体" w:hAnsi="黑体" w:eastAsia="黑体" w:cs="Times New Roman"/>
          <w:b/>
          <w:bCs/>
          <w:sz w:val="24"/>
          <w:szCs w:val="24"/>
        </w:rPr>
        <w:t>六、存在问题及原因分析</w:t>
      </w:r>
      <w:bookmarkEnd w:id="6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（一）绩效自评数据分析较为简单，其他指标设置明确性不强，自评结论未能完全准确反映项目实际完成情况。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（二）受疫情影响，招商产出数量指标对比预期，在项目预期外出招商次数方面有所下降。</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（三)</w:t>
      </w:r>
      <w:r>
        <w:rPr>
          <w:rFonts w:hint="eastAsia" w:ascii="仿宋_GB2312" w:hAnsi="Times New Roman" w:eastAsia="仿宋_GB2312" w:cs="Times New Roman"/>
          <w:sz w:val="24"/>
          <w:szCs w:val="24"/>
          <w:lang w:val="en-US" w:eastAsia="zh-CN"/>
        </w:rPr>
        <w:t>宣传力度不够，管委会要加强宣传核心区和石榴基地建设的重要意义</w:t>
      </w:r>
      <w:bookmarkStart w:id="61" w:name="_Toc703"/>
      <w:r>
        <w:rPr>
          <w:rFonts w:hint="eastAsia" w:ascii="仿宋_GB2312" w:hAnsi="Times New Roman" w:eastAsia="仿宋_GB2312" w:cs="Times New Roman"/>
          <w:sz w:val="24"/>
          <w:szCs w:val="24"/>
          <w:lang w:val="en-US" w:eastAsia="zh-CN"/>
        </w:rPr>
        <w:t>。</w:t>
      </w:r>
    </w:p>
    <w:p>
      <w:pPr>
        <w:spacing w:line="560" w:lineRule="exact"/>
        <w:ind w:firstLine="472" w:firstLineChars="200"/>
        <w:rPr>
          <w:rFonts w:ascii="黑体" w:hAnsi="黑体" w:eastAsia="黑体" w:cs="Times New Roman"/>
          <w:b/>
          <w:bCs/>
          <w:sz w:val="24"/>
          <w:szCs w:val="24"/>
        </w:rPr>
      </w:pPr>
      <w:r>
        <w:rPr>
          <w:rFonts w:hint="eastAsia" w:ascii="黑体" w:hAnsi="黑体" w:eastAsia="黑体" w:cs="Times New Roman"/>
          <w:b/>
          <w:bCs/>
          <w:sz w:val="24"/>
          <w:szCs w:val="24"/>
        </w:rPr>
        <w:t>七、有关建议</w:t>
      </w:r>
      <w:bookmarkEnd w:id="61"/>
    </w:p>
    <w:p>
      <w:pPr>
        <w:spacing w:line="560" w:lineRule="exact"/>
        <w:ind w:firstLine="472" w:firstLineChars="200"/>
        <w:rPr>
          <w:rFonts w:ascii="仿宋_GB2312" w:hAnsi="Times New Roman" w:eastAsia="仿宋_GB2312" w:cs="Times New Roman"/>
          <w:sz w:val="24"/>
          <w:szCs w:val="24"/>
        </w:rPr>
      </w:pPr>
      <w:bookmarkStart w:id="62" w:name="_Hlk149318230"/>
      <w:r>
        <w:rPr>
          <w:rFonts w:hint="eastAsia" w:ascii="仿宋_GB2312" w:hAnsi="Times New Roman" w:eastAsia="仿宋_GB2312" w:cs="Times New Roman"/>
          <w:sz w:val="24"/>
          <w:szCs w:val="24"/>
        </w:rPr>
        <w:t>（一）明确绩效自评思路</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进一步完善绩效评价工作程序，规范绩效目标及绩效自评设定，提高绩效自评工作的科学性、合理性、真实性</w:t>
      </w:r>
      <w:r>
        <w:rPr>
          <w:rFonts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（二）持续加大招商力度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多措并举加大招商宣传力度。充分利用怀远石榴名片、自媒体网络宣传，最大限度调动市民群众的积极性和参与率。高质量发展为主线，不断优化产品结构，以科技创新为引领，持续增强市场竞争力、美誉度。石榴产业健康良性发展，以塑造公共品牌为重点，依托石榴文化打出区域品牌的王牌。</w:t>
      </w:r>
    </w:p>
    <w:p>
      <w:pPr>
        <w:spacing w:line="560" w:lineRule="exact"/>
        <w:ind w:firstLine="472" w:firstLineChars="200"/>
        <w:rPr>
          <w:rFonts w:ascii="仿宋_GB2312" w:hAnsi="Times New Roman" w:eastAsia="仿宋_GB2312" w:cs="Times New Roman"/>
          <w:sz w:val="24"/>
          <w:szCs w:val="24"/>
        </w:rPr>
      </w:pPr>
      <w:r>
        <w:rPr>
          <w:rFonts w:ascii="仿宋_GB2312" w:hAnsi="Times New Roman" w:eastAsia="仿宋_GB2312" w:cs="Times New Roman"/>
          <w:sz w:val="24"/>
          <w:szCs w:val="24"/>
        </w:rPr>
        <w:t>(三）立足于蚌埠市农业产业的基础和优势条件</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立足于蚌埠市农业产业的基础和优势条件，针对现代农业发展的特点、基础和要求，按照区域化布局、专业化生产、产业化经营、企业化管理的要求，巩固提高传统特色产业，积极发展优质粮食、果蔬、生态旅游等主导产业，把技术先进、特色突出、规模较大、效益较高的产业放在首要位置；督促组织各单位、乡镇两两互查，互相借鉴，补足短板。</w:t>
      </w:r>
    </w:p>
    <w:p>
      <w:pPr>
        <w:pStyle w:val="2"/>
        <w:ind w:firstLine="632"/>
      </w:pPr>
    </w:p>
    <w:bookmarkEnd w:id="62"/>
    <w:p>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八、其他需要说明的问题</w:t>
      </w:r>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无其他需要说明的问题。</w:t>
      </w:r>
    </w:p>
    <w:p>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1. 2021年度科技园项目绩效评价指标明细得分表--决策</w:t>
      </w:r>
    </w:p>
    <w:p>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2.202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年度科技园项目绩效评价指标明细得分表--过程</w:t>
      </w:r>
    </w:p>
    <w:p>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3. 202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年度科技园项目绩效评价指标明细得分表--产出</w:t>
      </w:r>
    </w:p>
    <w:p>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4. 202</w:t>
      </w:r>
      <w:r>
        <w:rPr>
          <w:rFonts w:ascii="仿宋_GB2312" w:hAnsi="Times New Roman" w:eastAsia="仿宋_GB2312" w:cs="Times New Roman"/>
          <w:sz w:val="24"/>
          <w:szCs w:val="24"/>
        </w:rPr>
        <w:t>22</w:t>
      </w:r>
      <w:r>
        <w:rPr>
          <w:rFonts w:hint="eastAsia" w:ascii="仿宋_GB2312" w:hAnsi="Times New Roman" w:eastAsia="仿宋_GB2312" w:cs="Times New Roman"/>
          <w:sz w:val="24"/>
          <w:szCs w:val="24"/>
        </w:rPr>
        <w:t>年度科技园项目绩效评价指标明细得分表--效益</w:t>
      </w:r>
    </w:p>
    <w:p>
      <w:pPr>
        <w:tabs>
          <w:tab w:val="left" w:pos="1276"/>
        </w:tabs>
        <w:spacing w:line="560" w:lineRule="exact"/>
        <w:ind w:firstLine="529" w:firstLineChars="224"/>
        <w:rPr>
          <w:rFonts w:ascii="仿宋_GB2312" w:hAnsi="Times New Roman" w:eastAsia="仿宋_GB2312" w:cs="Times New Roman"/>
          <w:sz w:val="24"/>
          <w:szCs w:val="24"/>
        </w:rPr>
      </w:pPr>
      <w:r>
        <w:rPr>
          <w:rFonts w:hint="eastAsia" w:ascii="仿宋_GB2312" w:hAnsi="Times New Roman" w:eastAsia="仿宋_GB2312" w:cs="Times New Roman"/>
          <w:sz w:val="24"/>
          <w:szCs w:val="24"/>
        </w:rPr>
        <w:t>5.202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年度科技园项目绩效评价-社会问卷调查统计分析表-服务对象</w:t>
      </w: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6.202</w:t>
      </w:r>
      <w:r>
        <w:rPr>
          <w:rFonts w:ascii="仿宋_GB2312" w:hAnsi="Times New Roman" w:eastAsia="仿宋_GB2312" w:cs="Times New Roman"/>
          <w:sz w:val="24"/>
          <w:szCs w:val="24"/>
        </w:rPr>
        <w:t>2</w:t>
      </w:r>
      <w:r>
        <w:rPr>
          <w:rFonts w:hint="eastAsia" w:ascii="仿宋_GB2312" w:hAnsi="Times New Roman" w:eastAsia="仿宋_GB2312" w:cs="Times New Roman"/>
          <w:sz w:val="24"/>
          <w:szCs w:val="24"/>
        </w:rPr>
        <w:t>年县政府财经联席会议办公室《财经联席会议纪要</w:t>
      </w:r>
      <w:r>
        <w:rPr>
          <w:rFonts w:ascii="仿宋_GB2312" w:hAnsi="Times New Roman" w:eastAsia="仿宋_GB2312" w:cs="Times New Roman"/>
          <w:sz w:val="24"/>
          <w:szCs w:val="24"/>
        </w:rPr>
        <w:t xml:space="preserve">(2022年第9次会议) </w:t>
      </w:r>
      <w:r>
        <w:rPr>
          <w:rFonts w:hint="eastAsia" w:ascii="仿宋_GB2312" w:hAnsi="Times New Roman" w:eastAsia="仿宋_GB2312" w:cs="Times New Roman"/>
          <w:sz w:val="24"/>
          <w:szCs w:val="24"/>
        </w:rPr>
        <w:t>》</w:t>
      </w:r>
      <w:r>
        <w:rPr>
          <w:rFonts w:ascii="仿宋_GB2312" w:hAnsi="Times New Roman" w:eastAsia="仿宋_GB2312" w:cs="Times New Roman"/>
          <w:sz w:val="24"/>
          <w:szCs w:val="24"/>
        </w:rPr>
        <w:t>2022年11月29日会议</w:t>
      </w:r>
      <w:r>
        <w:rPr>
          <w:rFonts w:hint="eastAsia" w:ascii="仿宋_GB2312" w:hAnsi="Times New Roman" w:eastAsia="仿宋_GB2312" w:cs="Times New Roman"/>
          <w:sz w:val="24"/>
          <w:szCs w:val="24"/>
        </w:rPr>
        <w:t>纪要</w:t>
      </w: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72" w:firstLineChars="24"/>
        <w:rPr>
          <w:rFonts w:hint="eastAsia" w:ascii="仿宋" w:hAnsi="仿宋" w:eastAsia="仿宋" w:cs="仿宋"/>
          <w:sz w:val="30"/>
          <w:szCs w:val="30"/>
        </w:rPr>
      </w:pPr>
      <w:bookmarkStart w:id="63" w:name="_GoBack"/>
      <w:r>
        <w:rPr>
          <w:rFonts w:hint="eastAsia" w:ascii="仿宋" w:hAnsi="仿宋" w:eastAsia="仿宋" w:cs="仿宋"/>
          <w:kern w:val="0"/>
          <w:sz w:val="30"/>
          <w:szCs w:val="30"/>
        </w:rPr>
        <w:t>（此页</w:t>
      </w:r>
      <w:r>
        <w:rPr>
          <w:rFonts w:hint="eastAsia" w:ascii="仿宋" w:hAnsi="仿宋" w:eastAsia="仿宋" w:cs="仿宋"/>
          <w:kern w:val="0"/>
          <w:sz w:val="30"/>
          <w:szCs w:val="30"/>
          <w:lang w:val="en-US" w:eastAsia="zh-CN"/>
        </w:rPr>
        <w:t>无正</w:t>
      </w:r>
      <w:r>
        <w:rPr>
          <w:rFonts w:hint="eastAsia" w:ascii="仿宋" w:hAnsi="仿宋" w:eastAsia="仿宋" w:cs="仿宋"/>
          <w:kern w:val="0"/>
          <w:sz w:val="30"/>
          <w:szCs w:val="30"/>
        </w:rPr>
        <w:t>文）</w:t>
      </w:r>
    </w:p>
    <w:p>
      <w:pPr>
        <w:tabs>
          <w:tab w:val="left" w:pos="1276"/>
        </w:tabs>
        <w:spacing w:line="560" w:lineRule="exact"/>
        <w:ind w:left="474" w:leftChars="150" w:firstLine="72" w:firstLineChars="24"/>
        <w:rPr>
          <w:rFonts w:hint="eastAsia" w:ascii="仿宋" w:hAnsi="仿宋" w:eastAsia="仿宋" w:cs="仿宋"/>
          <w:sz w:val="30"/>
          <w:szCs w:val="30"/>
        </w:rPr>
      </w:pPr>
    </w:p>
    <w:p>
      <w:pPr>
        <w:tabs>
          <w:tab w:val="left" w:pos="1276"/>
        </w:tabs>
        <w:spacing w:line="560" w:lineRule="exact"/>
        <w:ind w:left="474" w:leftChars="150" w:firstLine="72" w:firstLineChars="24"/>
        <w:rPr>
          <w:rFonts w:hint="eastAsia" w:ascii="仿宋" w:hAnsi="仿宋" w:eastAsia="仿宋" w:cs="仿宋"/>
          <w:sz w:val="30"/>
          <w:szCs w:val="30"/>
        </w:rPr>
      </w:pPr>
    </w:p>
    <w:p>
      <w:pPr>
        <w:tabs>
          <w:tab w:val="left" w:pos="1276"/>
        </w:tabs>
        <w:spacing w:line="560" w:lineRule="exact"/>
        <w:ind w:left="474" w:leftChars="150" w:firstLine="72" w:firstLineChars="24"/>
        <w:rPr>
          <w:rFonts w:hint="eastAsia" w:ascii="仿宋" w:hAnsi="仿宋" w:eastAsia="仿宋" w:cs="仿宋"/>
          <w:sz w:val="30"/>
          <w:szCs w:val="30"/>
        </w:rPr>
      </w:pPr>
    </w:p>
    <w:p>
      <w:pPr>
        <w:tabs>
          <w:tab w:val="left" w:pos="1276"/>
        </w:tabs>
        <w:spacing w:line="560" w:lineRule="exact"/>
        <w:ind w:left="474" w:leftChars="150" w:firstLine="72" w:firstLineChars="24"/>
        <w:rPr>
          <w:rFonts w:hint="eastAsia" w:ascii="仿宋" w:hAnsi="仿宋" w:eastAsia="仿宋" w:cs="仿宋"/>
          <w:sz w:val="30"/>
          <w:szCs w:val="30"/>
        </w:rPr>
      </w:pPr>
    </w:p>
    <w:p>
      <w:pPr>
        <w:tabs>
          <w:tab w:val="left" w:pos="1276"/>
        </w:tabs>
        <w:spacing w:line="560" w:lineRule="exact"/>
        <w:ind w:left="474" w:leftChars="150" w:firstLine="72" w:firstLineChars="24"/>
        <w:rPr>
          <w:rFonts w:hint="eastAsia" w:ascii="仿宋" w:hAnsi="仿宋" w:eastAsia="仿宋" w:cs="仿宋"/>
          <w:sz w:val="30"/>
          <w:szCs w:val="30"/>
        </w:rPr>
      </w:pPr>
    </w:p>
    <w:p>
      <w:pPr>
        <w:tabs>
          <w:tab w:val="left" w:pos="1276"/>
        </w:tabs>
        <w:spacing w:line="560" w:lineRule="exact"/>
        <w:ind w:left="474" w:leftChars="150" w:firstLine="72" w:firstLineChars="24"/>
        <w:rPr>
          <w:rFonts w:hint="eastAsia" w:ascii="仿宋" w:hAnsi="仿宋" w:eastAsia="仿宋" w:cs="仿宋"/>
          <w:sz w:val="30"/>
          <w:szCs w:val="30"/>
        </w:rPr>
      </w:pPr>
    </w:p>
    <w:p>
      <w:pPr>
        <w:spacing w:line="560" w:lineRule="exact"/>
        <w:ind w:firstLine="296" w:firstLineChars="100"/>
        <w:jc w:val="both"/>
        <w:rPr>
          <w:rFonts w:hint="eastAsia" w:ascii="仿宋" w:hAnsi="仿宋" w:eastAsia="仿宋" w:cs="仿宋"/>
          <w:sz w:val="30"/>
          <w:szCs w:val="30"/>
          <w:lang w:val="en-US" w:eastAsia="zh-CN"/>
        </w:rPr>
      </w:pPr>
      <w:r>
        <w:rPr>
          <w:rFonts w:hint="eastAsia" w:ascii="仿宋" w:hAnsi="仿宋" w:eastAsia="仿宋" w:cs="仿宋"/>
          <w:sz w:val="30"/>
          <w:szCs w:val="30"/>
        </w:rPr>
        <w:t>安徽宝逸通企业咨询管理有限公司</w:t>
      </w:r>
      <w:r>
        <w:rPr>
          <w:rFonts w:hint="eastAsia" w:ascii="仿宋" w:hAnsi="仿宋" w:eastAsia="仿宋" w:cs="仿宋"/>
          <w:sz w:val="30"/>
          <w:szCs w:val="30"/>
          <w:lang w:val="en-US" w:eastAsia="zh-CN"/>
        </w:rPr>
        <w:t xml:space="preserve">   主评人：</w:t>
      </w:r>
    </w:p>
    <w:p>
      <w:pPr>
        <w:pStyle w:val="2"/>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p>
    <w:p>
      <w:pPr>
        <w:pStyle w:val="2"/>
        <w:ind w:firstLine="5328" w:firstLineChars="18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主评人：</w:t>
      </w:r>
    </w:p>
    <w:p>
      <w:pPr>
        <w:spacing w:line="560" w:lineRule="exact"/>
        <w:ind w:firstLine="4440" w:firstLineChars="1500"/>
        <w:jc w:val="both"/>
        <w:rPr>
          <w:rFonts w:hint="eastAsia" w:ascii="仿宋" w:hAnsi="仿宋" w:eastAsia="仿宋" w:cs="仿宋"/>
          <w:sz w:val="30"/>
          <w:szCs w:val="30"/>
        </w:rPr>
      </w:pPr>
    </w:p>
    <w:p>
      <w:pPr>
        <w:spacing w:line="560" w:lineRule="exact"/>
        <w:ind w:firstLine="4440" w:firstLineChars="1500"/>
        <w:jc w:val="both"/>
        <w:rPr>
          <w:rFonts w:hint="eastAsia" w:ascii="仿宋" w:hAnsi="仿宋" w:eastAsia="仿宋" w:cs="仿宋"/>
          <w:sz w:val="30"/>
          <w:szCs w:val="30"/>
        </w:rPr>
      </w:pPr>
      <w:r>
        <w:rPr>
          <w:rFonts w:hint="eastAsia" w:ascii="仿宋" w:hAnsi="仿宋" w:eastAsia="仿宋" w:cs="仿宋"/>
          <w:sz w:val="30"/>
          <w:szCs w:val="30"/>
          <w:lang w:val="en-US" w:eastAsia="zh-CN"/>
        </w:rPr>
        <w:t>2023</w:t>
      </w:r>
      <w:r>
        <w:rPr>
          <w:rFonts w:hint="eastAsia" w:ascii="仿宋" w:hAnsi="仿宋" w:eastAsia="仿宋" w:cs="仿宋"/>
          <w:sz w:val="30"/>
          <w:szCs w:val="30"/>
        </w:rPr>
        <w:t xml:space="preserve">年 </w:t>
      </w:r>
      <w:r>
        <w:rPr>
          <w:rFonts w:hint="eastAsia" w:ascii="仿宋" w:hAnsi="仿宋" w:eastAsia="仿宋" w:cs="仿宋"/>
          <w:sz w:val="30"/>
          <w:szCs w:val="30"/>
          <w:lang w:val="en-US" w:eastAsia="zh-CN"/>
        </w:rPr>
        <w:t>10</w:t>
      </w:r>
      <w:r>
        <w:rPr>
          <w:rFonts w:hint="eastAsia" w:ascii="仿宋" w:hAnsi="仿宋" w:eastAsia="仿宋" w:cs="仿宋"/>
          <w:sz w:val="30"/>
          <w:szCs w:val="30"/>
        </w:rPr>
        <w:t xml:space="preserve"> 月 </w:t>
      </w:r>
      <w:r>
        <w:rPr>
          <w:rFonts w:hint="eastAsia" w:ascii="仿宋" w:hAnsi="仿宋" w:eastAsia="仿宋" w:cs="仿宋"/>
          <w:sz w:val="30"/>
          <w:szCs w:val="30"/>
          <w:lang w:val="en-US" w:eastAsia="zh-CN"/>
        </w:rPr>
        <w:t>12</w:t>
      </w:r>
      <w:r>
        <w:rPr>
          <w:rFonts w:hint="eastAsia" w:ascii="仿宋" w:hAnsi="仿宋" w:eastAsia="仿宋" w:cs="仿宋"/>
          <w:sz w:val="30"/>
          <w:szCs w:val="30"/>
        </w:rPr>
        <w:t xml:space="preserve"> 日</w:t>
      </w:r>
    </w:p>
    <w:bookmarkEnd w:id="63"/>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p>
      <w:pPr>
        <w:tabs>
          <w:tab w:val="left" w:pos="1276"/>
        </w:tabs>
        <w:spacing w:line="560" w:lineRule="exact"/>
        <w:ind w:left="474" w:leftChars="150" w:firstLine="57" w:firstLineChars="24"/>
        <w:rPr>
          <w:rFonts w:hint="eastAsia" w:ascii="仿宋_GB2312" w:hAnsi="Times New Roman" w:eastAsia="仿宋_GB2312" w:cs="Times New Roman"/>
          <w:sz w:val="24"/>
          <w:szCs w:val="24"/>
        </w:rPr>
      </w:pPr>
    </w:p>
    <w:tbl>
      <w:tblPr>
        <w:tblStyle w:val="12"/>
        <w:tblpPr w:leftFromText="180" w:rightFromText="180" w:vertAnchor="text" w:horzAnchor="page" w:tblpX="100" w:tblpY="-1111"/>
        <w:tblOverlap w:val="never"/>
        <w:tblW w:w="14510" w:type="dxa"/>
        <w:tblInd w:w="0" w:type="dxa"/>
        <w:tblLayout w:type="fixed"/>
        <w:tblCellMar>
          <w:top w:w="0" w:type="dxa"/>
          <w:left w:w="0" w:type="dxa"/>
          <w:bottom w:w="0" w:type="dxa"/>
          <w:right w:w="0" w:type="dxa"/>
        </w:tblCellMar>
      </w:tblPr>
      <w:tblGrid>
        <w:gridCol w:w="14510"/>
      </w:tblGrid>
      <w:tr>
        <w:tblPrEx>
          <w:tblCellMar>
            <w:top w:w="0" w:type="dxa"/>
            <w:left w:w="0" w:type="dxa"/>
            <w:bottom w:w="0" w:type="dxa"/>
            <w:right w:w="0" w:type="dxa"/>
          </w:tblCellMar>
        </w:tblPrEx>
        <w:trPr>
          <w:trHeight w:val="915" w:hRule="atLeast"/>
        </w:trPr>
        <w:tc>
          <w:tcPr>
            <w:tcW w:w="14510" w:type="dxa"/>
            <w:noWrap/>
            <w:tcMar>
              <w:top w:w="0" w:type="dxa"/>
              <w:left w:w="108" w:type="dxa"/>
              <w:bottom w:w="0" w:type="dxa"/>
              <w:right w:w="108" w:type="dxa"/>
            </w:tcMar>
            <w:vAlign w:val="center"/>
          </w:tcPr>
          <w:p>
            <w:pPr>
              <w:widowControl/>
              <w:spacing w:line="400" w:lineRule="atLeast"/>
              <w:ind w:firstLine="888" w:firstLineChars="300"/>
              <w:rPr>
                <w:rFonts w:ascii="Times New Roman" w:hAnsi="Times New Roman" w:eastAsia="宋体"/>
                <w:kern w:val="0"/>
                <w:sz w:val="30"/>
                <w:szCs w:val="30"/>
              </w:rPr>
            </w:pPr>
          </w:p>
        </w:tc>
      </w:tr>
    </w:tbl>
    <w:p>
      <w:pPr>
        <w:spacing w:line="560" w:lineRule="exact"/>
        <w:ind w:firstLine="5624" w:firstLineChars="1900"/>
        <w:jc w:val="right"/>
        <w:rPr>
          <w:rFonts w:ascii="宋体" w:hAnsi="宋体" w:cs="宋体"/>
          <w:sz w:val="30"/>
          <w:szCs w:val="30"/>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0000000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pPr>
          <w:pStyle w:val="8"/>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560" w:lineRule="exact"/>
      <w:ind w:left="2144" w:hanging="1265" w:hangingChars="600"/>
      <w:jc w:val="right"/>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202</w:t>
    </w:r>
    <w:r>
      <w:rPr>
        <w:rFonts w:ascii="仿宋_GB2312" w:hAnsi="Times New Roman" w:eastAsia="仿宋_GB2312" w:cs="Times New Roman"/>
        <w:b/>
        <w:bCs/>
        <w:sz w:val="21"/>
        <w:szCs w:val="21"/>
      </w:rPr>
      <w:t>2</w:t>
    </w:r>
    <w:r>
      <w:rPr>
        <w:rFonts w:hint="eastAsia" w:ascii="仿宋_GB2312" w:hAnsi="Times New Roman" w:eastAsia="仿宋_GB2312" w:cs="Times New Roman"/>
        <w:b/>
        <w:bCs/>
        <w:sz w:val="21"/>
        <w:szCs w:val="21"/>
      </w:rPr>
      <w:t>年度蚌埠农业科技园管委会核心区和石榴基地建设发展资金项目支出绩效评价报告</w:t>
    </w:r>
  </w:p>
  <w:p>
    <w:pPr>
      <w:pStyle w:val="9"/>
      <w:pBdr>
        <w:bottom w:val="single"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2144" w:hanging="1265" w:hangingChars="600"/>
      <w:jc w:val="right"/>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202</w:t>
    </w:r>
    <w:r>
      <w:rPr>
        <w:rFonts w:ascii="仿宋_GB2312" w:hAnsi="Times New Roman" w:eastAsia="仿宋_GB2312" w:cs="Times New Roman"/>
        <w:b/>
        <w:bCs/>
        <w:sz w:val="21"/>
        <w:szCs w:val="21"/>
      </w:rPr>
      <w:t>2</w:t>
    </w:r>
    <w:r>
      <w:rPr>
        <w:rFonts w:hint="eastAsia" w:ascii="仿宋_GB2312" w:hAnsi="Times New Roman" w:eastAsia="仿宋_GB2312" w:cs="Times New Roman"/>
        <w:b/>
        <w:bCs/>
        <w:sz w:val="21"/>
        <w:szCs w:val="21"/>
      </w:rPr>
      <w:t>年度蚌埠农业科技园管委会核心区和石榴基地建设发展资金项目支出绩效评价报告</w:t>
    </w:r>
  </w:p>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1D050CFB"/>
    <w:multiLevelType w:val="multilevel"/>
    <w:tmpl w:val="1D050CFB"/>
    <w:lvl w:ilvl="0" w:tentative="0">
      <w:start w:val="3"/>
      <w:numFmt w:val="japaneseCounting"/>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632"/>
  <w:drawingGridHorizontalSpacing w:val="158"/>
  <w:drawingGridVerticalSpacing w:val="28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EwNzVjYTVjMjMzNmM2Mzk0ZDQxN2ZjZjA3ZDdmMGQ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284D"/>
    <w:rsid w:val="00043D97"/>
    <w:rsid w:val="00044064"/>
    <w:rsid w:val="00050AE4"/>
    <w:rsid w:val="0005227C"/>
    <w:rsid w:val="000522CF"/>
    <w:rsid w:val="00052B80"/>
    <w:rsid w:val="00053781"/>
    <w:rsid w:val="0005389F"/>
    <w:rsid w:val="00053C33"/>
    <w:rsid w:val="00055878"/>
    <w:rsid w:val="00056117"/>
    <w:rsid w:val="0005692F"/>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2731"/>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2362"/>
    <w:rsid w:val="000A3A85"/>
    <w:rsid w:val="000A4083"/>
    <w:rsid w:val="000A4AA8"/>
    <w:rsid w:val="000A4B6B"/>
    <w:rsid w:val="000A4CD4"/>
    <w:rsid w:val="000A4E80"/>
    <w:rsid w:val="000A4F68"/>
    <w:rsid w:val="000A4FDE"/>
    <w:rsid w:val="000A5858"/>
    <w:rsid w:val="000A61B5"/>
    <w:rsid w:val="000A6AB7"/>
    <w:rsid w:val="000A6ABA"/>
    <w:rsid w:val="000B1030"/>
    <w:rsid w:val="000B1794"/>
    <w:rsid w:val="000B19FF"/>
    <w:rsid w:val="000B1B05"/>
    <w:rsid w:val="000B1CAF"/>
    <w:rsid w:val="000B1F3D"/>
    <w:rsid w:val="000B2950"/>
    <w:rsid w:val="000B77E8"/>
    <w:rsid w:val="000B7A9A"/>
    <w:rsid w:val="000B7C46"/>
    <w:rsid w:val="000C00B3"/>
    <w:rsid w:val="000C1BD6"/>
    <w:rsid w:val="000C26DF"/>
    <w:rsid w:val="000C3D6B"/>
    <w:rsid w:val="000C3E3A"/>
    <w:rsid w:val="000C436F"/>
    <w:rsid w:val="000C540E"/>
    <w:rsid w:val="000C5CDD"/>
    <w:rsid w:val="000C672A"/>
    <w:rsid w:val="000C7F88"/>
    <w:rsid w:val="000D0897"/>
    <w:rsid w:val="000D180C"/>
    <w:rsid w:val="000D1837"/>
    <w:rsid w:val="000D1DA9"/>
    <w:rsid w:val="000D258D"/>
    <w:rsid w:val="000D2643"/>
    <w:rsid w:val="000D47F4"/>
    <w:rsid w:val="000D55DC"/>
    <w:rsid w:val="000D5B7F"/>
    <w:rsid w:val="000D67C6"/>
    <w:rsid w:val="000D7F15"/>
    <w:rsid w:val="000E0240"/>
    <w:rsid w:val="000E162F"/>
    <w:rsid w:val="000E23ED"/>
    <w:rsid w:val="000E38B2"/>
    <w:rsid w:val="000E4FBA"/>
    <w:rsid w:val="000E50EA"/>
    <w:rsid w:val="000F0BC0"/>
    <w:rsid w:val="000F1259"/>
    <w:rsid w:val="000F151E"/>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204"/>
    <w:rsid w:val="00104405"/>
    <w:rsid w:val="00104D18"/>
    <w:rsid w:val="00107963"/>
    <w:rsid w:val="001104C9"/>
    <w:rsid w:val="00111345"/>
    <w:rsid w:val="0011325A"/>
    <w:rsid w:val="00113390"/>
    <w:rsid w:val="0011422F"/>
    <w:rsid w:val="00114D4F"/>
    <w:rsid w:val="001240D3"/>
    <w:rsid w:val="00127A9A"/>
    <w:rsid w:val="001302B1"/>
    <w:rsid w:val="00130BCF"/>
    <w:rsid w:val="00130D66"/>
    <w:rsid w:val="0013148F"/>
    <w:rsid w:val="001319D8"/>
    <w:rsid w:val="00131EE8"/>
    <w:rsid w:val="0013358D"/>
    <w:rsid w:val="00135A7A"/>
    <w:rsid w:val="00135F91"/>
    <w:rsid w:val="001365D6"/>
    <w:rsid w:val="0013729F"/>
    <w:rsid w:val="00137F88"/>
    <w:rsid w:val="00141AC2"/>
    <w:rsid w:val="00144114"/>
    <w:rsid w:val="00144D1A"/>
    <w:rsid w:val="00144D43"/>
    <w:rsid w:val="00145044"/>
    <w:rsid w:val="00147154"/>
    <w:rsid w:val="001508B9"/>
    <w:rsid w:val="00150EF9"/>
    <w:rsid w:val="00152B1B"/>
    <w:rsid w:val="00152DD5"/>
    <w:rsid w:val="00152F10"/>
    <w:rsid w:val="00154670"/>
    <w:rsid w:val="00156114"/>
    <w:rsid w:val="00156722"/>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238E"/>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D19"/>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53EC"/>
    <w:rsid w:val="00216BE7"/>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5B7"/>
    <w:rsid w:val="00235802"/>
    <w:rsid w:val="00235CE2"/>
    <w:rsid w:val="00236313"/>
    <w:rsid w:val="00237718"/>
    <w:rsid w:val="00241F7F"/>
    <w:rsid w:val="00241FAD"/>
    <w:rsid w:val="00242B77"/>
    <w:rsid w:val="00244323"/>
    <w:rsid w:val="00244A8E"/>
    <w:rsid w:val="0024545F"/>
    <w:rsid w:val="002464D8"/>
    <w:rsid w:val="002474CB"/>
    <w:rsid w:val="0024752C"/>
    <w:rsid w:val="00247DF7"/>
    <w:rsid w:val="00247FC3"/>
    <w:rsid w:val="00251B9F"/>
    <w:rsid w:val="00251EB6"/>
    <w:rsid w:val="00252A38"/>
    <w:rsid w:val="00257656"/>
    <w:rsid w:val="00260085"/>
    <w:rsid w:val="0026025E"/>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A9"/>
    <w:rsid w:val="002935D0"/>
    <w:rsid w:val="00294832"/>
    <w:rsid w:val="0029579A"/>
    <w:rsid w:val="00295C10"/>
    <w:rsid w:val="00295F22"/>
    <w:rsid w:val="00296E7C"/>
    <w:rsid w:val="00297644"/>
    <w:rsid w:val="00297810"/>
    <w:rsid w:val="002978F0"/>
    <w:rsid w:val="002A2C11"/>
    <w:rsid w:val="002A4AE9"/>
    <w:rsid w:val="002A4D02"/>
    <w:rsid w:val="002A5569"/>
    <w:rsid w:val="002A576C"/>
    <w:rsid w:val="002A5A9E"/>
    <w:rsid w:val="002A683B"/>
    <w:rsid w:val="002A6C65"/>
    <w:rsid w:val="002B21C2"/>
    <w:rsid w:val="002B28E9"/>
    <w:rsid w:val="002B3CB9"/>
    <w:rsid w:val="002B49D7"/>
    <w:rsid w:val="002B5490"/>
    <w:rsid w:val="002B708E"/>
    <w:rsid w:val="002B70BA"/>
    <w:rsid w:val="002C0BB9"/>
    <w:rsid w:val="002C278F"/>
    <w:rsid w:val="002C5EB9"/>
    <w:rsid w:val="002C6022"/>
    <w:rsid w:val="002C7FA4"/>
    <w:rsid w:val="002D0D12"/>
    <w:rsid w:val="002D12A4"/>
    <w:rsid w:val="002D150A"/>
    <w:rsid w:val="002D1C37"/>
    <w:rsid w:val="002D2055"/>
    <w:rsid w:val="002D2321"/>
    <w:rsid w:val="002D2B71"/>
    <w:rsid w:val="002D4B0C"/>
    <w:rsid w:val="002D4C04"/>
    <w:rsid w:val="002D5227"/>
    <w:rsid w:val="002D56A2"/>
    <w:rsid w:val="002D6BA4"/>
    <w:rsid w:val="002D6C7E"/>
    <w:rsid w:val="002D7573"/>
    <w:rsid w:val="002E0001"/>
    <w:rsid w:val="002E09F4"/>
    <w:rsid w:val="002E0F13"/>
    <w:rsid w:val="002E126A"/>
    <w:rsid w:val="002E172F"/>
    <w:rsid w:val="002E1880"/>
    <w:rsid w:val="002E1893"/>
    <w:rsid w:val="002E2344"/>
    <w:rsid w:val="002E32D3"/>
    <w:rsid w:val="002E32E4"/>
    <w:rsid w:val="002E4478"/>
    <w:rsid w:val="002E6270"/>
    <w:rsid w:val="002E7156"/>
    <w:rsid w:val="002F1490"/>
    <w:rsid w:val="002F15C9"/>
    <w:rsid w:val="002F28C4"/>
    <w:rsid w:val="002F4338"/>
    <w:rsid w:val="002F60C2"/>
    <w:rsid w:val="002F690B"/>
    <w:rsid w:val="002F6C4C"/>
    <w:rsid w:val="00301E57"/>
    <w:rsid w:val="0030215F"/>
    <w:rsid w:val="00302750"/>
    <w:rsid w:val="00302E1A"/>
    <w:rsid w:val="00303741"/>
    <w:rsid w:val="00304A76"/>
    <w:rsid w:val="00304ECB"/>
    <w:rsid w:val="003056E1"/>
    <w:rsid w:val="00305DD4"/>
    <w:rsid w:val="00306B96"/>
    <w:rsid w:val="00306D5E"/>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0BA"/>
    <w:rsid w:val="0033144F"/>
    <w:rsid w:val="003325DC"/>
    <w:rsid w:val="00334490"/>
    <w:rsid w:val="00334517"/>
    <w:rsid w:val="00335071"/>
    <w:rsid w:val="00335ABD"/>
    <w:rsid w:val="00335AEF"/>
    <w:rsid w:val="00335CEE"/>
    <w:rsid w:val="00335EE4"/>
    <w:rsid w:val="00335F1F"/>
    <w:rsid w:val="00344CA2"/>
    <w:rsid w:val="0034648D"/>
    <w:rsid w:val="003510AE"/>
    <w:rsid w:val="00351A59"/>
    <w:rsid w:val="00351FB7"/>
    <w:rsid w:val="0035380C"/>
    <w:rsid w:val="003544F9"/>
    <w:rsid w:val="003546E5"/>
    <w:rsid w:val="0035487A"/>
    <w:rsid w:val="00355A26"/>
    <w:rsid w:val="00355CA0"/>
    <w:rsid w:val="0035663C"/>
    <w:rsid w:val="00357B54"/>
    <w:rsid w:val="003601BD"/>
    <w:rsid w:val="00360332"/>
    <w:rsid w:val="003605BE"/>
    <w:rsid w:val="00361278"/>
    <w:rsid w:val="00361C28"/>
    <w:rsid w:val="00362E98"/>
    <w:rsid w:val="0036326D"/>
    <w:rsid w:val="003635C6"/>
    <w:rsid w:val="00364420"/>
    <w:rsid w:val="003646BA"/>
    <w:rsid w:val="003650EB"/>
    <w:rsid w:val="00367A8C"/>
    <w:rsid w:val="00370DE7"/>
    <w:rsid w:val="00371196"/>
    <w:rsid w:val="00371329"/>
    <w:rsid w:val="00372CAB"/>
    <w:rsid w:val="00373C8F"/>
    <w:rsid w:val="003740A3"/>
    <w:rsid w:val="0037462E"/>
    <w:rsid w:val="00375D60"/>
    <w:rsid w:val="00375FD6"/>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C23"/>
    <w:rsid w:val="003D2FE3"/>
    <w:rsid w:val="003D4388"/>
    <w:rsid w:val="003D61DF"/>
    <w:rsid w:val="003D6A3D"/>
    <w:rsid w:val="003E0114"/>
    <w:rsid w:val="003E25FD"/>
    <w:rsid w:val="003E3FB6"/>
    <w:rsid w:val="003E459C"/>
    <w:rsid w:val="003E52AA"/>
    <w:rsid w:val="003E540E"/>
    <w:rsid w:val="003E5F65"/>
    <w:rsid w:val="003E75D5"/>
    <w:rsid w:val="003F0D8C"/>
    <w:rsid w:val="003F29D8"/>
    <w:rsid w:val="003F2C54"/>
    <w:rsid w:val="003F3F5E"/>
    <w:rsid w:val="003F5757"/>
    <w:rsid w:val="003F5D1C"/>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47BF"/>
    <w:rsid w:val="0043694B"/>
    <w:rsid w:val="00436BF6"/>
    <w:rsid w:val="00437053"/>
    <w:rsid w:val="0043759D"/>
    <w:rsid w:val="004403E6"/>
    <w:rsid w:val="004407EA"/>
    <w:rsid w:val="004432C9"/>
    <w:rsid w:val="00443B72"/>
    <w:rsid w:val="00446091"/>
    <w:rsid w:val="004476F4"/>
    <w:rsid w:val="00450248"/>
    <w:rsid w:val="00450B30"/>
    <w:rsid w:val="0045192E"/>
    <w:rsid w:val="00453F32"/>
    <w:rsid w:val="0045419A"/>
    <w:rsid w:val="00454479"/>
    <w:rsid w:val="00454A69"/>
    <w:rsid w:val="00455673"/>
    <w:rsid w:val="00455809"/>
    <w:rsid w:val="00455B41"/>
    <w:rsid w:val="004605ED"/>
    <w:rsid w:val="00462058"/>
    <w:rsid w:val="004643D0"/>
    <w:rsid w:val="00464D5E"/>
    <w:rsid w:val="00464F90"/>
    <w:rsid w:val="00465764"/>
    <w:rsid w:val="00465985"/>
    <w:rsid w:val="00466250"/>
    <w:rsid w:val="004667AD"/>
    <w:rsid w:val="00467E5B"/>
    <w:rsid w:val="004705CB"/>
    <w:rsid w:val="00472EC2"/>
    <w:rsid w:val="00473B9E"/>
    <w:rsid w:val="00474049"/>
    <w:rsid w:val="0047516A"/>
    <w:rsid w:val="00476F9C"/>
    <w:rsid w:val="004771D1"/>
    <w:rsid w:val="00477B7B"/>
    <w:rsid w:val="004821A3"/>
    <w:rsid w:val="00483628"/>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68C4"/>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2E4"/>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7B9"/>
    <w:rsid w:val="00550AD3"/>
    <w:rsid w:val="00550E7B"/>
    <w:rsid w:val="0055185B"/>
    <w:rsid w:val="005545B5"/>
    <w:rsid w:val="00554AA5"/>
    <w:rsid w:val="005558BE"/>
    <w:rsid w:val="00555D3F"/>
    <w:rsid w:val="00561AF6"/>
    <w:rsid w:val="00563D50"/>
    <w:rsid w:val="00563ECE"/>
    <w:rsid w:val="00565D43"/>
    <w:rsid w:val="00565F4B"/>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5E"/>
    <w:rsid w:val="00587581"/>
    <w:rsid w:val="00590243"/>
    <w:rsid w:val="00590456"/>
    <w:rsid w:val="005915F4"/>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3DCF"/>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3DC8"/>
    <w:rsid w:val="005C53D1"/>
    <w:rsid w:val="005C7172"/>
    <w:rsid w:val="005C7CE7"/>
    <w:rsid w:val="005D1840"/>
    <w:rsid w:val="005D37F1"/>
    <w:rsid w:val="005D3B89"/>
    <w:rsid w:val="005D4FA5"/>
    <w:rsid w:val="005D584D"/>
    <w:rsid w:val="005D6348"/>
    <w:rsid w:val="005D66B9"/>
    <w:rsid w:val="005D6888"/>
    <w:rsid w:val="005D69A0"/>
    <w:rsid w:val="005D72B1"/>
    <w:rsid w:val="005E0334"/>
    <w:rsid w:val="005E0738"/>
    <w:rsid w:val="005E0B53"/>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67"/>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2897"/>
    <w:rsid w:val="006539CD"/>
    <w:rsid w:val="00653FC7"/>
    <w:rsid w:val="006541C1"/>
    <w:rsid w:val="0065486A"/>
    <w:rsid w:val="006556A3"/>
    <w:rsid w:val="0065626B"/>
    <w:rsid w:val="00656F93"/>
    <w:rsid w:val="00657DBC"/>
    <w:rsid w:val="006609A4"/>
    <w:rsid w:val="00661862"/>
    <w:rsid w:val="006653BD"/>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5970"/>
    <w:rsid w:val="00676605"/>
    <w:rsid w:val="006766F9"/>
    <w:rsid w:val="006774B4"/>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1B9"/>
    <w:rsid w:val="00694227"/>
    <w:rsid w:val="0069509C"/>
    <w:rsid w:val="00695739"/>
    <w:rsid w:val="00696D70"/>
    <w:rsid w:val="00696FDD"/>
    <w:rsid w:val="006976D6"/>
    <w:rsid w:val="00697A50"/>
    <w:rsid w:val="006A0C23"/>
    <w:rsid w:val="006A1B27"/>
    <w:rsid w:val="006A2C64"/>
    <w:rsid w:val="006A68F8"/>
    <w:rsid w:val="006A7822"/>
    <w:rsid w:val="006B1A0D"/>
    <w:rsid w:val="006B2970"/>
    <w:rsid w:val="006B2FFF"/>
    <w:rsid w:val="006B308C"/>
    <w:rsid w:val="006B41AA"/>
    <w:rsid w:val="006B53AD"/>
    <w:rsid w:val="006B5D48"/>
    <w:rsid w:val="006B5DD6"/>
    <w:rsid w:val="006B60A7"/>
    <w:rsid w:val="006B621A"/>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3614"/>
    <w:rsid w:val="006E57DB"/>
    <w:rsid w:val="006E647D"/>
    <w:rsid w:val="006E7A34"/>
    <w:rsid w:val="006F0145"/>
    <w:rsid w:val="006F0B83"/>
    <w:rsid w:val="006F1301"/>
    <w:rsid w:val="006F22A8"/>
    <w:rsid w:val="006F24B6"/>
    <w:rsid w:val="006F37BF"/>
    <w:rsid w:val="006F4CE5"/>
    <w:rsid w:val="006F5105"/>
    <w:rsid w:val="006F5675"/>
    <w:rsid w:val="006F6E3F"/>
    <w:rsid w:val="007000E5"/>
    <w:rsid w:val="00702246"/>
    <w:rsid w:val="00702ECC"/>
    <w:rsid w:val="00703DC9"/>
    <w:rsid w:val="007044F9"/>
    <w:rsid w:val="00704B02"/>
    <w:rsid w:val="0070535E"/>
    <w:rsid w:val="007057E9"/>
    <w:rsid w:val="007060DD"/>
    <w:rsid w:val="00707807"/>
    <w:rsid w:val="00711A07"/>
    <w:rsid w:val="00714A66"/>
    <w:rsid w:val="00714BC1"/>
    <w:rsid w:val="007151CA"/>
    <w:rsid w:val="00715EFB"/>
    <w:rsid w:val="00716C02"/>
    <w:rsid w:val="00717538"/>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1B9C"/>
    <w:rsid w:val="0074381C"/>
    <w:rsid w:val="00743CE6"/>
    <w:rsid w:val="00744BAD"/>
    <w:rsid w:val="00744F35"/>
    <w:rsid w:val="007455C3"/>
    <w:rsid w:val="00745A18"/>
    <w:rsid w:val="00747F7F"/>
    <w:rsid w:val="00750B21"/>
    <w:rsid w:val="00752ADC"/>
    <w:rsid w:val="0075440D"/>
    <w:rsid w:val="00755DFA"/>
    <w:rsid w:val="0075639B"/>
    <w:rsid w:val="0075648A"/>
    <w:rsid w:val="00756A6A"/>
    <w:rsid w:val="007576F4"/>
    <w:rsid w:val="007577C7"/>
    <w:rsid w:val="00761B3C"/>
    <w:rsid w:val="00762254"/>
    <w:rsid w:val="0076273D"/>
    <w:rsid w:val="0076308E"/>
    <w:rsid w:val="00763122"/>
    <w:rsid w:val="007631B6"/>
    <w:rsid w:val="007655D8"/>
    <w:rsid w:val="0076638F"/>
    <w:rsid w:val="00766A05"/>
    <w:rsid w:val="00770A70"/>
    <w:rsid w:val="00771142"/>
    <w:rsid w:val="00772F5A"/>
    <w:rsid w:val="00772FEB"/>
    <w:rsid w:val="00774023"/>
    <w:rsid w:val="007758A4"/>
    <w:rsid w:val="00775A3B"/>
    <w:rsid w:val="00776780"/>
    <w:rsid w:val="00776BA8"/>
    <w:rsid w:val="007804E2"/>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222F"/>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3EDF"/>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371"/>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4860"/>
    <w:rsid w:val="00814D84"/>
    <w:rsid w:val="008168DD"/>
    <w:rsid w:val="00817BF9"/>
    <w:rsid w:val="00821291"/>
    <w:rsid w:val="00821C6C"/>
    <w:rsid w:val="00821E7C"/>
    <w:rsid w:val="008220F1"/>
    <w:rsid w:val="00823D96"/>
    <w:rsid w:val="00824819"/>
    <w:rsid w:val="00824D30"/>
    <w:rsid w:val="00825B64"/>
    <w:rsid w:val="00826A3A"/>
    <w:rsid w:val="0082757D"/>
    <w:rsid w:val="00830138"/>
    <w:rsid w:val="008313F7"/>
    <w:rsid w:val="00831A1D"/>
    <w:rsid w:val="008327E4"/>
    <w:rsid w:val="00832E99"/>
    <w:rsid w:val="00836C61"/>
    <w:rsid w:val="00841F74"/>
    <w:rsid w:val="008423ED"/>
    <w:rsid w:val="00843F19"/>
    <w:rsid w:val="00845774"/>
    <w:rsid w:val="00845B7A"/>
    <w:rsid w:val="00845EF2"/>
    <w:rsid w:val="00846834"/>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1B72"/>
    <w:rsid w:val="00892D19"/>
    <w:rsid w:val="00892DDA"/>
    <w:rsid w:val="00894127"/>
    <w:rsid w:val="00894860"/>
    <w:rsid w:val="00894926"/>
    <w:rsid w:val="00894C1E"/>
    <w:rsid w:val="008952A3"/>
    <w:rsid w:val="00895A28"/>
    <w:rsid w:val="008971E8"/>
    <w:rsid w:val="00897861"/>
    <w:rsid w:val="008A1123"/>
    <w:rsid w:val="008A1B5E"/>
    <w:rsid w:val="008A1EFA"/>
    <w:rsid w:val="008A2DB1"/>
    <w:rsid w:val="008A2FB6"/>
    <w:rsid w:val="008A3B35"/>
    <w:rsid w:val="008A40ED"/>
    <w:rsid w:val="008A4981"/>
    <w:rsid w:val="008A50CF"/>
    <w:rsid w:val="008A5980"/>
    <w:rsid w:val="008A5FC6"/>
    <w:rsid w:val="008A6A5D"/>
    <w:rsid w:val="008A7ED5"/>
    <w:rsid w:val="008B0859"/>
    <w:rsid w:val="008B0ACE"/>
    <w:rsid w:val="008B0ED8"/>
    <w:rsid w:val="008B3597"/>
    <w:rsid w:val="008B3C56"/>
    <w:rsid w:val="008B4EC1"/>
    <w:rsid w:val="008B55A7"/>
    <w:rsid w:val="008B6258"/>
    <w:rsid w:val="008B66A4"/>
    <w:rsid w:val="008C02B1"/>
    <w:rsid w:val="008C1301"/>
    <w:rsid w:val="008C330F"/>
    <w:rsid w:val="008C407A"/>
    <w:rsid w:val="008C4FE4"/>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1AE0"/>
    <w:rsid w:val="0092460F"/>
    <w:rsid w:val="009267E7"/>
    <w:rsid w:val="0093035E"/>
    <w:rsid w:val="0093329E"/>
    <w:rsid w:val="0093638A"/>
    <w:rsid w:val="00937CB3"/>
    <w:rsid w:val="00937EEF"/>
    <w:rsid w:val="0094025D"/>
    <w:rsid w:val="00941A2B"/>
    <w:rsid w:val="009420F8"/>
    <w:rsid w:val="00942637"/>
    <w:rsid w:val="009447C9"/>
    <w:rsid w:val="009465F8"/>
    <w:rsid w:val="009502E5"/>
    <w:rsid w:val="00952BAC"/>
    <w:rsid w:val="00952E0D"/>
    <w:rsid w:val="00954304"/>
    <w:rsid w:val="009547B5"/>
    <w:rsid w:val="00954DA3"/>
    <w:rsid w:val="009550FF"/>
    <w:rsid w:val="00955C58"/>
    <w:rsid w:val="009564E5"/>
    <w:rsid w:val="009567C9"/>
    <w:rsid w:val="00957087"/>
    <w:rsid w:val="009573AB"/>
    <w:rsid w:val="009631FA"/>
    <w:rsid w:val="00963370"/>
    <w:rsid w:val="009639F0"/>
    <w:rsid w:val="0096436B"/>
    <w:rsid w:val="009654B0"/>
    <w:rsid w:val="00966D8F"/>
    <w:rsid w:val="00971CB4"/>
    <w:rsid w:val="009725B2"/>
    <w:rsid w:val="00972EF5"/>
    <w:rsid w:val="00972F8C"/>
    <w:rsid w:val="009735B2"/>
    <w:rsid w:val="00973C37"/>
    <w:rsid w:val="0097523E"/>
    <w:rsid w:val="0098030B"/>
    <w:rsid w:val="00980649"/>
    <w:rsid w:val="00980866"/>
    <w:rsid w:val="009816C1"/>
    <w:rsid w:val="00982C79"/>
    <w:rsid w:val="00983E44"/>
    <w:rsid w:val="00983EFF"/>
    <w:rsid w:val="00984C69"/>
    <w:rsid w:val="00985819"/>
    <w:rsid w:val="0098609F"/>
    <w:rsid w:val="0099027C"/>
    <w:rsid w:val="00990A92"/>
    <w:rsid w:val="00992BEE"/>
    <w:rsid w:val="00992E24"/>
    <w:rsid w:val="009945A4"/>
    <w:rsid w:val="0099472C"/>
    <w:rsid w:val="00994C76"/>
    <w:rsid w:val="009954A1"/>
    <w:rsid w:val="009954F7"/>
    <w:rsid w:val="00995932"/>
    <w:rsid w:val="00996A16"/>
    <w:rsid w:val="009975FC"/>
    <w:rsid w:val="009A0152"/>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111"/>
    <w:rsid w:val="009C6E4D"/>
    <w:rsid w:val="009C750F"/>
    <w:rsid w:val="009D0C59"/>
    <w:rsid w:val="009D39C2"/>
    <w:rsid w:val="009D4E26"/>
    <w:rsid w:val="009D5A53"/>
    <w:rsid w:val="009D621E"/>
    <w:rsid w:val="009D6255"/>
    <w:rsid w:val="009D6E8E"/>
    <w:rsid w:val="009D713C"/>
    <w:rsid w:val="009D789A"/>
    <w:rsid w:val="009E156E"/>
    <w:rsid w:val="009E293B"/>
    <w:rsid w:val="009E415D"/>
    <w:rsid w:val="009E4FBE"/>
    <w:rsid w:val="009E6533"/>
    <w:rsid w:val="009E6BD6"/>
    <w:rsid w:val="009E7AD3"/>
    <w:rsid w:val="009F1D24"/>
    <w:rsid w:val="009F2D25"/>
    <w:rsid w:val="009F3468"/>
    <w:rsid w:val="009F45A5"/>
    <w:rsid w:val="009F63AB"/>
    <w:rsid w:val="009F666A"/>
    <w:rsid w:val="009F6D12"/>
    <w:rsid w:val="009F709F"/>
    <w:rsid w:val="009F7CBC"/>
    <w:rsid w:val="00A0110F"/>
    <w:rsid w:val="00A01257"/>
    <w:rsid w:val="00A01721"/>
    <w:rsid w:val="00A031D6"/>
    <w:rsid w:val="00A0322B"/>
    <w:rsid w:val="00A03CE6"/>
    <w:rsid w:val="00A05753"/>
    <w:rsid w:val="00A061E6"/>
    <w:rsid w:val="00A0750F"/>
    <w:rsid w:val="00A12640"/>
    <w:rsid w:val="00A13362"/>
    <w:rsid w:val="00A14BFB"/>
    <w:rsid w:val="00A15D59"/>
    <w:rsid w:val="00A164B4"/>
    <w:rsid w:val="00A16A69"/>
    <w:rsid w:val="00A22266"/>
    <w:rsid w:val="00A23BE3"/>
    <w:rsid w:val="00A2427C"/>
    <w:rsid w:val="00A245EA"/>
    <w:rsid w:val="00A24A7C"/>
    <w:rsid w:val="00A250BD"/>
    <w:rsid w:val="00A2729E"/>
    <w:rsid w:val="00A30F93"/>
    <w:rsid w:val="00A31028"/>
    <w:rsid w:val="00A3183A"/>
    <w:rsid w:val="00A31ABA"/>
    <w:rsid w:val="00A33430"/>
    <w:rsid w:val="00A33675"/>
    <w:rsid w:val="00A33B2A"/>
    <w:rsid w:val="00A340F5"/>
    <w:rsid w:val="00A35E5C"/>
    <w:rsid w:val="00A35E6B"/>
    <w:rsid w:val="00A36E7A"/>
    <w:rsid w:val="00A37B68"/>
    <w:rsid w:val="00A40896"/>
    <w:rsid w:val="00A4438C"/>
    <w:rsid w:val="00A44B55"/>
    <w:rsid w:val="00A452D0"/>
    <w:rsid w:val="00A457BC"/>
    <w:rsid w:val="00A45E58"/>
    <w:rsid w:val="00A46999"/>
    <w:rsid w:val="00A46B21"/>
    <w:rsid w:val="00A47374"/>
    <w:rsid w:val="00A47682"/>
    <w:rsid w:val="00A50025"/>
    <w:rsid w:val="00A512D8"/>
    <w:rsid w:val="00A5136B"/>
    <w:rsid w:val="00A5232C"/>
    <w:rsid w:val="00A52827"/>
    <w:rsid w:val="00A542A3"/>
    <w:rsid w:val="00A5473C"/>
    <w:rsid w:val="00A54CF1"/>
    <w:rsid w:val="00A559AE"/>
    <w:rsid w:val="00A55DAC"/>
    <w:rsid w:val="00A56240"/>
    <w:rsid w:val="00A6048C"/>
    <w:rsid w:val="00A61725"/>
    <w:rsid w:val="00A650E2"/>
    <w:rsid w:val="00A66BD3"/>
    <w:rsid w:val="00A70306"/>
    <w:rsid w:val="00A70773"/>
    <w:rsid w:val="00A7077A"/>
    <w:rsid w:val="00A72A8D"/>
    <w:rsid w:val="00A73689"/>
    <w:rsid w:val="00A745D7"/>
    <w:rsid w:val="00A7467D"/>
    <w:rsid w:val="00A75208"/>
    <w:rsid w:val="00A7766D"/>
    <w:rsid w:val="00A77D95"/>
    <w:rsid w:val="00A80478"/>
    <w:rsid w:val="00A82028"/>
    <w:rsid w:val="00A8300D"/>
    <w:rsid w:val="00A83064"/>
    <w:rsid w:val="00A84419"/>
    <w:rsid w:val="00A850A9"/>
    <w:rsid w:val="00A85D32"/>
    <w:rsid w:val="00A86D55"/>
    <w:rsid w:val="00A87FB9"/>
    <w:rsid w:val="00A90798"/>
    <w:rsid w:val="00A923EA"/>
    <w:rsid w:val="00A9287D"/>
    <w:rsid w:val="00A92D9F"/>
    <w:rsid w:val="00A9390E"/>
    <w:rsid w:val="00A94E6C"/>
    <w:rsid w:val="00A96C0D"/>
    <w:rsid w:val="00A97702"/>
    <w:rsid w:val="00A97E2D"/>
    <w:rsid w:val="00AA0E60"/>
    <w:rsid w:val="00AA169F"/>
    <w:rsid w:val="00AA17C5"/>
    <w:rsid w:val="00AA210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2B51"/>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19E1"/>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6F8"/>
    <w:rsid w:val="00B44B65"/>
    <w:rsid w:val="00B452A7"/>
    <w:rsid w:val="00B46300"/>
    <w:rsid w:val="00B472C0"/>
    <w:rsid w:val="00B51430"/>
    <w:rsid w:val="00B51748"/>
    <w:rsid w:val="00B51A22"/>
    <w:rsid w:val="00B523E4"/>
    <w:rsid w:val="00B52690"/>
    <w:rsid w:val="00B52A75"/>
    <w:rsid w:val="00B52F13"/>
    <w:rsid w:val="00B52F91"/>
    <w:rsid w:val="00B549D7"/>
    <w:rsid w:val="00B601B9"/>
    <w:rsid w:val="00B62A3E"/>
    <w:rsid w:val="00B6322A"/>
    <w:rsid w:val="00B63E32"/>
    <w:rsid w:val="00B646E0"/>
    <w:rsid w:val="00B66548"/>
    <w:rsid w:val="00B66AEB"/>
    <w:rsid w:val="00B6735C"/>
    <w:rsid w:val="00B71E74"/>
    <w:rsid w:val="00B7270C"/>
    <w:rsid w:val="00B72C69"/>
    <w:rsid w:val="00B73B55"/>
    <w:rsid w:val="00B74375"/>
    <w:rsid w:val="00B74385"/>
    <w:rsid w:val="00B74E0A"/>
    <w:rsid w:val="00B75154"/>
    <w:rsid w:val="00B76A69"/>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1B1C"/>
    <w:rsid w:val="00BA2B5A"/>
    <w:rsid w:val="00BA35BC"/>
    <w:rsid w:val="00BA3BAC"/>
    <w:rsid w:val="00BA59DD"/>
    <w:rsid w:val="00BA775F"/>
    <w:rsid w:val="00BB0E2F"/>
    <w:rsid w:val="00BB1522"/>
    <w:rsid w:val="00BB1CE1"/>
    <w:rsid w:val="00BB2BAB"/>
    <w:rsid w:val="00BB34DF"/>
    <w:rsid w:val="00BB4928"/>
    <w:rsid w:val="00BB4C04"/>
    <w:rsid w:val="00BB7479"/>
    <w:rsid w:val="00BB7D68"/>
    <w:rsid w:val="00BC025F"/>
    <w:rsid w:val="00BC1386"/>
    <w:rsid w:val="00BC17E6"/>
    <w:rsid w:val="00BC208D"/>
    <w:rsid w:val="00BC33E3"/>
    <w:rsid w:val="00BC5275"/>
    <w:rsid w:val="00BC53C8"/>
    <w:rsid w:val="00BC58ED"/>
    <w:rsid w:val="00BC762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422"/>
    <w:rsid w:val="00BF2460"/>
    <w:rsid w:val="00BF26E6"/>
    <w:rsid w:val="00BF534A"/>
    <w:rsid w:val="00BF6F1D"/>
    <w:rsid w:val="00BF7F70"/>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3F6F"/>
    <w:rsid w:val="00C45B61"/>
    <w:rsid w:val="00C460B5"/>
    <w:rsid w:val="00C46297"/>
    <w:rsid w:val="00C47D9B"/>
    <w:rsid w:val="00C47DF1"/>
    <w:rsid w:val="00C50475"/>
    <w:rsid w:val="00C5148A"/>
    <w:rsid w:val="00C51ADB"/>
    <w:rsid w:val="00C52050"/>
    <w:rsid w:val="00C52C11"/>
    <w:rsid w:val="00C55712"/>
    <w:rsid w:val="00C5591C"/>
    <w:rsid w:val="00C55BB1"/>
    <w:rsid w:val="00C573F6"/>
    <w:rsid w:val="00C57C05"/>
    <w:rsid w:val="00C57C08"/>
    <w:rsid w:val="00C6016C"/>
    <w:rsid w:val="00C62E17"/>
    <w:rsid w:val="00C63A78"/>
    <w:rsid w:val="00C64DC6"/>
    <w:rsid w:val="00C65734"/>
    <w:rsid w:val="00C6588D"/>
    <w:rsid w:val="00C660AE"/>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05"/>
    <w:rsid w:val="00C91EF8"/>
    <w:rsid w:val="00C94785"/>
    <w:rsid w:val="00C952D8"/>
    <w:rsid w:val="00C95325"/>
    <w:rsid w:val="00C9556F"/>
    <w:rsid w:val="00C95B67"/>
    <w:rsid w:val="00C9713B"/>
    <w:rsid w:val="00C976AA"/>
    <w:rsid w:val="00CA065F"/>
    <w:rsid w:val="00CA0CD7"/>
    <w:rsid w:val="00CA2113"/>
    <w:rsid w:val="00CA292A"/>
    <w:rsid w:val="00CA431E"/>
    <w:rsid w:val="00CA546E"/>
    <w:rsid w:val="00CA56F1"/>
    <w:rsid w:val="00CA6A7E"/>
    <w:rsid w:val="00CA6B1E"/>
    <w:rsid w:val="00CB321F"/>
    <w:rsid w:val="00CB41BC"/>
    <w:rsid w:val="00CB47B4"/>
    <w:rsid w:val="00CB533F"/>
    <w:rsid w:val="00CB5C24"/>
    <w:rsid w:val="00CB5C3D"/>
    <w:rsid w:val="00CB5EEC"/>
    <w:rsid w:val="00CC01CB"/>
    <w:rsid w:val="00CC0887"/>
    <w:rsid w:val="00CC0933"/>
    <w:rsid w:val="00CC1C0B"/>
    <w:rsid w:val="00CC3115"/>
    <w:rsid w:val="00CC3150"/>
    <w:rsid w:val="00CC3320"/>
    <w:rsid w:val="00CC3830"/>
    <w:rsid w:val="00CC5078"/>
    <w:rsid w:val="00CC5186"/>
    <w:rsid w:val="00CC5A58"/>
    <w:rsid w:val="00CC7CB1"/>
    <w:rsid w:val="00CD16B0"/>
    <w:rsid w:val="00CD358F"/>
    <w:rsid w:val="00CD5491"/>
    <w:rsid w:val="00CD5B11"/>
    <w:rsid w:val="00CD67C9"/>
    <w:rsid w:val="00CD6B08"/>
    <w:rsid w:val="00CE1483"/>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303"/>
    <w:rsid w:val="00D05E3E"/>
    <w:rsid w:val="00D06CDA"/>
    <w:rsid w:val="00D115B6"/>
    <w:rsid w:val="00D11A40"/>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3F4C"/>
    <w:rsid w:val="00D35269"/>
    <w:rsid w:val="00D373F8"/>
    <w:rsid w:val="00D40864"/>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C3B"/>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080D"/>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5F32"/>
    <w:rsid w:val="00D96392"/>
    <w:rsid w:val="00D967E6"/>
    <w:rsid w:val="00D9701D"/>
    <w:rsid w:val="00DA02CA"/>
    <w:rsid w:val="00DA062A"/>
    <w:rsid w:val="00DA0D63"/>
    <w:rsid w:val="00DA1952"/>
    <w:rsid w:val="00DA5D75"/>
    <w:rsid w:val="00DA632F"/>
    <w:rsid w:val="00DA73C7"/>
    <w:rsid w:val="00DB5CC0"/>
    <w:rsid w:val="00DB69A5"/>
    <w:rsid w:val="00DB7736"/>
    <w:rsid w:val="00DC0683"/>
    <w:rsid w:val="00DC27B6"/>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1AF"/>
    <w:rsid w:val="00DF188E"/>
    <w:rsid w:val="00DF2CBF"/>
    <w:rsid w:val="00DF3FFF"/>
    <w:rsid w:val="00DF5465"/>
    <w:rsid w:val="00DF5DF3"/>
    <w:rsid w:val="00DF6A46"/>
    <w:rsid w:val="00E00697"/>
    <w:rsid w:val="00E01C16"/>
    <w:rsid w:val="00E01DF5"/>
    <w:rsid w:val="00E04559"/>
    <w:rsid w:val="00E056DD"/>
    <w:rsid w:val="00E05C51"/>
    <w:rsid w:val="00E076B8"/>
    <w:rsid w:val="00E1046A"/>
    <w:rsid w:val="00E10632"/>
    <w:rsid w:val="00E109E1"/>
    <w:rsid w:val="00E11770"/>
    <w:rsid w:val="00E11A3D"/>
    <w:rsid w:val="00E140DB"/>
    <w:rsid w:val="00E14693"/>
    <w:rsid w:val="00E14EFF"/>
    <w:rsid w:val="00E203DC"/>
    <w:rsid w:val="00E20676"/>
    <w:rsid w:val="00E208C4"/>
    <w:rsid w:val="00E20F3A"/>
    <w:rsid w:val="00E21B0D"/>
    <w:rsid w:val="00E21B25"/>
    <w:rsid w:val="00E224FF"/>
    <w:rsid w:val="00E226D5"/>
    <w:rsid w:val="00E22D01"/>
    <w:rsid w:val="00E24392"/>
    <w:rsid w:val="00E243A3"/>
    <w:rsid w:val="00E24711"/>
    <w:rsid w:val="00E24AD3"/>
    <w:rsid w:val="00E257DD"/>
    <w:rsid w:val="00E264CF"/>
    <w:rsid w:val="00E26F2A"/>
    <w:rsid w:val="00E30B3B"/>
    <w:rsid w:val="00E31CFE"/>
    <w:rsid w:val="00E3246B"/>
    <w:rsid w:val="00E32B4D"/>
    <w:rsid w:val="00E3469B"/>
    <w:rsid w:val="00E34F44"/>
    <w:rsid w:val="00E35A8E"/>
    <w:rsid w:val="00E36FB7"/>
    <w:rsid w:val="00E417B7"/>
    <w:rsid w:val="00E423B0"/>
    <w:rsid w:val="00E423B4"/>
    <w:rsid w:val="00E436D2"/>
    <w:rsid w:val="00E45010"/>
    <w:rsid w:val="00E45687"/>
    <w:rsid w:val="00E4572D"/>
    <w:rsid w:val="00E477B9"/>
    <w:rsid w:val="00E50575"/>
    <w:rsid w:val="00E51187"/>
    <w:rsid w:val="00E51E00"/>
    <w:rsid w:val="00E53A6E"/>
    <w:rsid w:val="00E56642"/>
    <w:rsid w:val="00E60C22"/>
    <w:rsid w:val="00E61E3C"/>
    <w:rsid w:val="00E6491D"/>
    <w:rsid w:val="00E64990"/>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303"/>
    <w:rsid w:val="00E82ADE"/>
    <w:rsid w:val="00E837E2"/>
    <w:rsid w:val="00E849BA"/>
    <w:rsid w:val="00E862EB"/>
    <w:rsid w:val="00E863F4"/>
    <w:rsid w:val="00E90112"/>
    <w:rsid w:val="00E9062B"/>
    <w:rsid w:val="00E90731"/>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0B63"/>
    <w:rsid w:val="00ED1124"/>
    <w:rsid w:val="00ED1DE7"/>
    <w:rsid w:val="00ED2911"/>
    <w:rsid w:val="00ED382F"/>
    <w:rsid w:val="00ED4A54"/>
    <w:rsid w:val="00ED64AC"/>
    <w:rsid w:val="00ED65A7"/>
    <w:rsid w:val="00EE028A"/>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5AEB"/>
    <w:rsid w:val="00F279E6"/>
    <w:rsid w:val="00F27B2E"/>
    <w:rsid w:val="00F305D3"/>
    <w:rsid w:val="00F31B54"/>
    <w:rsid w:val="00F34FD3"/>
    <w:rsid w:val="00F37C21"/>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1B2D"/>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06F"/>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4A9E"/>
    <w:rsid w:val="00FA7CD8"/>
    <w:rsid w:val="00FB0654"/>
    <w:rsid w:val="00FB0EC8"/>
    <w:rsid w:val="00FB22B9"/>
    <w:rsid w:val="00FB3315"/>
    <w:rsid w:val="00FB339B"/>
    <w:rsid w:val="00FB34A4"/>
    <w:rsid w:val="00FB38BB"/>
    <w:rsid w:val="00FB4080"/>
    <w:rsid w:val="00FB7277"/>
    <w:rsid w:val="00FC0A3C"/>
    <w:rsid w:val="00FC0A66"/>
    <w:rsid w:val="00FC15F1"/>
    <w:rsid w:val="00FC2CA6"/>
    <w:rsid w:val="00FC2DC9"/>
    <w:rsid w:val="00FC2ED1"/>
    <w:rsid w:val="00FC3F92"/>
    <w:rsid w:val="00FC48D1"/>
    <w:rsid w:val="00FC75C6"/>
    <w:rsid w:val="00FC7F96"/>
    <w:rsid w:val="00FD046B"/>
    <w:rsid w:val="00FD1720"/>
    <w:rsid w:val="00FD1BC8"/>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3D27"/>
    <w:rsid w:val="00FF5713"/>
    <w:rsid w:val="00FF5A20"/>
    <w:rsid w:val="00FF6624"/>
    <w:rsid w:val="00FF6C9D"/>
    <w:rsid w:val="03F7766B"/>
    <w:rsid w:val="069723CF"/>
    <w:rsid w:val="08270707"/>
    <w:rsid w:val="0BF20BC7"/>
    <w:rsid w:val="18B90B18"/>
    <w:rsid w:val="1BAE4FBA"/>
    <w:rsid w:val="1DBB0BD4"/>
    <w:rsid w:val="22881BFE"/>
    <w:rsid w:val="22EE18BA"/>
    <w:rsid w:val="25893429"/>
    <w:rsid w:val="26DB2051"/>
    <w:rsid w:val="287E411F"/>
    <w:rsid w:val="29CA4207"/>
    <w:rsid w:val="2E580034"/>
    <w:rsid w:val="315A58A5"/>
    <w:rsid w:val="31842820"/>
    <w:rsid w:val="32AC30CB"/>
    <w:rsid w:val="3A1824A9"/>
    <w:rsid w:val="400A452A"/>
    <w:rsid w:val="43C16DF7"/>
    <w:rsid w:val="449E34D8"/>
    <w:rsid w:val="4B307F16"/>
    <w:rsid w:val="4C534FB9"/>
    <w:rsid w:val="564A5A5F"/>
    <w:rsid w:val="59BA30FE"/>
    <w:rsid w:val="6C294EA0"/>
    <w:rsid w:val="6D8F2D6B"/>
    <w:rsid w:val="6FF32FBC"/>
    <w:rsid w:val="70721B33"/>
    <w:rsid w:val="73E958DB"/>
    <w:rsid w:val="7B875E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ascii="Times New Roman" w:hAnsi="Times New Roman" w:eastAsia="方正仿宋_GBK"/>
    </w:rPr>
  </w:style>
  <w:style w:type="paragraph" w:styleId="4">
    <w:name w:val="Body Text"/>
    <w:basedOn w:val="1"/>
    <w:link w:val="18"/>
    <w:qFormat/>
    <w:uiPriority w:val="0"/>
    <w:pPr>
      <w:spacing w:after="120"/>
    </w:pPr>
    <w:rPr>
      <w:rFonts w:ascii="Times New Roman" w:hAnsi="Times New Roman" w:eastAsia="仿宋_GB2312" w:cs="Times New Roman"/>
      <w:sz w:val="30"/>
      <w:szCs w:val="24"/>
    </w:rPr>
  </w:style>
  <w:style w:type="paragraph" w:styleId="5">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6">
    <w:name w:val="Date"/>
    <w:basedOn w:val="1"/>
    <w:next w:val="1"/>
    <w:link w:val="15"/>
    <w:semiHidden/>
    <w:unhideWhenUsed/>
    <w:qFormat/>
    <w:uiPriority w:val="99"/>
    <w:pPr>
      <w:ind w:left="100" w:leftChars="2500"/>
    </w:pPr>
  </w:style>
  <w:style w:type="paragraph" w:styleId="7">
    <w:name w:val="Balloon Text"/>
    <w:basedOn w:val="1"/>
    <w:link w:val="23"/>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1">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日期 字符"/>
    <w:basedOn w:val="14"/>
    <w:link w:val="6"/>
    <w:semiHidden/>
    <w:qFormat/>
    <w:uiPriority w:val="99"/>
  </w:style>
  <w:style w:type="character" w:customStyle="1" w:styleId="16">
    <w:name w:val="页眉 字符"/>
    <w:basedOn w:val="14"/>
    <w:link w:val="9"/>
    <w:qFormat/>
    <w:uiPriority w:val="99"/>
    <w:rPr>
      <w:sz w:val="18"/>
      <w:szCs w:val="18"/>
    </w:rPr>
  </w:style>
  <w:style w:type="character" w:customStyle="1" w:styleId="17">
    <w:name w:val="页脚 字符"/>
    <w:basedOn w:val="14"/>
    <w:link w:val="8"/>
    <w:qFormat/>
    <w:uiPriority w:val="99"/>
    <w:rPr>
      <w:sz w:val="18"/>
      <w:szCs w:val="18"/>
    </w:rPr>
  </w:style>
  <w:style w:type="character" w:customStyle="1" w:styleId="18">
    <w:name w:val="正文文本 字符"/>
    <w:basedOn w:val="14"/>
    <w:link w:val="4"/>
    <w:qFormat/>
    <w:uiPriority w:val="0"/>
    <w:rPr>
      <w:rFonts w:ascii="Times New Roman" w:hAnsi="Times New Roman" w:eastAsia="仿宋_GB2312" w:cs="Times New Roman"/>
      <w:sz w:val="30"/>
      <w:szCs w:val="24"/>
    </w:rPr>
  </w:style>
  <w:style w:type="character" w:customStyle="1" w:styleId="19">
    <w:name w:val="标题 1 字符"/>
    <w:basedOn w:val="14"/>
    <w:link w:val="3"/>
    <w:qFormat/>
    <w:uiPriority w:val="9"/>
    <w:rPr>
      <w:rFonts w:eastAsia="仿宋"/>
      <w:b/>
      <w:bCs/>
      <w:kern w:val="44"/>
      <w:sz w:val="44"/>
      <w:szCs w:val="44"/>
    </w:rPr>
  </w:style>
  <w:style w:type="paragraph" w:customStyle="1" w:styleId="2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批注框文本 字符"/>
    <w:basedOn w:val="14"/>
    <w:link w:val="7"/>
    <w:semiHidden/>
    <w:qFormat/>
    <w:uiPriority w:val="99"/>
    <w:rPr>
      <w:rFonts w:eastAsia="仿宋" w:asciiTheme="minorHAnsi" w:hAnsiTheme="minorHAnsi" w:cstheme="minorBidi"/>
      <w:kern w:val="2"/>
      <w:sz w:val="18"/>
      <w:szCs w:val="18"/>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CA46-D2A0-4D32-B080-334EE174DA65}">
  <ds:schemaRefs/>
</ds:datastoreItem>
</file>

<file path=docProps/app.xml><?xml version="1.0" encoding="utf-8"?>
<Properties xmlns="http://schemas.openxmlformats.org/officeDocument/2006/extended-properties" xmlns:vt="http://schemas.openxmlformats.org/officeDocument/2006/docPropsVTypes">
  <Template>Normal</Template>
  <Pages>29</Pages>
  <Words>2411</Words>
  <Characters>13745</Characters>
  <Lines>114</Lines>
  <Paragraphs>32</Paragraphs>
  <TotalTime>6</TotalTime>
  <ScaleCrop>false</ScaleCrop>
  <LinksUpToDate>false</LinksUpToDate>
  <CharactersWithSpaces>16124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Administrator</cp:lastModifiedBy>
  <cp:lastPrinted>2021-09-17T02:40:00Z</cp:lastPrinted>
  <dcterms:modified xsi:type="dcterms:W3CDTF">2023-11-11T08:11:07Z</dcterms:modified>
  <cp:revision>2351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EA6134CA7D3846469E36FC504B591C6B</vt:lpwstr>
  </property>
</Properties>
</file>