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atLeast"/>
        <w:jc w:val="center"/>
        <w:rPr>
          <w:rFonts w:ascii="Times New Roman" w:hAnsi="Times New Roman" w:eastAsia="微软雅黑"/>
          <w:b/>
          <w:bCs/>
          <w:color w:val="333333"/>
          <w:kern w:val="0"/>
          <w:sz w:val="30"/>
          <w:szCs w:val="30"/>
        </w:rPr>
      </w:pPr>
      <w:bookmarkStart w:id="31" w:name="_GoBack"/>
      <w:bookmarkEnd w:id="31"/>
      <w:r>
        <w:rPr>
          <w:rFonts w:hint="eastAsia" w:ascii="仿宋" w:hAnsi="仿宋" w:eastAsia="仿宋"/>
          <w:b/>
          <w:bCs/>
          <w:color w:val="000000"/>
          <w:kern w:val="0"/>
          <w:sz w:val="44"/>
          <w:szCs w:val="44"/>
        </w:rPr>
        <w:t>项目支出绩效评价报告</w:t>
      </w:r>
    </w:p>
    <w:p>
      <w:pPr>
        <w:widowControl/>
        <w:shd w:val="clear" w:color="auto" w:fill="FFFFFF"/>
        <w:spacing w:line="560" w:lineRule="atLeast"/>
        <w:rPr>
          <w:rFonts w:ascii="Times New Roman" w:hAnsi="Times New Roman" w:eastAsia="微软雅黑"/>
          <w:color w:val="333333"/>
          <w:kern w:val="0"/>
          <w:sz w:val="30"/>
          <w:szCs w:val="30"/>
        </w:rPr>
      </w:pPr>
      <w:r>
        <w:rPr>
          <w:rFonts w:hint="eastAsia" w:ascii="宋体" w:hAnsi="宋体" w:cs="宋体"/>
          <w:color w:val="000000"/>
          <w:kern w:val="0"/>
          <w:sz w:val="32"/>
          <w:szCs w:val="32"/>
        </w:rPr>
        <w:t> </w:t>
      </w:r>
    </w:p>
    <w:p>
      <w:pPr>
        <w:widowControl/>
        <w:shd w:val="clear" w:color="auto" w:fill="FFFFFF"/>
        <w:spacing w:line="560" w:lineRule="atLeast"/>
        <w:rPr>
          <w:rFonts w:ascii="Times New Roman" w:hAnsi="Times New Roman" w:eastAsia="微软雅黑"/>
          <w:color w:val="333333"/>
          <w:kern w:val="0"/>
          <w:sz w:val="30"/>
          <w:szCs w:val="30"/>
        </w:rPr>
      </w:pPr>
      <w:r>
        <w:rPr>
          <w:rFonts w:hint="eastAsia" w:ascii="宋体" w:hAnsi="宋体" w:cs="宋体"/>
          <w:color w:val="000000"/>
          <w:kern w:val="0"/>
          <w:sz w:val="32"/>
          <w:szCs w:val="32"/>
        </w:rPr>
        <w:t> </w:t>
      </w:r>
    </w:p>
    <w:p>
      <w:pPr>
        <w:widowControl/>
        <w:shd w:val="clear" w:color="auto" w:fill="FFFFFF"/>
        <w:spacing w:line="560" w:lineRule="atLeast"/>
        <w:rPr>
          <w:rFonts w:ascii="Times New Roman" w:hAnsi="Times New Roman" w:eastAsia="微软雅黑"/>
          <w:color w:val="333333"/>
          <w:kern w:val="0"/>
          <w:sz w:val="30"/>
          <w:szCs w:val="30"/>
        </w:rPr>
      </w:pPr>
      <w:r>
        <w:rPr>
          <w:rFonts w:hint="eastAsia" w:ascii="宋体" w:hAnsi="宋体" w:cs="宋体"/>
          <w:color w:val="000000"/>
          <w:kern w:val="0"/>
          <w:sz w:val="32"/>
          <w:szCs w:val="32"/>
        </w:rPr>
        <w:t>  </w:t>
      </w:r>
    </w:p>
    <w:p>
      <w:pPr>
        <w:widowControl/>
        <w:shd w:val="clear" w:color="auto" w:fill="FFFFFF"/>
        <w:spacing w:line="560" w:lineRule="atLeast"/>
        <w:rPr>
          <w:rFonts w:ascii="Times New Roman" w:hAnsi="Times New Roman" w:eastAsia="微软雅黑"/>
          <w:color w:val="333333"/>
          <w:kern w:val="0"/>
          <w:sz w:val="30"/>
          <w:szCs w:val="30"/>
        </w:rPr>
      </w:pPr>
      <w:r>
        <w:rPr>
          <w:rFonts w:hint="eastAsia" w:ascii="宋体" w:hAnsi="宋体" w:cs="宋体"/>
          <w:color w:val="000000"/>
          <w:kern w:val="0"/>
          <w:sz w:val="32"/>
          <w:szCs w:val="32"/>
        </w:rPr>
        <w:t> </w:t>
      </w:r>
    </w:p>
    <w:p>
      <w:pPr>
        <w:widowControl/>
        <w:shd w:val="clear" w:color="auto" w:fill="FFFFFF"/>
        <w:spacing w:line="560" w:lineRule="atLeast"/>
        <w:rPr>
          <w:rFonts w:ascii="Times New Roman" w:hAnsi="Times New Roman" w:eastAsia="微软雅黑"/>
          <w:color w:val="333333"/>
          <w:kern w:val="0"/>
          <w:sz w:val="30"/>
          <w:szCs w:val="30"/>
        </w:rPr>
      </w:pPr>
      <w:r>
        <w:rPr>
          <w:rFonts w:hint="eastAsia" w:ascii="宋体" w:hAnsi="宋体" w:cs="宋体"/>
          <w:color w:val="000000"/>
          <w:kern w:val="0"/>
          <w:sz w:val="32"/>
          <w:szCs w:val="32"/>
        </w:rPr>
        <w:t> </w:t>
      </w:r>
    </w:p>
    <w:p>
      <w:pPr>
        <w:widowControl/>
        <w:shd w:val="clear" w:color="auto" w:fill="FFFFFF"/>
        <w:spacing w:line="560" w:lineRule="atLeast"/>
        <w:rPr>
          <w:rFonts w:ascii="Times New Roman" w:hAnsi="Times New Roman" w:eastAsia="微软雅黑"/>
          <w:color w:val="333333"/>
          <w:kern w:val="0"/>
          <w:sz w:val="30"/>
          <w:szCs w:val="30"/>
        </w:rPr>
      </w:pPr>
    </w:p>
    <w:p>
      <w:pPr>
        <w:widowControl/>
        <w:shd w:val="clear" w:color="auto" w:fill="FFFFFF"/>
        <w:spacing w:line="560" w:lineRule="atLeast"/>
        <w:jc w:val="center"/>
        <w:rPr>
          <w:rFonts w:hint="eastAsia" w:ascii="仿宋" w:hAnsi="仿宋" w:eastAsia="仿宋" w:cs="仿宋"/>
          <w:b/>
          <w:bCs/>
          <w:color w:val="000000"/>
          <w:kern w:val="0"/>
          <w:sz w:val="36"/>
          <w:szCs w:val="36"/>
          <w:lang w:val="en-US" w:eastAsia="zh-CN"/>
        </w:rPr>
      </w:pPr>
      <w:r>
        <w:rPr>
          <w:rFonts w:hint="eastAsia" w:ascii="仿宋" w:hAnsi="仿宋" w:eastAsia="仿宋" w:cs="仿宋"/>
          <w:b/>
          <w:bCs/>
          <w:color w:val="000000"/>
          <w:kern w:val="0"/>
          <w:sz w:val="36"/>
          <w:szCs w:val="36"/>
          <w:lang w:val="en-US" w:eastAsia="zh-CN"/>
        </w:rPr>
        <w:t xml:space="preserve">     </w:t>
      </w:r>
      <w:r>
        <w:rPr>
          <w:rFonts w:hint="eastAsia" w:ascii="仿宋" w:hAnsi="仿宋" w:eastAsia="仿宋" w:cs="仿宋"/>
          <w:b/>
          <w:bCs/>
          <w:color w:val="000000"/>
          <w:kern w:val="0"/>
          <w:sz w:val="36"/>
          <w:szCs w:val="36"/>
        </w:rPr>
        <w:t>202</w:t>
      </w:r>
      <w:r>
        <w:rPr>
          <w:rFonts w:hint="eastAsia" w:ascii="仿宋" w:hAnsi="仿宋" w:eastAsia="仿宋" w:cs="仿宋"/>
          <w:b/>
          <w:bCs/>
          <w:color w:val="000000"/>
          <w:kern w:val="0"/>
          <w:sz w:val="36"/>
          <w:szCs w:val="36"/>
          <w:lang w:val="en-US" w:eastAsia="zh-CN"/>
        </w:rPr>
        <w:t>2</w:t>
      </w:r>
      <w:r>
        <w:rPr>
          <w:rFonts w:hint="eastAsia" w:ascii="仿宋" w:hAnsi="仿宋" w:eastAsia="仿宋" w:cs="仿宋"/>
          <w:b/>
          <w:bCs/>
          <w:color w:val="000000"/>
          <w:kern w:val="0"/>
          <w:sz w:val="36"/>
          <w:szCs w:val="36"/>
        </w:rPr>
        <w:t>年度</w:t>
      </w:r>
      <w:r>
        <w:rPr>
          <w:rFonts w:hint="eastAsia" w:ascii="仿宋" w:hAnsi="仿宋" w:eastAsia="仿宋" w:cs="仿宋"/>
          <w:b/>
          <w:bCs/>
          <w:color w:val="000000"/>
          <w:kern w:val="0"/>
          <w:sz w:val="36"/>
          <w:szCs w:val="36"/>
          <w:lang w:val="en-US" w:eastAsia="zh-CN"/>
        </w:rPr>
        <w:t xml:space="preserve">怀远县水利局居民饮用水安全工程      </w:t>
      </w:r>
      <w:r>
        <w:rPr>
          <w:rFonts w:hint="eastAsia" w:ascii="仿宋" w:hAnsi="仿宋" w:eastAsia="仿宋" w:cs="仿宋"/>
          <w:b/>
          <w:bCs/>
          <w:color w:val="000000"/>
          <w:kern w:val="0"/>
          <w:sz w:val="36"/>
          <w:szCs w:val="36"/>
        </w:rPr>
        <w:t xml:space="preserve"> </w:t>
      </w:r>
      <w:r>
        <w:rPr>
          <w:rFonts w:hint="eastAsia" w:ascii="仿宋" w:hAnsi="仿宋" w:eastAsia="仿宋" w:cs="仿宋"/>
          <w:b/>
          <w:bCs/>
          <w:color w:val="000000"/>
          <w:kern w:val="0"/>
          <w:sz w:val="36"/>
          <w:szCs w:val="36"/>
          <w:lang w:val="en-US" w:eastAsia="zh-CN"/>
        </w:rPr>
        <w:t xml:space="preserve">              </w:t>
      </w:r>
    </w:p>
    <w:p>
      <w:pPr>
        <w:widowControl/>
        <w:shd w:val="clear" w:color="auto" w:fill="FFFFFF"/>
        <w:spacing w:line="560" w:lineRule="atLeast"/>
        <w:ind w:firstLine="2848" w:firstLineChars="800"/>
        <w:jc w:val="both"/>
        <w:rPr>
          <w:rFonts w:hint="eastAsia" w:ascii="仿宋" w:hAnsi="仿宋" w:eastAsia="仿宋" w:cs="仿宋"/>
          <w:b/>
          <w:bCs/>
          <w:color w:val="000000"/>
          <w:kern w:val="0"/>
          <w:sz w:val="36"/>
          <w:szCs w:val="36"/>
        </w:rPr>
      </w:pPr>
      <w:r>
        <w:rPr>
          <w:rFonts w:hint="eastAsia" w:ascii="仿宋" w:hAnsi="仿宋" w:eastAsia="仿宋" w:cs="仿宋"/>
          <w:b/>
          <w:bCs/>
          <w:color w:val="000000"/>
          <w:kern w:val="0"/>
          <w:sz w:val="36"/>
          <w:szCs w:val="36"/>
        </w:rPr>
        <w:t>项目支出绩效评价报告</w:t>
      </w:r>
    </w:p>
    <w:p>
      <w:pPr>
        <w:widowControl/>
        <w:shd w:val="clear" w:color="auto" w:fill="FFFFFF"/>
        <w:spacing w:line="560" w:lineRule="atLeast"/>
        <w:jc w:val="center"/>
        <w:rPr>
          <w:rFonts w:ascii="Times New Roman" w:hAnsi="Times New Roman" w:eastAsia="微软雅黑"/>
          <w:color w:val="333333"/>
          <w:kern w:val="0"/>
          <w:sz w:val="30"/>
          <w:szCs w:val="30"/>
        </w:rPr>
      </w:pPr>
      <w:r>
        <w:rPr>
          <w:rFonts w:hint="eastAsia" w:ascii="宋体" w:hAnsi="宋体" w:cs="宋体"/>
          <w:b/>
          <w:bCs/>
          <w:color w:val="000000"/>
          <w:kern w:val="0"/>
          <w:sz w:val="44"/>
          <w:szCs w:val="44"/>
        </w:rPr>
        <w:t> </w:t>
      </w:r>
    </w:p>
    <w:p>
      <w:pPr>
        <w:keepNext w:val="0"/>
        <w:keepLines w:val="0"/>
        <w:widowControl/>
        <w:suppressLineNumbers w:val="0"/>
        <w:jc w:val="left"/>
      </w:pPr>
    </w:p>
    <w:p>
      <w:pPr>
        <w:widowControl/>
        <w:shd w:val="clear" w:color="auto" w:fill="FFFFFF"/>
        <w:spacing w:line="560" w:lineRule="atLeast"/>
        <w:jc w:val="center"/>
        <w:rPr>
          <w:rFonts w:ascii="Times New Roman" w:hAnsi="Times New Roman" w:eastAsia="微软雅黑"/>
          <w:color w:val="333333"/>
          <w:kern w:val="0"/>
          <w:sz w:val="30"/>
          <w:szCs w:val="30"/>
        </w:rPr>
      </w:pPr>
    </w:p>
    <w:p>
      <w:pPr>
        <w:widowControl/>
        <w:shd w:val="clear" w:color="auto" w:fill="FFFFFF"/>
        <w:spacing w:line="560" w:lineRule="atLeast"/>
        <w:jc w:val="center"/>
        <w:rPr>
          <w:rFonts w:hint="eastAsia" w:ascii="宋体" w:hAnsi="宋体" w:cs="宋体"/>
          <w:b/>
          <w:bCs/>
          <w:color w:val="000000"/>
          <w:kern w:val="0"/>
          <w:sz w:val="44"/>
          <w:szCs w:val="44"/>
        </w:rPr>
      </w:pPr>
    </w:p>
    <w:p>
      <w:pPr>
        <w:spacing w:line="560" w:lineRule="exact"/>
        <w:ind w:firstLine="1656" w:firstLineChars="600"/>
        <w:rPr>
          <w:rFonts w:ascii="仿宋_GB2312" w:hAnsi="Times New Roman" w:eastAsia="仿宋_GB2312" w:cs="Times New Roman"/>
          <w:sz w:val="28"/>
          <w:szCs w:val="28"/>
        </w:rPr>
      </w:pPr>
      <w:r>
        <w:rPr>
          <w:rFonts w:hint="eastAsia" w:ascii="仿宋_GB2312" w:hAnsi="Times New Roman" w:eastAsia="仿宋_GB2312" w:cs="Times New Roman"/>
          <w:sz w:val="28"/>
          <w:szCs w:val="28"/>
        </w:rPr>
        <w:t>项目主管部门：</w:t>
      </w:r>
      <w:r>
        <w:rPr>
          <w:rFonts w:hint="eastAsia" w:ascii="仿宋_GB2312" w:hAnsi="Times New Roman" w:eastAsia="仿宋_GB2312" w:cs="Times New Roman"/>
          <w:sz w:val="28"/>
          <w:szCs w:val="28"/>
          <w:lang w:val="en-US" w:eastAsia="zh-CN"/>
        </w:rPr>
        <w:t>怀远县</w:t>
      </w:r>
      <w:r>
        <w:rPr>
          <w:rFonts w:hint="eastAsia" w:ascii="仿宋_GB2312" w:eastAsia="仿宋_GB2312" w:cs="Times New Roman"/>
          <w:sz w:val="28"/>
          <w:szCs w:val="28"/>
          <w:lang w:val="en-US" w:eastAsia="zh-CN"/>
        </w:rPr>
        <w:t>水利</w:t>
      </w:r>
      <w:r>
        <w:rPr>
          <w:rFonts w:hint="eastAsia" w:ascii="仿宋_GB2312" w:hAnsi="Times New Roman" w:eastAsia="仿宋_GB2312" w:cs="Times New Roman"/>
          <w:sz w:val="28"/>
          <w:szCs w:val="28"/>
          <w:lang w:val="en-US" w:eastAsia="zh-CN"/>
        </w:rPr>
        <w:t>局</w:t>
      </w:r>
    </w:p>
    <w:p>
      <w:pPr>
        <w:spacing w:line="560" w:lineRule="exact"/>
        <w:ind w:firstLine="1656" w:firstLineChars="600"/>
        <w:rPr>
          <w:rFonts w:ascii="仿宋_GB2312" w:hAnsi="Times New Roman" w:eastAsia="仿宋_GB2312" w:cs="Times New Roman"/>
          <w:sz w:val="28"/>
          <w:szCs w:val="28"/>
        </w:rPr>
      </w:pPr>
      <w:r>
        <w:rPr>
          <w:rFonts w:hint="eastAsia" w:ascii="仿宋_GB2312" w:hAnsi="Times New Roman" w:eastAsia="仿宋_GB2312" w:cs="Times New Roman"/>
          <w:sz w:val="28"/>
          <w:szCs w:val="28"/>
        </w:rPr>
        <w:t>项目实施单位：</w:t>
      </w:r>
      <w:r>
        <w:rPr>
          <w:rFonts w:hint="eastAsia" w:ascii="仿宋_GB2312" w:hAnsi="Times New Roman" w:eastAsia="仿宋_GB2312" w:cs="Times New Roman"/>
          <w:sz w:val="28"/>
          <w:szCs w:val="28"/>
          <w:lang w:val="en-US" w:eastAsia="zh-CN"/>
        </w:rPr>
        <w:t>怀远县</w:t>
      </w:r>
      <w:r>
        <w:rPr>
          <w:rFonts w:hint="eastAsia" w:ascii="仿宋_GB2312" w:eastAsia="仿宋_GB2312" w:cs="Times New Roman"/>
          <w:sz w:val="28"/>
          <w:szCs w:val="28"/>
          <w:lang w:val="en-US" w:eastAsia="zh-CN"/>
        </w:rPr>
        <w:t>大禹水务集团有限公司</w:t>
      </w:r>
    </w:p>
    <w:p>
      <w:pPr>
        <w:spacing w:line="560" w:lineRule="exact"/>
        <w:ind w:firstLine="1656" w:firstLineChars="600"/>
        <w:rPr>
          <w:rFonts w:ascii="仿宋_GB2312" w:hAnsi="Times New Roman" w:eastAsia="仿宋_GB2312" w:cs="Times New Roman"/>
          <w:sz w:val="28"/>
          <w:szCs w:val="28"/>
        </w:rPr>
      </w:pPr>
      <w:r>
        <w:rPr>
          <w:rFonts w:hint="eastAsia" w:ascii="仿宋_GB2312" w:hAnsi="Times New Roman" w:eastAsia="仿宋_GB2312" w:cs="Times New Roman"/>
          <w:sz w:val="28"/>
          <w:szCs w:val="28"/>
        </w:rPr>
        <w:t>委托单位：</w:t>
      </w:r>
      <w:r>
        <w:rPr>
          <w:rFonts w:hint="eastAsia" w:ascii="仿宋_GB2312" w:hAnsi="Times New Roman" w:eastAsia="仿宋_GB2312" w:cs="Times New Roman"/>
          <w:sz w:val="28"/>
          <w:szCs w:val="28"/>
          <w:lang w:val="en-US" w:eastAsia="zh-CN"/>
        </w:rPr>
        <w:t>怀远县</w:t>
      </w:r>
      <w:r>
        <w:rPr>
          <w:rFonts w:hint="eastAsia" w:ascii="仿宋_GB2312" w:hAnsi="Times New Roman" w:eastAsia="仿宋_GB2312" w:cs="Times New Roman"/>
          <w:sz w:val="28"/>
          <w:szCs w:val="28"/>
        </w:rPr>
        <w:t>财政局</w:t>
      </w:r>
    </w:p>
    <w:p>
      <w:pPr>
        <w:spacing w:line="560" w:lineRule="exact"/>
        <w:ind w:firstLine="1656" w:firstLineChars="60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rPr>
        <w:t>评价单位：</w:t>
      </w:r>
      <w:r>
        <w:rPr>
          <w:rFonts w:hint="eastAsia" w:ascii="仿宋_GB2312" w:eastAsia="仿宋_GB2312" w:cs="Times New Roman"/>
          <w:sz w:val="28"/>
          <w:szCs w:val="28"/>
          <w:lang w:val="en-US" w:eastAsia="zh-CN"/>
        </w:rPr>
        <w:t>安徽宝逸通企业咨询管理有限公司</w:t>
      </w:r>
    </w:p>
    <w:p>
      <w:pPr>
        <w:widowControl/>
        <w:shd w:val="clear" w:color="auto" w:fill="FFFFFF"/>
        <w:spacing w:line="560" w:lineRule="atLeast"/>
        <w:jc w:val="center"/>
        <w:rPr>
          <w:rFonts w:ascii="Times New Roman" w:hAnsi="Times New Roman" w:eastAsia="微软雅黑"/>
          <w:color w:val="333333"/>
          <w:kern w:val="0"/>
          <w:sz w:val="30"/>
          <w:szCs w:val="30"/>
        </w:rPr>
      </w:pPr>
      <w:r>
        <w:rPr>
          <w:rFonts w:hint="eastAsia" w:ascii="宋体" w:hAnsi="宋体" w:cs="宋体"/>
          <w:color w:val="000000"/>
          <w:kern w:val="0"/>
          <w:sz w:val="32"/>
          <w:szCs w:val="32"/>
        </w:rPr>
        <w:t> </w:t>
      </w:r>
    </w:p>
    <w:p>
      <w:pPr>
        <w:widowControl/>
        <w:shd w:val="clear" w:color="auto" w:fill="FFFFFF"/>
        <w:spacing w:line="560" w:lineRule="atLeast"/>
        <w:jc w:val="center"/>
        <w:rPr>
          <w:rFonts w:ascii="Times New Roman" w:hAnsi="Times New Roman" w:eastAsia="微软雅黑"/>
          <w:color w:val="333333"/>
          <w:kern w:val="0"/>
          <w:sz w:val="30"/>
          <w:szCs w:val="30"/>
        </w:rPr>
      </w:pPr>
      <w:r>
        <w:rPr>
          <w:rFonts w:hint="eastAsia" w:ascii="仿宋" w:hAnsi="仿宋" w:eastAsia="仿宋"/>
          <w:color w:val="000000"/>
          <w:kern w:val="0"/>
          <w:sz w:val="32"/>
          <w:szCs w:val="32"/>
        </w:rPr>
        <w:t>20</w:t>
      </w:r>
      <w:r>
        <w:rPr>
          <w:rFonts w:hint="eastAsia" w:ascii="仿宋" w:hAnsi="仿宋" w:eastAsia="仿宋"/>
          <w:color w:val="000000"/>
          <w:kern w:val="0"/>
          <w:sz w:val="32"/>
          <w:szCs w:val="32"/>
          <w:lang w:val="en-US" w:eastAsia="zh-CN"/>
        </w:rPr>
        <w:t>23</w:t>
      </w:r>
      <w:r>
        <w:rPr>
          <w:rFonts w:hint="eastAsia" w:ascii="仿宋" w:hAnsi="仿宋" w:eastAsia="仿宋"/>
          <w:color w:val="000000"/>
          <w:kern w:val="0"/>
          <w:sz w:val="32"/>
          <w:szCs w:val="32"/>
        </w:rPr>
        <w:t>年</w:t>
      </w:r>
      <w:r>
        <w:rPr>
          <w:rFonts w:hint="eastAsia" w:ascii="仿宋" w:hAnsi="仿宋" w:eastAsia="仿宋"/>
          <w:color w:val="000000"/>
          <w:kern w:val="0"/>
          <w:sz w:val="32"/>
          <w:szCs w:val="32"/>
          <w:lang w:val="en-US" w:eastAsia="zh-CN"/>
        </w:rPr>
        <w:t>09</w:t>
      </w:r>
      <w:r>
        <w:rPr>
          <w:rFonts w:hint="eastAsia" w:ascii="仿宋" w:hAnsi="仿宋" w:eastAsia="仿宋"/>
          <w:color w:val="000000"/>
          <w:kern w:val="0"/>
          <w:sz w:val="32"/>
          <w:szCs w:val="32"/>
        </w:rPr>
        <w:t>月</w:t>
      </w:r>
    </w:p>
    <w:p>
      <w:pPr>
        <w:ind w:firstLine="3204" w:firstLineChars="900"/>
        <w:jc w:val="left"/>
        <w:rPr>
          <w:rFonts w:hint="eastAsia" w:ascii="方正小标宋简体" w:hAnsi="华文宋体" w:eastAsia="方正小标宋简体" w:cs="Times New Roman"/>
          <w:b/>
          <w:bCs/>
          <w:sz w:val="36"/>
          <w:szCs w:val="36"/>
        </w:rPr>
        <w:sectPr>
          <w:pgSz w:w="11906" w:h="16838"/>
          <w:pgMar w:top="2098" w:right="1474" w:bottom="1985" w:left="1588" w:header="851" w:footer="992" w:gutter="0"/>
          <w:pgNumType w:fmt="decimal" w:start="1"/>
          <w:cols w:space="425" w:num="1"/>
          <w:docGrid w:type="linesAndChars" w:linePitch="560" w:charSpace="-849"/>
        </w:sectPr>
      </w:pPr>
    </w:p>
    <w:sdt>
      <w:sdtPr>
        <w:rPr>
          <w:rFonts w:hint="eastAsia" w:ascii="方正小标宋简体" w:hAnsi="华文宋体" w:eastAsia="方正小标宋简体" w:cs="Times New Roman"/>
          <w:b/>
          <w:bCs/>
          <w:sz w:val="36"/>
          <w:szCs w:val="36"/>
        </w:rPr>
        <w:id w:val="147475326"/>
        <w:docPartObj>
          <w:docPartGallery w:val="Table of Contents"/>
          <w:docPartUnique/>
        </w:docPartObj>
      </w:sdtPr>
      <w:sdtEndPr>
        <w:rPr>
          <w:rFonts w:hint="eastAsia" w:ascii="方正小标宋简体" w:hAnsi="华文宋体" w:eastAsia="方正小标宋简体" w:cs="Times New Roman"/>
          <w:b/>
          <w:bCs/>
          <w:sz w:val="36"/>
          <w:szCs w:val="36"/>
        </w:rPr>
      </w:sdtEndPr>
      <w:sdtContent>
        <w:p>
          <w:pPr>
            <w:ind w:firstLine="3204" w:firstLineChars="900"/>
            <w:jc w:val="left"/>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lang w:val="en-US" w:eastAsia="zh-CN"/>
            </w:rPr>
            <w:t xml:space="preserve"> </w:t>
          </w:r>
          <w:r>
            <w:rPr>
              <w:rFonts w:hint="eastAsia" w:ascii="方正小标宋简体" w:hAnsi="华文宋体" w:eastAsia="方正小标宋简体" w:cs="Times New Roman"/>
              <w:b/>
              <w:bCs/>
              <w:sz w:val="36"/>
              <w:szCs w:val="36"/>
            </w:rPr>
            <w:t>目录</w:t>
          </w:r>
        </w:p>
        <w:p>
          <w:pPr>
            <w:pStyle w:val="11"/>
            <w:tabs>
              <w:tab w:val="right" w:leader="dot" w:pos="8844"/>
            </w:tabs>
            <w:rPr>
              <w:rFonts w:ascii="仿宋_GB2312" w:hAnsi="华文宋体" w:eastAsia="仿宋_GB2312"/>
              <w:kern w:val="2"/>
              <w:sz w:val="24"/>
              <w:szCs w:val="24"/>
            </w:rPr>
          </w:pPr>
          <w:r>
            <w:fldChar w:fldCharType="begin"/>
          </w:r>
          <w:r>
            <w:instrText xml:space="preserve">TOC \o "1-2" \h \u </w:instrText>
          </w:r>
          <w:r>
            <w:fldChar w:fldCharType="separate"/>
          </w:r>
          <w:r>
            <w:fldChar w:fldCharType="begin"/>
          </w:r>
          <w:r>
            <w:instrText xml:space="preserve"> HYPERLINK \l "_Toc4018" </w:instrText>
          </w:r>
          <w:r>
            <w:fldChar w:fldCharType="separate"/>
          </w:r>
          <w:r>
            <w:rPr>
              <w:rFonts w:hint="eastAsia" w:ascii="仿宋_GB2312" w:hAnsi="华文宋体" w:eastAsia="仿宋_GB2312"/>
              <w:kern w:val="2"/>
              <w:sz w:val="24"/>
              <w:szCs w:val="24"/>
            </w:rPr>
            <w:t>绩效评价报告摘要</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_Toc4018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1"/>
            <w:tabs>
              <w:tab w:val="right" w:leader="dot" w:pos="8844"/>
            </w:tabs>
            <w:rPr>
              <w:rFonts w:ascii="仿宋_GB2312" w:hAnsi="华文宋体" w:eastAsia="仿宋_GB2312"/>
              <w:kern w:val="2"/>
              <w:sz w:val="24"/>
              <w:szCs w:val="24"/>
            </w:rPr>
          </w:pPr>
          <w:r>
            <w:fldChar w:fldCharType="begin"/>
          </w:r>
          <w:r>
            <w:instrText xml:space="preserve"> HYPERLINK \l "_Toc26016" </w:instrText>
          </w:r>
          <w:r>
            <w:fldChar w:fldCharType="separate"/>
          </w:r>
          <w:r>
            <w:rPr>
              <w:rFonts w:hint="eastAsia" w:ascii="仿宋_GB2312" w:hAnsi="华文宋体" w:eastAsia="仿宋_GB2312"/>
              <w:kern w:val="2"/>
              <w:sz w:val="24"/>
              <w:szCs w:val="24"/>
            </w:rPr>
            <w:t>绩效评价报告</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_Toc26016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1"/>
            <w:tabs>
              <w:tab w:val="right" w:leader="dot" w:pos="8844"/>
            </w:tabs>
            <w:rPr>
              <w:rFonts w:ascii="仿宋_GB2312" w:hAnsi="华文宋体" w:eastAsia="仿宋_GB2312"/>
              <w:kern w:val="2"/>
              <w:sz w:val="24"/>
              <w:szCs w:val="24"/>
            </w:rPr>
          </w:pPr>
          <w:r>
            <w:fldChar w:fldCharType="begin"/>
          </w:r>
          <w:r>
            <w:instrText xml:space="preserve"> HYPERLINK \l "_Toc27814" </w:instrText>
          </w:r>
          <w:r>
            <w:fldChar w:fldCharType="separate"/>
          </w:r>
          <w:r>
            <w:rPr>
              <w:rFonts w:hint="eastAsia" w:ascii="仿宋_GB2312" w:hAnsi="华文宋体" w:eastAsia="仿宋_GB2312"/>
              <w:kern w:val="2"/>
              <w:sz w:val="24"/>
              <w:szCs w:val="24"/>
            </w:rPr>
            <w:t>一、项目基本情况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_Toc27814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2"/>
            <w:tabs>
              <w:tab w:val="right" w:leader="dot" w:pos="8844"/>
            </w:tabs>
            <w:ind w:left="632"/>
            <w:rPr>
              <w:rFonts w:ascii="仿宋_GB2312" w:hAnsi="华文宋体" w:eastAsia="仿宋_GB2312"/>
              <w:kern w:val="2"/>
              <w:sz w:val="24"/>
              <w:szCs w:val="24"/>
            </w:rPr>
          </w:pPr>
          <w:r>
            <w:fldChar w:fldCharType="begin"/>
          </w:r>
          <w:r>
            <w:instrText xml:space="preserve"> HYPERLINK \l "_Toc3481" </w:instrText>
          </w:r>
          <w:r>
            <w:fldChar w:fldCharType="separate"/>
          </w:r>
          <w:r>
            <w:rPr>
              <w:rFonts w:hint="eastAsia" w:ascii="仿宋_GB2312" w:hAnsi="华文宋体" w:eastAsia="仿宋_GB2312"/>
              <w:kern w:val="2"/>
              <w:sz w:val="24"/>
              <w:szCs w:val="24"/>
            </w:rPr>
            <w:t>（一）项目概况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_Toc3481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2"/>
            <w:tabs>
              <w:tab w:val="right" w:leader="dot" w:pos="8844"/>
            </w:tabs>
            <w:ind w:left="632"/>
            <w:rPr>
              <w:rFonts w:ascii="仿宋_GB2312" w:hAnsi="华文宋体" w:eastAsia="仿宋_GB2312"/>
              <w:kern w:val="2"/>
              <w:sz w:val="24"/>
              <w:szCs w:val="24"/>
            </w:rPr>
          </w:pPr>
          <w:r>
            <w:fldChar w:fldCharType="begin"/>
          </w:r>
          <w:r>
            <w:instrText xml:space="preserve"> HYPERLINK \l "_Toc32417" </w:instrText>
          </w:r>
          <w:r>
            <w:fldChar w:fldCharType="separate"/>
          </w:r>
          <w:r>
            <w:rPr>
              <w:rFonts w:hint="eastAsia" w:ascii="仿宋_GB2312" w:hAnsi="华文宋体" w:eastAsia="仿宋_GB2312"/>
              <w:kern w:val="2"/>
              <w:sz w:val="24"/>
              <w:szCs w:val="24"/>
            </w:rPr>
            <w:t>（二）项目绩效目标</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_Toc32417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1"/>
            <w:tabs>
              <w:tab w:val="right" w:leader="dot" w:pos="8844"/>
            </w:tabs>
            <w:rPr>
              <w:rFonts w:ascii="仿宋_GB2312" w:hAnsi="华文宋体" w:eastAsia="仿宋_GB2312"/>
              <w:kern w:val="2"/>
              <w:sz w:val="24"/>
              <w:szCs w:val="24"/>
            </w:rPr>
          </w:pPr>
          <w:r>
            <w:fldChar w:fldCharType="begin"/>
          </w:r>
          <w:r>
            <w:instrText xml:space="preserve"> HYPERLINK \l "_Toc3602" </w:instrText>
          </w:r>
          <w:r>
            <w:fldChar w:fldCharType="separate"/>
          </w:r>
          <w:r>
            <w:rPr>
              <w:rFonts w:hint="eastAsia" w:ascii="仿宋_GB2312" w:hAnsi="华文宋体" w:eastAsia="仿宋_GB2312"/>
              <w:kern w:val="2"/>
              <w:sz w:val="24"/>
              <w:szCs w:val="24"/>
            </w:rPr>
            <w:t>二、绩效评价工作开展情况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_Toc3602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w:t>
          </w:r>
          <w:r>
            <w:rPr>
              <w:rFonts w:hint="eastAsia" w:ascii="仿宋_GB2312" w:hAnsi="华文宋体" w:eastAsia="仿宋_GB2312"/>
              <w:kern w:val="2"/>
              <w:sz w:val="24"/>
              <w:szCs w:val="24"/>
              <w:lang w:val="en-US" w:eastAsia="zh-CN"/>
            </w:rPr>
            <w:t>2</w:t>
          </w:r>
          <w:r>
            <w:rPr>
              <w:rFonts w:hint="eastAsia" w:ascii="仿宋_GB2312" w:hAnsi="华文宋体" w:eastAsia="仿宋_GB2312"/>
              <w:kern w:val="2"/>
              <w:sz w:val="24"/>
              <w:szCs w:val="24"/>
            </w:rPr>
            <w:t xml:space="preserve">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2"/>
            <w:tabs>
              <w:tab w:val="right" w:leader="dot" w:pos="8844"/>
            </w:tabs>
            <w:ind w:left="632"/>
            <w:rPr>
              <w:rFonts w:ascii="仿宋_GB2312" w:hAnsi="华文宋体" w:eastAsia="仿宋_GB2312"/>
              <w:kern w:val="2"/>
              <w:sz w:val="24"/>
              <w:szCs w:val="24"/>
            </w:rPr>
          </w:pPr>
          <w:r>
            <w:fldChar w:fldCharType="begin"/>
          </w:r>
          <w:r>
            <w:instrText xml:space="preserve"> HYPERLINK \l "_Toc23951" </w:instrText>
          </w:r>
          <w:r>
            <w:fldChar w:fldCharType="separate"/>
          </w:r>
          <w:r>
            <w:rPr>
              <w:rFonts w:hint="eastAsia" w:ascii="仿宋_GB2312" w:hAnsi="华文宋体" w:eastAsia="仿宋_GB2312"/>
              <w:kern w:val="2"/>
              <w:sz w:val="24"/>
              <w:szCs w:val="24"/>
            </w:rPr>
            <w:t>（一）绩效评价目的、对象和范围</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_Toc23951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w:t>
          </w:r>
          <w:r>
            <w:rPr>
              <w:rFonts w:hint="eastAsia" w:ascii="仿宋_GB2312" w:hAnsi="华文宋体" w:eastAsia="仿宋_GB2312"/>
              <w:kern w:val="2"/>
              <w:sz w:val="24"/>
              <w:szCs w:val="24"/>
              <w:lang w:val="en-US" w:eastAsia="zh-CN"/>
            </w:rPr>
            <w:t>2</w:t>
          </w:r>
          <w:r>
            <w:rPr>
              <w:rFonts w:hint="eastAsia" w:ascii="仿宋_GB2312" w:hAnsi="华文宋体" w:eastAsia="仿宋_GB2312"/>
              <w:kern w:val="2"/>
              <w:sz w:val="24"/>
              <w:szCs w:val="24"/>
            </w:rPr>
            <w:t xml:space="preserve">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2"/>
            <w:tabs>
              <w:tab w:val="right" w:leader="dot" w:pos="8844"/>
            </w:tabs>
            <w:ind w:left="632"/>
            <w:rPr>
              <w:rFonts w:ascii="仿宋_GB2312" w:hAnsi="华文宋体" w:eastAsia="仿宋_GB2312"/>
              <w:kern w:val="2"/>
              <w:sz w:val="24"/>
              <w:szCs w:val="24"/>
            </w:rPr>
          </w:pPr>
          <w:r>
            <w:fldChar w:fldCharType="begin"/>
          </w:r>
          <w:r>
            <w:instrText xml:space="preserve"> HYPERLINK \l "_Toc17751" </w:instrText>
          </w:r>
          <w:r>
            <w:fldChar w:fldCharType="separate"/>
          </w:r>
          <w:r>
            <w:rPr>
              <w:rFonts w:hint="eastAsia" w:ascii="仿宋_GB2312" w:hAnsi="华文宋体" w:eastAsia="仿宋_GB2312"/>
              <w:kern w:val="2"/>
              <w:sz w:val="24"/>
              <w:szCs w:val="24"/>
            </w:rPr>
            <w:t>（二）绩效评价原则、评价指标体系、评价方法、评价标准</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_Toc17751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w:t>
          </w:r>
          <w:r>
            <w:rPr>
              <w:rFonts w:hint="eastAsia" w:ascii="仿宋_GB2312" w:hAnsi="华文宋体" w:eastAsia="仿宋_GB2312"/>
              <w:kern w:val="2"/>
              <w:sz w:val="24"/>
              <w:szCs w:val="24"/>
              <w:lang w:val="en-US" w:eastAsia="zh-CN"/>
            </w:rPr>
            <w:t>3</w:t>
          </w:r>
          <w:r>
            <w:rPr>
              <w:rFonts w:hint="eastAsia" w:ascii="仿宋_GB2312" w:hAnsi="华文宋体" w:eastAsia="仿宋_GB2312"/>
              <w:kern w:val="2"/>
              <w:sz w:val="24"/>
              <w:szCs w:val="24"/>
            </w:rPr>
            <w:t xml:space="preserve">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2"/>
            <w:tabs>
              <w:tab w:val="right" w:leader="dot" w:pos="8844"/>
            </w:tabs>
            <w:ind w:left="632"/>
            <w:rPr>
              <w:rFonts w:ascii="仿宋_GB2312" w:hAnsi="华文宋体" w:eastAsia="仿宋_GB2312"/>
              <w:kern w:val="2"/>
              <w:sz w:val="24"/>
              <w:szCs w:val="24"/>
            </w:rPr>
          </w:pPr>
          <w:r>
            <w:fldChar w:fldCharType="begin"/>
          </w:r>
          <w:r>
            <w:instrText xml:space="preserve"> HYPERLINK \l "_Toc23601" </w:instrText>
          </w:r>
          <w:r>
            <w:fldChar w:fldCharType="separate"/>
          </w:r>
          <w:r>
            <w:rPr>
              <w:rFonts w:hint="eastAsia" w:ascii="仿宋_GB2312" w:hAnsi="华文宋体" w:eastAsia="仿宋_GB2312"/>
              <w:kern w:val="2"/>
              <w:sz w:val="24"/>
              <w:szCs w:val="24"/>
            </w:rPr>
            <w:t>（三）绩效评价工作过程</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_Toc23601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1"/>
            <w:tabs>
              <w:tab w:val="right" w:leader="dot" w:pos="8844"/>
            </w:tabs>
            <w:rPr>
              <w:rFonts w:ascii="仿宋_GB2312" w:hAnsi="华文宋体" w:eastAsia="仿宋_GB2312"/>
              <w:kern w:val="2"/>
              <w:sz w:val="24"/>
              <w:szCs w:val="24"/>
            </w:rPr>
          </w:pPr>
          <w:r>
            <w:fldChar w:fldCharType="begin"/>
          </w:r>
          <w:r>
            <w:instrText xml:space="preserve"> HYPERLINK \l "_Toc31295" </w:instrText>
          </w:r>
          <w:r>
            <w:fldChar w:fldCharType="separate"/>
          </w:r>
          <w:r>
            <w:rPr>
              <w:rFonts w:hint="eastAsia" w:ascii="仿宋_GB2312" w:hAnsi="华文宋体" w:eastAsia="仿宋_GB2312"/>
              <w:kern w:val="2"/>
              <w:sz w:val="24"/>
              <w:szCs w:val="24"/>
            </w:rPr>
            <w:t>三、综合评价情况及评价结论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_Toc31295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w:t>
          </w:r>
          <w:r>
            <w:rPr>
              <w:rFonts w:hint="eastAsia" w:ascii="仿宋_GB2312" w:hAnsi="华文宋体" w:eastAsia="仿宋_GB2312"/>
              <w:kern w:val="2"/>
              <w:sz w:val="24"/>
              <w:szCs w:val="24"/>
              <w:lang w:val="en-US" w:eastAsia="zh-CN"/>
            </w:rPr>
            <w:t>5</w:t>
          </w:r>
          <w:r>
            <w:rPr>
              <w:rFonts w:hint="eastAsia" w:ascii="仿宋_GB2312" w:hAnsi="华文宋体" w:eastAsia="仿宋_GB2312"/>
              <w:kern w:val="2"/>
              <w:sz w:val="24"/>
              <w:szCs w:val="24"/>
            </w:rPr>
            <w:t xml:space="preserve">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2"/>
            <w:tabs>
              <w:tab w:val="right" w:leader="dot" w:pos="8844"/>
            </w:tabs>
            <w:ind w:left="632"/>
            <w:rPr>
              <w:rFonts w:ascii="仿宋_GB2312" w:hAnsi="华文宋体" w:eastAsia="仿宋_GB2312"/>
              <w:kern w:val="2"/>
              <w:sz w:val="24"/>
              <w:szCs w:val="24"/>
            </w:rPr>
          </w:pPr>
          <w:r>
            <w:fldChar w:fldCharType="begin"/>
          </w:r>
          <w:r>
            <w:instrText xml:space="preserve"> HYPERLINK \l "_Toc20659" </w:instrText>
          </w:r>
          <w:r>
            <w:fldChar w:fldCharType="separate"/>
          </w:r>
          <w:r>
            <w:rPr>
              <w:rFonts w:hint="eastAsia" w:ascii="仿宋_GB2312" w:hAnsi="华文宋体" w:eastAsia="仿宋_GB2312"/>
              <w:kern w:val="2"/>
              <w:sz w:val="24"/>
              <w:szCs w:val="24"/>
            </w:rPr>
            <w:t>（一）综合评价情况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_Toc20659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2"/>
            <w:tabs>
              <w:tab w:val="right" w:leader="dot" w:pos="8844"/>
            </w:tabs>
            <w:ind w:left="632"/>
            <w:rPr>
              <w:rFonts w:ascii="仿宋_GB2312" w:hAnsi="华文宋体" w:eastAsia="仿宋_GB2312"/>
              <w:kern w:val="2"/>
              <w:sz w:val="24"/>
              <w:szCs w:val="24"/>
            </w:rPr>
          </w:pPr>
          <w:r>
            <w:fldChar w:fldCharType="begin"/>
          </w:r>
          <w:r>
            <w:instrText xml:space="preserve"> HYPERLINK \l "_Toc29228" </w:instrText>
          </w:r>
          <w:r>
            <w:fldChar w:fldCharType="separate"/>
          </w:r>
          <w:r>
            <w:rPr>
              <w:rFonts w:hint="eastAsia" w:ascii="仿宋_GB2312" w:hAnsi="华文宋体" w:eastAsia="仿宋_GB2312"/>
              <w:kern w:val="2"/>
              <w:sz w:val="24"/>
              <w:szCs w:val="24"/>
            </w:rPr>
            <w:t>（二）评价结论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_Toc29228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1"/>
            <w:tabs>
              <w:tab w:val="right" w:leader="dot" w:pos="8844"/>
            </w:tabs>
            <w:rPr>
              <w:rFonts w:ascii="仿宋_GB2312" w:hAnsi="华文宋体" w:eastAsia="仿宋_GB2312"/>
              <w:kern w:val="2"/>
              <w:sz w:val="24"/>
              <w:szCs w:val="24"/>
            </w:rPr>
          </w:pPr>
          <w:r>
            <w:fldChar w:fldCharType="begin"/>
          </w:r>
          <w:r>
            <w:instrText xml:space="preserve"> HYPERLINK \l "_Toc15151" </w:instrText>
          </w:r>
          <w:r>
            <w:fldChar w:fldCharType="separate"/>
          </w:r>
          <w:r>
            <w:rPr>
              <w:rFonts w:hint="eastAsia" w:ascii="仿宋_GB2312" w:hAnsi="华文宋体" w:eastAsia="仿宋_GB2312"/>
              <w:kern w:val="2"/>
              <w:sz w:val="24"/>
              <w:szCs w:val="24"/>
            </w:rPr>
            <w:t>四、绩效评价指标分析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_Toc15151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w:t>
          </w:r>
          <w:r>
            <w:rPr>
              <w:rFonts w:hint="eastAsia" w:ascii="仿宋_GB2312" w:hAnsi="华文宋体" w:eastAsia="仿宋_GB2312"/>
              <w:kern w:val="2"/>
              <w:sz w:val="24"/>
              <w:szCs w:val="24"/>
              <w:lang w:val="en-US" w:eastAsia="zh-CN"/>
            </w:rPr>
            <w:t>6</w:t>
          </w:r>
          <w:r>
            <w:rPr>
              <w:rFonts w:hint="eastAsia" w:ascii="仿宋_GB2312" w:hAnsi="华文宋体" w:eastAsia="仿宋_GB2312"/>
              <w:kern w:val="2"/>
              <w:sz w:val="24"/>
              <w:szCs w:val="24"/>
            </w:rPr>
            <w:t xml:space="preserve">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2"/>
            <w:tabs>
              <w:tab w:val="right" w:leader="dot" w:pos="8844"/>
            </w:tabs>
            <w:ind w:left="632"/>
            <w:rPr>
              <w:rFonts w:ascii="仿宋_GB2312" w:hAnsi="华文宋体" w:eastAsia="仿宋_GB2312"/>
              <w:kern w:val="2"/>
              <w:sz w:val="24"/>
              <w:szCs w:val="24"/>
            </w:rPr>
          </w:pPr>
          <w:r>
            <w:fldChar w:fldCharType="begin"/>
          </w:r>
          <w:r>
            <w:instrText xml:space="preserve"> HYPERLINK \l "_Toc17424" </w:instrText>
          </w:r>
          <w:r>
            <w:fldChar w:fldCharType="separate"/>
          </w:r>
          <w:r>
            <w:rPr>
              <w:rFonts w:hint="eastAsia" w:ascii="仿宋_GB2312" w:hAnsi="华文宋体" w:eastAsia="仿宋_GB2312"/>
              <w:kern w:val="2"/>
              <w:sz w:val="24"/>
              <w:szCs w:val="24"/>
            </w:rPr>
            <w:t>（一）项目决策情况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_Toc17424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2"/>
            <w:tabs>
              <w:tab w:val="right" w:leader="dot" w:pos="8844"/>
            </w:tabs>
            <w:ind w:left="632"/>
            <w:rPr>
              <w:rFonts w:ascii="仿宋_GB2312" w:hAnsi="华文宋体" w:eastAsia="仿宋_GB2312"/>
              <w:kern w:val="2"/>
              <w:sz w:val="24"/>
              <w:szCs w:val="24"/>
            </w:rPr>
          </w:pPr>
          <w:r>
            <w:fldChar w:fldCharType="begin"/>
          </w:r>
          <w:r>
            <w:instrText xml:space="preserve"> HYPERLINK \l "_Toc31012" </w:instrText>
          </w:r>
          <w:r>
            <w:fldChar w:fldCharType="separate"/>
          </w:r>
          <w:r>
            <w:rPr>
              <w:rFonts w:hint="eastAsia" w:ascii="仿宋_GB2312" w:hAnsi="华文宋体" w:eastAsia="仿宋_GB2312"/>
              <w:kern w:val="2"/>
              <w:sz w:val="24"/>
              <w:szCs w:val="24"/>
            </w:rPr>
            <w:t>（二）项目过程情况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_Toc31012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2"/>
            <w:tabs>
              <w:tab w:val="right" w:leader="dot" w:pos="8844"/>
            </w:tabs>
            <w:ind w:left="632"/>
            <w:rPr>
              <w:rFonts w:ascii="仿宋_GB2312" w:hAnsi="华文宋体" w:eastAsia="仿宋_GB2312"/>
              <w:kern w:val="2"/>
              <w:sz w:val="24"/>
              <w:szCs w:val="24"/>
            </w:rPr>
          </w:pPr>
          <w:r>
            <w:fldChar w:fldCharType="begin"/>
          </w:r>
          <w:r>
            <w:instrText xml:space="preserve"> HYPERLINK \l "_Toc14450" </w:instrText>
          </w:r>
          <w:r>
            <w:fldChar w:fldCharType="separate"/>
          </w:r>
          <w:r>
            <w:rPr>
              <w:rFonts w:hint="eastAsia" w:ascii="仿宋_GB2312" w:hAnsi="华文宋体" w:eastAsia="仿宋_GB2312"/>
              <w:kern w:val="2"/>
              <w:sz w:val="24"/>
              <w:szCs w:val="24"/>
            </w:rPr>
            <w:t>（三）项目产出情况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_Toc14450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w:t>
          </w:r>
          <w:r>
            <w:rPr>
              <w:rFonts w:hint="eastAsia" w:ascii="仿宋_GB2312" w:hAnsi="华文宋体" w:eastAsia="仿宋_GB2312"/>
              <w:kern w:val="2"/>
              <w:sz w:val="24"/>
              <w:szCs w:val="24"/>
              <w:lang w:val="en-US" w:eastAsia="zh-CN"/>
            </w:rPr>
            <w:t>2</w:t>
          </w:r>
          <w:r>
            <w:rPr>
              <w:rFonts w:hint="eastAsia" w:ascii="仿宋_GB2312" w:hAnsi="华文宋体" w:eastAsia="仿宋_GB2312"/>
              <w:kern w:val="2"/>
              <w:sz w:val="24"/>
              <w:szCs w:val="24"/>
            </w:rPr>
            <w:t xml:space="preserve">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2"/>
            <w:tabs>
              <w:tab w:val="right" w:leader="dot" w:pos="8844"/>
            </w:tabs>
            <w:ind w:left="632"/>
            <w:rPr>
              <w:rFonts w:ascii="仿宋_GB2312" w:hAnsi="华文宋体" w:eastAsia="仿宋_GB2312"/>
              <w:kern w:val="2"/>
              <w:sz w:val="24"/>
              <w:szCs w:val="24"/>
            </w:rPr>
          </w:pPr>
          <w:r>
            <w:fldChar w:fldCharType="begin"/>
          </w:r>
          <w:r>
            <w:instrText xml:space="preserve"> HYPERLINK \l "_Toc13789" </w:instrText>
          </w:r>
          <w:r>
            <w:fldChar w:fldCharType="separate"/>
          </w:r>
          <w:r>
            <w:rPr>
              <w:rFonts w:hint="eastAsia" w:ascii="仿宋_GB2312" w:hAnsi="华文宋体" w:eastAsia="仿宋_GB2312"/>
              <w:kern w:val="2"/>
              <w:sz w:val="24"/>
              <w:szCs w:val="24"/>
            </w:rPr>
            <w:t>（四）项目效益情况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_Toc13789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w:t>
          </w:r>
          <w:r>
            <w:rPr>
              <w:rFonts w:hint="eastAsia" w:ascii="仿宋_GB2312" w:hAnsi="华文宋体" w:eastAsia="仿宋_GB2312"/>
              <w:kern w:val="2"/>
              <w:sz w:val="24"/>
              <w:szCs w:val="24"/>
              <w:lang w:val="en-US" w:eastAsia="zh-CN"/>
            </w:rPr>
            <w:t>5</w:t>
          </w:r>
          <w:r>
            <w:rPr>
              <w:rFonts w:hint="eastAsia" w:ascii="仿宋_GB2312" w:hAnsi="华文宋体" w:eastAsia="仿宋_GB2312"/>
              <w:kern w:val="2"/>
              <w:sz w:val="24"/>
              <w:szCs w:val="24"/>
            </w:rPr>
            <w:t xml:space="preserve">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1"/>
            <w:tabs>
              <w:tab w:val="right" w:leader="dot" w:pos="8844"/>
            </w:tabs>
            <w:rPr>
              <w:rFonts w:ascii="仿宋_GB2312" w:hAnsi="华文宋体" w:eastAsia="仿宋_GB2312"/>
              <w:kern w:val="2"/>
              <w:sz w:val="24"/>
              <w:szCs w:val="24"/>
            </w:rPr>
          </w:pPr>
          <w:r>
            <w:fldChar w:fldCharType="begin"/>
          </w:r>
          <w:r>
            <w:instrText xml:space="preserve"> HYPERLINK \l "_Toc18123" </w:instrText>
          </w:r>
          <w:r>
            <w:fldChar w:fldCharType="separate"/>
          </w:r>
          <w:r>
            <w:rPr>
              <w:rFonts w:hint="eastAsia" w:ascii="仿宋_GB2312" w:hAnsi="华文宋体" w:eastAsia="仿宋_GB2312"/>
              <w:kern w:val="2"/>
              <w:sz w:val="24"/>
              <w:szCs w:val="24"/>
            </w:rPr>
            <w:t>五、 主要经验及做法</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_Toc18123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w:t>
          </w:r>
          <w:r>
            <w:rPr>
              <w:rFonts w:hint="eastAsia" w:ascii="仿宋_GB2312" w:hAnsi="华文宋体" w:eastAsia="仿宋_GB2312"/>
              <w:kern w:val="2"/>
              <w:sz w:val="24"/>
              <w:szCs w:val="24"/>
              <w:lang w:val="en-US" w:eastAsia="zh-CN"/>
            </w:rPr>
            <w:t>7</w:t>
          </w:r>
          <w:r>
            <w:rPr>
              <w:rFonts w:hint="eastAsia" w:ascii="仿宋_GB2312" w:hAnsi="华文宋体" w:eastAsia="仿宋_GB2312"/>
              <w:kern w:val="2"/>
              <w:sz w:val="24"/>
              <w:szCs w:val="24"/>
            </w:rPr>
            <w:t xml:space="preserve">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1"/>
            <w:tabs>
              <w:tab w:val="right" w:leader="dot" w:pos="8844"/>
            </w:tabs>
            <w:rPr>
              <w:rFonts w:ascii="仿宋_GB2312" w:hAnsi="华文宋体" w:eastAsia="仿宋_GB2312"/>
              <w:kern w:val="2"/>
              <w:sz w:val="24"/>
              <w:szCs w:val="24"/>
            </w:rPr>
          </w:pPr>
          <w:r>
            <w:fldChar w:fldCharType="begin"/>
          </w:r>
          <w:r>
            <w:instrText xml:space="preserve"> HYPERLINK \l "_Toc1758" </w:instrText>
          </w:r>
          <w:r>
            <w:fldChar w:fldCharType="separate"/>
          </w:r>
          <w:r>
            <w:rPr>
              <w:rFonts w:hint="eastAsia" w:ascii="仿宋_GB2312" w:hAnsi="华文宋体" w:eastAsia="仿宋_GB2312"/>
              <w:kern w:val="2"/>
              <w:sz w:val="24"/>
              <w:szCs w:val="24"/>
            </w:rPr>
            <w:t>六、存在问题及原因分析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_Toc1758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w:t>
          </w:r>
          <w:r>
            <w:rPr>
              <w:rFonts w:hint="eastAsia" w:ascii="仿宋_GB2312" w:hAnsi="华文宋体" w:eastAsia="仿宋_GB2312"/>
              <w:kern w:val="2"/>
              <w:sz w:val="24"/>
              <w:szCs w:val="24"/>
              <w:lang w:val="en-US" w:eastAsia="zh-CN"/>
            </w:rPr>
            <w:t>8</w:t>
          </w:r>
          <w:r>
            <w:rPr>
              <w:rFonts w:hint="eastAsia" w:ascii="仿宋_GB2312" w:hAnsi="华文宋体" w:eastAsia="仿宋_GB2312"/>
              <w:kern w:val="2"/>
              <w:sz w:val="24"/>
              <w:szCs w:val="24"/>
            </w:rPr>
            <w:t xml:space="preserve">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11"/>
            <w:tabs>
              <w:tab w:val="right" w:leader="dot" w:pos="8844"/>
            </w:tabs>
            <w:rPr>
              <w:rFonts w:ascii="仿宋_GB2312" w:hAnsi="华文宋体" w:eastAsia="仿宋_GB2312"/>
              <w:kern w:val="2"/>
              <w:sz w:val="24"/>
              <w:szCs w:val="24"/>
            </w:rPr>
            <w:sectPr>
              <w:footerReference r:id="rId3" w:type="default"/>
              <w:pgSz w:w="11906" w:h="16838"/>
              <w:pgMar w:top="2098" w:right="1474" w:bottom="1985" w:left="1588" w:header="851" w:footer="992" w:gutter="0"/>
              <w:pgNumType w:fmt="decimal" w:start="1"/>
              <w:cols w:space="425" w:num="1"/>
              <w:docGrid w:type="linesAndChars" w:linePitch="560" w:charSpace="-849"/>
            </w:sectPr>
          </w:pPr>
          <w:r>
            <w:fldChar w:fldCharType="begin"/>
          </w:r>
          <w:r>
            <w:instrText xml:space="preserve"> HYPERLINK \l "_Toc703" </w:instrText>
          </w:r>
          <w:r>
            <w:fldChar w:fldCharType="separate"/>
          </w:r>
          <w:r>
            <w:rPr>
              <w:rFonts w:hint="eastAsia" w:ascii="仿宋_GB2312" w:hAnsi="华文宋体" w:eastAsia="仿宋_GB2312"/>
              <w:kern w:val="2"/>
              <w:sz w:val="24"/>
              <w:szCs w:val="24"/>
            </w:rPr>
            <w:t>七、有关建议</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_Toc703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w:t>
          </w:r>
          <w:r>
            <w:rPr>
              <w:rFonts w:hint="eastAsia" w:ascii="仿宋_GB2312" w:hAnsi="华文宋体" w:eastAsia="仿宋_GB2312"/>
              <w:kern w:val="2"/>
              <w:sz w:val="24"/>
              <w:szCs w:val="24"/>
              <w:lang w:val="en-US" w:eastAsia="zh-CN"/>
            </w:rPr>
            <w:t>9</w:t>
          </w:r>
          <w:r>
            <w:rPr>
              <w:rFonts w:hint="eastAsia" w:ascii="仿宋_GB2312" w:hAnsi="华文宋体" w:eastAsia="仿宋_GB2312"/>
              <w:kern w:val="2"/>
              <w:sz w:val="24"/>
              <w:szCs w:val="24"/>
            </w:rPr>
            <w:t xml:space="preserve">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ind w:firstLine="1897" w:firstLineChars="900"/>
            <w:jc w:val="left"/>
          </w:pPr>
          <w:r>
            <w:rPr>
              <w:b/>
            </w:rPr>
            <w:fldChar w:fldCharType="end"/>
          </w:r>
        </w:p>
      </w:sdtContent>
    </w:sdt>
    <w:p>
      <w:pPr>
        <w:widowControl/>
        <w:shd w:val="clear" w:color="auto" w:fill="FFFFFF"/>
        <w:spacing w:line="560" w:lineRule="atLeast"/>
        <w:jc w:val="center"/>
        <w:rPr>
          <w:rFonts w:hint="eastAsia" w:ascii="仿宋" w:hAnsi="仿宋" w:eastAsia="仿宋" w:cs="仿宋"/>
          <w:b/>
          <w:bCs/>
          <w:color w:val="000000"/>
          <w:kern w:val="0"/>
          <w:sz w:val="36"/>
          <w:szCs w:val="36"/>
          <w:lang w:val="en-US" w:eastAsia="zh-CN"/>
        </w:rPr>
      </w:pPr>
      <w:r>
        <w:rPr>
          <w:rFonts w:hint="eastAsia" w:ascii="仿宋" w:hAnsi="仿宋" w:eastAsia="仿宋" w:cs="仿宋"/>
          <w:b/>
          <w:bCs/>
          <w:color w:val="000000"/>
          <w:kern w:val="0"/>
          <w:sz w:val="36"/>
          <w:szCs w:val="36"/>
          <w:lang w:val="en-US" w:eastAsia="zh-CN"/>
        </w:rPr>
        <w:t xml:space="preserve"> </w:t>
      </w:r>
      <w:r>
        <w:rPr>
          <w:rFonts w:hint="eastAsia" w:ascii="仿宋" w:hAnsi="仿宋" w:eastAsia="仿宋" w:cs="仿宋"/>
          <w:b/>
          <w:bCs/>
          <w:color w:val="000000"/>
          <w:kern w:val="0"/>
          <w:sz w:val="36"/>
          <w:szCs w:val="36"/>
        </w:rPr>
        <w:t>202</w:t>
      </w:r>
      <w:r>
        <w:rPr>
          <w:rFonts w:hint="eastAsia" w:ascii="仿宋" w:hAnsi="仿宋" w:eastAsia="仿宋" w:cs="仿宋"/>
          <w:b/>
          <w:bCs/>
          <w:color w:val="000000"/>
          <w:kern w:val="0"/>
          <w:sz w:val="36"/>
          <w:szCs w:val="36"/>
          <w:lang w:val="en-US" w:eastAsia="zh-CN"/>
        </w:rPr>
        <w:t>2</w:t>
      </w:r>
      <w:r>
        <w:rPr>
          <w:rFonts w:hint="eastAsia" w:ascii="仿宋" w:hAnsi="仿宋" w:eastAsia="仿宋" w:cs="仿宋"/>
          <w:b/>
          <w:bCs/>
          <w:color w:val="000000"/>
          <w:kern w:val="0"/>
          <w:sz w:val="36"/>
          <w:szCs w:val="36"/>
        </w:rPr>
        <w:t>年度</w:t>
      </w:r>
      <w:r>
        <w:rPr>
          <w:rFonts w:hint="eastAsia" w:ascii="仿宋" w:hAnsi="仿宋" w:eastAsia="仿宋" w:cs="仿宋"/>
          <w:b/>
          <w:bCs/>
          <w:color w:val="000000"/>
          <w:kern w:val="0"/>
          <w:sz w:val="36"/>
          <w:szCs w:val="36"/>
          <w:lang w:val="en-US" w:eastAsia="zh-CN"/>
        </w:rPr>
        <w:t xml:space="preserve">怀远县水利局居民饮用水安全工程      </w:t>
      </w:r>
      <w:r>
        <w:rPr>
          <w:rFonts w:hint="eastAsia" w:ascii="仿宋" w:hAnsi="仿宋" w:eastAsia="仿宋" w:cs="仿宋"/>
          <w:b/>
          <w:bCs/>
          <w:color w:val="000000"/>
          <w:kern w:val="0"/>
          <w:sz w:val="36"/>
          <w:szCs w:val="36"/>
        </w:rPr>
        <w:t xml:space="preserve"> </w:t>
      </w:r>
      <w:r>
        <w:rPr>
          <w:rFonts w:hint="eastAsia" w:ascii="仿宋" w:hAnsi="仿宋" w:eastAsia="仿宋" w:cs="仿宋"/>
          <w:b/>
          <w:bCs/>
          <w:color w:val="000000"/>
          <w:kern w:val="0"/>
          <w:sz w:val="36"/>
          <w:szCs w:val="36"/>
          <w:lang w:val="en-US" w:eastAsia="zh-CN"/>
        </w:rPr>
        <w:t xml:space="preserve">              </w:t>
      </w:r>
    </w:p>
    <w:p>
      <w:pPr>
        <w:widowControl/>
        <w:shd w:val="clear" w:color="auto" w:fill="FFFFFF"/>
        <w:spacing w:line="560" w:lineRule="atLeast"/>
        <w:ind w:firstLine="2891" w:firstLineChars="800"/>
        <w:jc w:val="both"/>
        <w:rPr>
          <w:rFonts w:hint="eastAsia" w:ascii="仿宋" w:hAnsi="仿宋" w:eastAsia="仿宋" w:cs="仿宋"/>
          <w:b/>
          <w:bCs/>
          <w:color w:val="000000"/>
          <w:kern w:val="0"/>
          <w:sz w:val="36"/>
          <w:szCs w:val="36"/>
        </w:rPr>
      </w:pPr>
      <w:r>
        <w:rPr>
          <w:rFonts w:hint="eastAsia" w:ascii="仿宋" w:hAnsi="仿宋" w:eastAsia="仿宋" w:cs="仿宋"/>
          <w:b/>
          <w:bCs/>
          <w:color w:val="000000"/>
          <w:kern w:val="0"/>
          <w:sz w:val="36"/>
          <w:szCs w:val="36"/>
        </w:rPr>
        <w:t>项目支出绩效评价报告</w:t>
      </w:r>
    </w:p>
    <w:p>
      <w:pPr>
        <w:widowControl/>
        <w:shd w:val="clear" w:color="auto" w:fill="FFFFFF"/>
        <w:spacing w:line="560" w:lineRule="atLeast"/>
        <w:ind w:firstLine="3975" w:firstLineChars="1100"/>
        <w:jc w:val="both"/>
        <w:rPr>
          <w:rFonts w:hint="eastAsia" w:ascii="仿宋" w:hAnsi="仿宋" w:eastAsia="仿宋" w:cs="仿宋"/>
          <w:b/>
          <w:bCs/>
          <w:color w:val="000000"/>
          <w:kern w:val="0"/>
          <w:sz w:val="36"/>
          <w:szCs w:val="36"/>
        </w:rPr>
      </w:pPr>
      <w:r>
        <w:rPr>
          <w:rFonts w:hint="eastAsia" w:ascii="仿宋" w:hAnsi="仿宋" w:eastAsia="仿宋" w:cs="仿宋"/>
          <w:b/>
          <w:bCs/>
          <w:color w:val="000000"/>
          <w:kern w:val="0"/>
          <w:sz w:val="36"/>
          <w:szCs w:val="36"/>
        </w:rPr>
        <w:t>摘 要</w:t>
      </w:r>
    </w:p>
    <w:p>
      <w:pPr>
        <w:pStyle w:val="3"/>
        <w:spacing w:after="0" w:line="560" w:lineRule="exact"/>
        <w:ind w:firstLine="480" w:firstLineChars="200"/>
        <w:jc w:val="left"/>
        <w:rPr>
          <w:rFonts w:hint="eastAsia" w:ascii="仿宋" w:hAnsi="仿宋" w:eastAsia="仿宋" w:cs="仿宋"/>
          <w:color w:val="333333"/>
          <w:kern w:val="0"/>
          <w:sz w:val="24"/>
          <w:szCs w:val="24"/>
          <w:lang w:val="en-US" w:eastAsia="zh-CN" w:bidi="ar-SA"/>
        </w:rPr>
      </w:pPr>
      <w:r>
        <w:rPr>
          <w:rFonts w:hint="eastAsia" w:ascii="仿宋" w:hAnsi="仿宋" w:eastAsia="仿宋" w:cs="仿宋"/>
          <w:color w:val="333333"/>
          <w:kern w:val="0"/>
          <w:sz w:val="24"/>
          <w:szCs w:val="24"/>
          <w:lang w:val="en-US" w:eastAsia="zh-CN" w:bidi="ar-SA"/>
        </w:rPr>
        <w:t>为贯彻落实全面实施预算绩效管理工作的要求，提高财政资金使用效益，根据《中华人民共和国预算法》规定，按照《中共怀远县委、怀远县人民政府关于印发&lt;全面实施预算绩效管理的实施办法&gt;的通知》(怀发(2020) 5 号)、《怀远县财政局关于印发&lt;怀远县县级项目支出绩效单位自评操作规程&gt;和&lt;怀远县县级级项目支出绩效财政评价和部门评价操作规程&gt;的通知》（怀财监〔2021〕1号）等要求，我们对2022年度怀远县水利局居民饮用水安全工程项目开展了绩效评价，现将有关情况报告如下。</w:t>
      </w:r>
    </w:p>
    <w:p>
      <w:pPr>
        <w:spacing w:line="560" w:lineRule="exact"/>
        <w:ind w:firstLine="480" w:firstLineChars="200"/>
        <w:outlineLvl w:val="0"/>
        <w:rPr>
          <w:rFonts w:hint="eastAsia" w:ascii="仿宋" w:hAnsi="仿宋" w:eastAsia="仿宋" w:cs="仿宋"/>
          <w:sz w:val="24"/>
          <w:szCs w:val="24"/>
        </w:rPr>
      </w:pPr>
      <w:bookmarkStart w:id="0" w:name="_Toc11742"/>
      <w:r>
        <w:rPr>
          <w:rFonts w:hint="eastAsia" w:ascii="仿宋" w:hAnsi="仿宋" w:eastAsia="仿宋" w:cs="仿宋"/>
          <w:sz w:val="24"/>
          <w:szCs w:val="24"/>
        </w:rPr>
        <w:t>二、项目执行情况</w:t>
      </w:r>
      <w:bookmarkEnd w:id="0"/>
    </w:p>
    <w:p>
      <w:pPr>
        <w:spacing w:line="560" w:lineRule="exact"/>
        <w:ind w:firstLine="240" w:firstLineChars="100"/>
        <w:outlineLvl w:val="1"/>
        <w:rPr>
          <w:rFonts w:hint="eastAsia" w:ascii="仿宋" w:hAnsi="仿宋" w:eastAsia="仿宋" w:cs="仿宋"/>
          <w:sz w:val="24"/>
          <w:szCs w:val="24"/>
        </w:rPr>
      </w:pPr>
      <w:bookmarkStart w:id="1" w:name="_Toc14687"/>
      <w:r>
        <w:rPr>
          <w:rFonts w:hint="eastAsia" w:ascii="仿宋" w:hAnsi="仿宋" w:eastAsia="仿宋" w:cs="仿宋"/>
          <w:sz w:val="24"/>
          <w:szCs w:val="24"/>
        </w:rPr>
        <w:t>（一）预算执行情况</w:t>
      </w:r>
      <w:bookmarkEnd w:id="1"/>
    </w:p>
    <w:p>
      <w:pPr>
        <w:spacing w:line="560" w:lineRule="exact"/>
        <w:ind w:firstLine="480" w:firstLineChars="200"/>
        <w:rPr>
          <w:rFonts w:hint="eastAsia" w:ascii="仿宋" w:hAnsi="仿宋" w:eastAsia="仿宋" w:cs="仿宋"/>
          <w:sz w:val="24"/>
          <w:szCs w:val="24"/>
        </w:rPr>
      </w:pPr>
      <w:r>
        <w:rPr>
          <w:rFonts w:hint="eastAsia" w:ascii="仿宋" w:hAnsi="仿宋" w:eastAsia="仿宋" w:cs="仿宋"/>
          <w:color w:val="333333"/>
          <w:kern w:val="0"/>
          <w:sz w:val="24"/>
          <w:szCs w:val="24"/>
          <w:lang w:val="en-US" w:eastAsia="zh-CN"/>
        </w:rPr>
        <w:t>本工程概算总投资 20545.18 万元，投资采用政府非标专项债及政府投资等多渠道资金解决。2022年水利局预算居民饮用水安全工程预算2000万，皖北财力补助资金为2000万元。</w:t>
      </w:r>
      <w:r>
        <w:rPr>
          <w:rFonts w:hint="eastAsia" w:ascii="仿宋" w:hAnsi="仿宋" w:eastAsia="仿宋" w:cs="仿宋"/>
          <w:sz w:val="24"/>
          <w:szCs w:val="24"/>
        </w:rPr>
        <w:t>预算执行率100%。</w:t>
      </w:r>
    </w:p>
    <w:p>
      <w:pPr>
        <w:numPr>
          <w:ilvl w:val="0"/>
          <w:numId w:val="0"/>
        </w:numPr>
        <w:spacing w:line="560" w:lineRule="exact"/>
        <w:ind w:firstLine="240" w:firstLineChars="100"/>
        <w:outlineLvl w:val="1"/>
        <w:rPr>
          <w:rFonts w:hint="eastAsia" w:ascii="仿宋" w:hAnsi="仿宋" w:eastAsia="仿宋" w:cs="仿宋"/>
          <w:sz w:val="24"/>
          <w:szCs w:val="24"/>
        </w:rPr>
      </w:pPr>
      <w:bookmarkStart w:id="2" w:name="_Toc9155"/>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二</w:t>
      </w:r>
      <w:r>
        <w:rPr>
          <w:rFonts w:hint="eastAsia" w:ascii="仿宋" w:hAnsi="仿宋" w:eastAsia="仿宋" w:cs="仿宋"/>
          <w:sz w:val="24"/>
          <w:szCs w:val="24"/>
          <w:lang w:eastAsia="zh-CN"/>
        </w:rPr>
        <w:t>）</w:t>
      </w:r>
      <w:r>
        <w:rPr>
          <w:rFonts w:hint="eastAsia" w:ascii="仿宋" w:hAnsi="仿宋" w:eastAsia="仿宋" w:cs="仿宋"/>
          <w:sz w:val="24"/>
          <w:szCs w:val="24"/>
        </w:rPr>
        <w:t>效益实现情况</w:t>
      </w:r>
      <w:bookmarkEnd w:id="2"/>
    </w:p>
    <w:p>
      <w:pPr>
        <w:widowControl/>
        <w:shd w:val="clear" w:color="auto" w:fill="FFFFFF"/>
        <w:spacing w:line="560" w:lineRule="atLeast"/>
        <w:ind w:firstLine="480" w:firstLineChars="20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农村自来水项目的实施，将有力地推进县农村经济的持续、快速发展，对</w:t>
      </w:r>
    </w:p>
    <w:p>
      <w:pPr>
        <w:widowControl/>
        <w:shd w:val="clear" w:color="auto" w:fill="FFFFFF"/>
        <w:spacing w:line="560" w:lineRule="atLeas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 xml:space="preserve">社会主义新农村建设将起到重要的作用。产生社会效益主要体现在以下几个方面： </w:t>
      </w:r>
    </w:p>
    <w:p>
      <w:pPr>
        <w:widowControl/>
        <w:shd w:val="clear" w:color="auto" w:fill="FFFFFF"/>
        <w:spacing w:line="560" w:lineRule="atLeast"/>
        <w:ind w:firstLine="240" w:firstLineChars="1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 xml:space="preserve">（1）改善了农村生活条件，提高了农民的健康水平。 </w:t>
      </w:r>
    </w:p>
    <w:p>
      <w:pPr>
        <w:keepNext w:val="0"/>
        <w:keepLines w:val="0"/>
        <w:pageBreakBefore w:val="0"/>
        <w:widowControl/>
        <w:shd w:val="clear" w:color="auto" w:fill="FFFFFF"/>
        <w:kinsoku/>
        <w:wordWrap/>
        <w:overflowPunct/>
        <w:topLinePunct w:val="0"/>
        <w:autoSpaceDE/>
        <w:autoSpaceDN/>
        <w:bidi w:val="0"/>
        <w:adjustRightInd/>
        <w:snapToGrid/>
        <w:spacing w:line="560" w:lineRule="atLeast"/>
        <w:ind w:left="-21" w:leftChars="-10" w:firstLine="247" w:firstLineChars="103"/>
        <w:jc w:val="left"/>
        <w:textAlignment w:val="auto"/>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实施本项目后，农民喝上了更清洁卫生的优质自来水，从而提高了健康水平，减少了疾病，节省了医疗费用，提高了生活质量。 </w:t>
      </w:r>
    </w:p>
    <w:p>
      <w:pPr>
        <w:widowControl/>
        <w:shd w:val="clear" w:color="auto" w:fill="FFFFFF"/>
        <w:spacing w:line="560" w:lineRule="atLeast"/>
        <w:ind w:firstLine="240" w:firstLineChars="1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 xml:space="preserve">（2）农村饮水项目的建设，提高了供水保证率和水质标准，使得项目村的青壮年劳力不用担心家庭吃水问题，可以利用农闲放心地外出打工，增加家庭收入。 </w:t>
      </w:r>
    </w:p>
    <w:p>
      <w:pPr>
        <w:widowControl/>
        <w:shd w:val="clear" w:color="auto" w:fill="FFFFFF"/>
        <w:spacing w:line="560" w:lineRule="atLeast"/>
        <w:ind w:firstLine="240" w:firstLineChars="1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 xml:space="preserve">（3）密切了党群、干群关系，促进了农村精神文明建设。 </w:t>
      </w:r>
    </w:p>
    <w:p>
      <w:pPr>
        <w:widowControl/>
        <w:shd w:val="clear" w:color="auto" w:fill="FFFFFF"/>
        <w:spacing w:line="560" w:lineRule="atLeast"/>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 xml:space="preserve">高标准农村自来水工程实施后，农民可以方便的喝上安全洁净的自来水，帮助老百姓实实在在地解决了生活中最基本的问题，劳动强度将会减轻，精神面貌将会发生明显的变化，将会有效地推动农村精神文明建设。对建设社会主义新农村，改善党群、干群关系，维护社会稳定将会起到很大的促进作用。 </w:t>
      </w:r>
    </w:p>
    <w:p>
      <w:pPr>
        <w:widowControl/>
        <w:shd w:val="clear" w:color="auto" w:fill="FFFFFF"/>
        <w:spacing w:line="560" w:lineRule="atLeast"/>
        <w:ind w:firstLine="240" w:firstLineChars="1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 xml:space="preserve">（4）有利于水资源合理调配，提高水资源的利用率。 </w:t>
      </w:r>
    </w:p>
    <w:p>
      <w:pPr>
        <w:widowControl/>
        <w:shd w:val="clear" w:color="auto" w:fill="FFFFFF"/>
        <w:spacing w:line="560" w:lineRule="atLeast"/>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 xml:space="preserve">本项目实施后，建设农村集中供水水源地，有利于项目区水资源的充分利用，使本地区有限的水资源得到合理的管理与调配，提高水资源的利用率，从而带动当地其他资源包括人力资源的开发与利用，改善了当地的投资环境，对当地经济的发展有极大的推动作用。 </w:t>
      </w:r>
    </w:p>
    <w:p>
      <w:pPr>
        <w:spacing w:line="560" w:lineRule="exact"/>
        <w:ind w:firstLine="480" w:firstLineChars="200"/>
        <w:outlineLvl w:val="0"/>
        <w:rPr>
          <w:rFonts w:ascii="黑体" w:hAnsi="黑体" w:eastAsia="黑体" w:cs="Times New Roman"/>
          <w:bCs/>
          <w:sz w:val="24"/>
          <w:szCs w:val="24"/>
        </w:rPr>
      </w:pPr>
      <w:bookmarkStart w:id="3" w:name="_Toc16658"/>
      <w:r>
        <w:rPr>
          <w:rFonts w:hint="eastAsia" w:ascii="黑体" w:hAnsi="黑体" w:eastAsia="黑体" w:cs="Times New Roman"/>
          <w:bCs/>
          <w:sz w:val="24"/>
          <w:szCs w:val="24"/>
        </w:rPr>
        <w:t>三、绩效评价工作情况及评价结论</w:t>
      </w:r>
      <w:bookmarkEnd w:id="3"/>
    </w:p>
    <w:p>
      <w:pPr>
        <w:widowControl/>
        <w:shd w:val="clear" w:color="auto" w:fill="FFFFFF"/>
        <w:spacing w:line="560" w:lineRule="atLeast"/>
        <w:ind w:firstLine="480" w:firstLineChars="200"/>
        <w:jc w:val="left"/>
        <w:rPr>
          <w:rFonts w:hint="eastAsia" w:ascii="仿宋" w:hAnsi="仿宋" w:eastAsia="仿宋" w:cs="仿宋"/>
          <w:color w:val="000000"/>
          <w:kern w:val="0"/>
          <w:sz w:val="24"/>
          <w:szCs w:val="24"/>
          <w:lang w:val="en-US" w:eastAsia="zh-CN"/>
        </w:rPr>
      </w:pPr>
      <w:bookmarkStart w:id="4" w:name="_Toc2595"/>
      <w:r>
        <w:rPr>
          <w:rFonts w:hint="eastAsia" w:ascii="仿宋" w:hAnsi="仿宋" w:eastAsia="仿宋" w:cs="仿宋"/>
          <w:color w:val="000000"/>
          <w:kern w:val="0"/>
          <w:sz w:val="24"/>
          <w:szCs w:val="24"/>
          <w:lang w:val="en-US" w:eastAsia="zh-CN"/>
        </w:rPr>
        <w:t>（一）评价范围及目的</w:t>
      </w:r>
      <w:bookmarkEnd w:id="4"/>
    </w:p>
    <w:p>
      <w:pPr>
        <w:widowControl/>
        <w:shd w:val="clear" w:color="auto" w:fill="FFFFFF"/>
        <w:spacing w:line="560" w:lineRule="atLeast"/>
        <w:ind w:firstLine="480" w:firstLineChars="20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本次评价的范围是2022年皖北地区群众喝上引调水工程（皖北地区群众喝上更好水工程）工程资金，评价其绩效目标设定情况，资金投入和使用情况，为实现设定的绩效目标所制定的制度、采取的措施等，以及绩效目标最终的实现程度及效果。通过评价，深入了解2022年皖北地区群众喝上更好水工程的决策、产出、过程和效益方面的详细情况，总结项目资金使用中的主要经验及存在问题，提出有针对性和可操作性的政策建议，不断提高财政资金管理水平和使用效益，为预算安排提供重要依据。</w:t>
      </w:r>
    </w:p>
    <w:p>
      <w:pPr>
        <w:widowControl/>
        <w:shd w:val="clear" w:color="auto" w:fill="FFFFFF"/>
        <w:spacing w:line="560" w:lineRule="atLeast"/>
        <w:ind w:firstLine="480" w:firstLineChars="200"/>
        <w:jc w:val="left"/>
        <w:rPr>
          <w:rFonts w:hint="eastAsia" w:ascii="仿宋" w:hAnsi="仿宋" w:eastAsia="仿宋" w:cs="仿宋"/>
          <w:color w:val="000000"/>
          <w:kern w:val="0"/>
          <w:sz w:val="24"/>
          <w:szCs w:val="24"/>
          <w:lang w:val="en-US" w:eastAsia="zh-CN"/>
        </w:rPr>
      </w:pPr>
      <w:bookmarkStart w:id="5" w:name="_Toc26786"/>
      <w:r>
        <w:rPr>
          <w:rFonts w:hint="eastAsia" w:ascii="仿宋" w:hAnsi="仿宋" w:eastAsia="仿宋" w:cs="仿宋"/>
          <w:color w:val="000000"/>
          <w:kern w:val="0"/>
          <w:sz w:val="24"/>
          <w:szCs w:val="24"/>
          <w:lang w:val="en-US" w:eastAsia="zh-CN"/>
        </w:rPr>
        <w:t>（二）评价指标体系</w:t>
      </w:r>
      <w:bookmarkEnd w:id="5"/>
    </w:p>
    <w:p>
      <w:pPr>
        <w:widowControl/>
        <w:shd w:val="clear" w:color="auto" w:fill="FFFFFF"/>
        <w:spacing w:line="560" w:lineRule="atLeast"/>
        <w:ind w:firstLine="480" w:firstLineChars="20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本次绩效评价指标体系包括项目决策、项目过程、项目产出、项目效益 4 个一级指标，满分为 100 分。其中：项目决策（30分）主要评价项目立项、绩效目标、资金投入情况，重点关注项目绩效目标设定情况、预算编制和资金分配情况。项目过程（28分）主要评价资金管理和组织实施情况，其中资金方面重点关注资金支出的合法合规性和绩效自评情况，组织实施重点关注管理制度的健全性和制度执行的有效性的情况。项目产出（22分）主要评价项目在本年度的实际产出数量、产出质量、产出成本等产出完成情况，根据项目申报内容，重点核实产出数量是否达到设定目标、产出质量、产出成本是否符合设定标准。项目效益（20分）主要评价社会效益、经济效益、生态效益、可持续影响及服务对象满意度情况，重点关注项目在社会发展方面发挥的实际作用情况和社会公众等服务对象的满意度情况。</w:t>
      </w:r>
    </w:p>
    <w:p>
      <w:pPr>
        <w:widowControl/>
        <w:shd w:val="clear" w:color="auto" w:fill="FFFFFF"/>
        <w:spacing w:line="560" w:lineRule="atLeast"/>
        <w:ind w:firstLine="480" w:firstLineChars="200"/>
        <w:jc w:val="left"/>
        <w:rPr>
          <w:rFonts w:hint="eastAsia" w:ascii="仿宋" w:hAnsi="仿宋" w:eastAsia="仿宋" w:cs="仿宋"/>
          <w:color w:val="000000"/>
          <w:kern w:val="0"/>
          <w:sz w:val="24"/>
          <w:szCs w:val="24"/>
          <w:lang w:val="en-US" w:eastAsia="zh-CN"/>
        </w:rPr>
      </w:pPr>
      <w:bookmarkStart w:id="6" w:name="_Toc2560"/>
      <w:r>
        <w:rPr>
          <w:rFonts w:hint="eastAsia" w:ascii="仿宋" w:hAnsi="仿宋" w:eastAsia="仿宋" w:cs="仿宋"/>
          <w:color w:val="000000"/>
          <w:kern w:val="0"/>
          <w:sz w:val="24"/>
          <w:szCs w:val="24"/>
          <w:lang w:val="en-US" w:eastAsia="zh-CN"/>
        </w:rPr>
        <w:t>（三）评价方法与实施</w:t>
      </w:r>
      <w:bookmarkEnd w:id="6"/>
    </w:p>
    <w:p>
      <w:pPr>
        <w:widowControl/>
        <w:shd w:val="clear" w:color="auto" w:fill="FFFFFF"/>
        <w:spacing w:line="560" w:lineRule="atLeast"/>
        <w:ind w:firstLine="480" w:firstLineChars="20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分）、良（≥80分、＜90分）、中（≥60分、＜80分）、差（＜60分），以下为具体评价方法：</w:t>
      </w:r>
    </w:p>
    <w:p>
      <w:pPr>
        <w:widowControl/>
        <w:shd w:val="clear" w:color="auto" w:fill="FFFFFF"/>
        <w:spacing w:line="560" w:lineRule="atLeast"/>
        <w:ind w:firstLine="480" w:firstLineChars="20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1.成本效益分析法，通过将投入与产出、效益进行关联性分析，评价绩效目标实现程度。</w:t>
      </w:r>
    </w:p>
    <w:p>
      <w:pPr>
        <w:widowControl/>
        <w:shd w:val="clear" w:color="auto" w:fill="FFFFFF"/>
        <w:spacing w:line="560" w:lineRule="atLeast"/>
        <w:ind w:firstLine="480" w:firstLineChars="20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2.比较法，通过对绩效目标与实施效果、历史与当期情况的比较，综合分析绩效目标实现程度。</w:t>
      </w:r>
    </w:p>
    <w:p>
      <w:pPr>
        <w:widowControl/>
        <w:shd w:val="clear" w:color="auto" w:fill="FFFFFF"/>
        <w:spacing w:line="560" w:lineRule="atLeast"/>
        <w:ind w:firstLine="480" w:firstLineChars="20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3.因素分析法，通过综合分析影响绩效目标实现、实施效果的内外因素，评价绩效目标实现程度。</w:t>
      </w:r>
    </w:p>
    <w:p>
      <w:pPr>
        <w:widowControl/>
        <w:shd w:val="clear" w:color="auto" w:fill="FFFFFF"/>
        <w:spacing w:line="560" w:lineRule="atLeast"/>
        <w:ind w:firstLine="480" w:firstLineChars="20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4.公众评判法，通过公众问卷及抽样调查等对财政支出效果进行评判，评价绩效目标实现程度。</w:t>
      </w:r>
    </w:p>
    <w:p>
      <w:pPr>
        <w:widowControl/>
        <w:shd w:val="clear" w:color="auto" w:fill="FFFFFF"/>
        <w:spacing w:line="560" w:lineRule="atLeast"/>
        <w:ind w:firstLine="480" w:firstLineChars="200"/>
        <w:jc w:val="left"/>
        <w:rPr>
          <w:rFonts w:hint="eastAsia" w:ascii="仿宋" w:hAnsi="仿宋" w:eastAsia="仿宋" w:cs="仿宋"/>
          <w:color w:val="000000"/>
          <w:kern w:val="0"/>
          <w:sz w:val="24"/>
          <w:szCs w:val="24"/>
          <w:lang w:val="en-US" w:eastAsia="zh-CN"/>
        </w:rPr>
      </w:pPr>
      <w:bookmarkStart w:id="7" w:name="_Toc29062"/>
      <w:r>
        <w:rPr>
          <w:rFonts w:hint="eastAsia" w:ascii="仿宋" w:hAnsi="仿宋" w:eastAsia="仿宋" w:cs="仿宋"/>
          <w:color w:val="000000"/>
          <w:kern w:val="0"/>
          <w:sz w:val="24"/>
          <w:szCs w:val="24"/>
          <w:lang w:val="en-US" w:eastAsia="zh-CN"/>
        </w:rPr>
        <w:t>（四）评价结论</w:t>
      </w:r>
      <w:bookmarkEnd w:id="7"/>
    </w:p>
    <w:p>
      <w:pPr>
        <w:widowControl/>
        <w:shd w:val="clear" w:color="auto" w:fill="FFFFFF"/>
        <w:spacing w:line="560" w:lineRule="atLeast"/>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rPr>
        <w:t>根据评价指标体系对本项目的绩效进行评价, 居民饮用水安全工程项目综合评价得分58分，评价等级为“差”。2022年度居民饮用水安全工程项目基本</w:t>
      </w:r>
      <w:r>
        <w:rPr>
          <w:rFonts w:hint="eastAsia" w:ascii="仿宋" w:hAnsi="仿宋" w:eastAsia="仿宋" w:cs="仿宋"/>
          <w:sz w:val="24"/>
          <w:szCs w:val="24"/>
        </w:rPr>
        <w:t>按照计划完成年度工作任务，</w:t>
      </w:r>
      <w:r>
        <w:rPr>
          <w:rFonts w:hint="eastAsia" w:ascii="仿宋" w:hAnsi="仿宋" w:eastAsia="仿宋" w:cs="仿宋"/>
          <w:sz w:val="24"/>
          <w:szCs w:val="24"/>
          <w:lang w:val="en-US" w:eastAsia="zh-CN"/>
        </w:rPr>
        <w:t>立项依据不太充分，如依据《怀远县群众喝上引调水双龙水厂工程初步设计报告》南京市水利规划设计院股份有限公司，工程设计资质证书有效期至：2020年4月29日，但报告出具日期为二〇二二年三月份明显不符合要求。项目基本上完成合同规定的任务</w:t>
      </w:r>
      <w:r>
        <w:rPr>
          <w:rFonts w:hint="eastAsia" w:ascii="仿宋" w:hAnsi="仿宋" w:eastAsia="仿宋" w:cs="仿宋"/>
          <w:sz w:val="24"/>
          <w:szCs w:val="24"/>
        </w:rPr>
        <w:t>，</w:t>
      </w:r>
      <w:r>
        <w:rPr>
          <w:rFonts w:hint="eastAsia" w:ascii="仿宋" w:hAnsi="仿宋" w:eastAsia="仿宋" w:cs="仿宋"/>
          <w:sz w:val="24"/>
          <w:szCs w:val="24"/>
          <w:lang w:val="en-US" w:eastAsia="zh-CN"/>
        </w:rPr>
        <w:t>项目已验收，但没有竣工报告，也</w:t>
      </w:r>
      <w:r>
        <w:rPr>
          <w:rFonts w:hint="eastAsia" w:ascii="仿宋" w:hAnsi="仿宋" w:eastAsia="仿宋" w:cs="仿宋"/>
          <w:sz w:val="24"/>
          <w:szCs w:val="24"/>
        </w:rPr>
        <w:t>取得了</w:t>
      </w:r>
      <w:r>
        <w:rPr>
          <w:rFonts w:hint="eastAsia" w:ascii="仿宋" w:hAnsi="仿宋" w:eastAsia="仿宋" w:cs="仿宋"/>
          <w:sz w:val="24"/>
          <w:szCs w:val="24"/>
          <w:lang w:val="en-US" w:eastAsia="zh-CN"/>
        </w:rPr>
        <w:t>一定</w:t>
      </w:r>
      <w:r>
        <w:rPr>
          <w:rFonts w:hint="eastAsia" w:ascii="仿宋" w:hAnsi="仿宋" w:eastAsia="仿宋" w:cs="仿宋"/>
          <w:sz w:val="24"/>
          <w:szCs w:val="24"/>
        </w:rPr>
        <w:t>的社会、经济和生态效益，服务对象满意度</w:t>
      </w:r>
      <w:r>
        <w:rPr>
          <w:rFonts w:hint="eastAsia" w:ascii="仿宋" w:hAnsi="仿宋" w:eastAsia="仿宋" w:cs="仿宋"/>
          <w:sz w:val="24"/>
          <w:szCs w:val="24"/>
          <w:lang w:val="en-US" w:eastAsia="zh-CN"/>
        </w:rPr>
        <w:t>一般</w:t>
      </w:r>
      <w:r>
        <w:rPr>
          <w:rFonts w:hint="eastAsia" w:ascii="仿宋" w:hAnsi="仿宋" w:eastAsia="仿宋" w:cs="仿宋"/>
          <w:sz w:val="24"/>
          <w:szCs w:val="24"/>
        </w:rPr>
        <w:t>。但是项目存在绩效指标设定不明确、细化程度不高，</w:t>
      </w:r>
      <w:r>
        <w:rPr>
          <w:rFonts w:hint="eastAsia" w:ascii="仿宋" w:hAnsi="仿宋" w:eastAsia="仿宋" w:cs="仿宋"/>
          <w:sz w:val="24"/>
          <w:szCs w:val="24"/>
          <w:lang w:val="en-US" w:eastAsia="zh-CN"/>
        </w:rPr>
        <w:t>工程项目支出内部控制不严谨等</w:t>
      </w:r>
      <w:r>
        <w:rPr>
          <w:rFonts w:hint="eastAsia" w:ascii="仿宋" w:hAnsi="仿宋" w:eastAsia="仿宋" w:cs="仿宋"/>
          <w:sz w:val="24"/>
          <w:szCs w:val="24"/>
        </w:rPr>
        <w:t>问题。</w:t>
      </w:r>
    </w:p>
    <w:p>
      <w:pPr>
        <w:spacing w:line="560" w:lineRule="exact"/>
        <w:ind w:firstLine="420" w:firstLineChars="200"/>
        <w:outlineLvl w:val="0"/>
        <w:rPr>
          <w:rFonts w:ascii="黑体" w:hAnsi="黑体" w:eastAsia="黑体" w:cs="Times New Roman"/>
          <w:bCs/>
          <w:sz w:val="24"/>
          <w:szCs w:val="24"/>
        </w:rPr>
      </w:pPr>
      <w:r>
        <w:rPr>
          <w:rFonts w:hint="eastAsia" w:eastAsia="仿宋_GB2312"/>
          <w:lang w:val="en-US" w:eastAsia="zh-CN"/>
        </w:rPr>
        <w:t xml:space="preserve"> </w:t>
      </w:r>
      <w:bookmarkStart w:id="8" w:name="_Toc4485"/>
      <w:r>
        <w:rPr>
          <w:rFonts w:hint="eastAsia" w:ascii="黑体" w:hAnsi="黑体" w:eastAsia="黑体" w:cs="Times New Roman"/>
          <w:bCs/>
          <w:sz w:val="24"/>
          <w:szCs w:val="24"/>
        </w:rPr>
        <w:t>四、绩效评价指标完成情况</w:t>
      </w:r>
      <w:bookmarkEnd w:id="8"/>
    </w:p>
    <w:p>
      <w:pPr>
        <w:spacing w:line="560" w:lineRule="exact"/>
        <w:ind w:firstLine="480" w:firstLineChars="200"/>
        <w:outlineLvl w:val="1"/>
        <w:rPr>
          <w:rFonts w:ascii="楷体_GB2312" w:hAnsi="Times New Roman" w:eastAsia="楷体_GB2312" w:cs="Times New Roman"/>
          <w:sz w:val="24"/>
          <w:szCs w:val="24"/>
        </w:rPr>
      </w:pPr>
      <w:bookmarkStart w:id="9" w:name="_Toc16774"/>
      <w:r>
        <w:rPr>
          <w:rFonts w:hint="eastAsia" w:ascii="楷体_GB2312" w:hAnsi="Times New Roman" w:eastAsia="楷体_GB2312" w:cs="Times New Roman"/>
          <w:sz w:val="24"/>
          <w:szCs w:val="24"/>
        </w:rPr>
        <w:t>（一）决策指标分析</w:t>
      </w:r>
      <w:bookmarkEnd w:id="9"/>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该指标分值</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分，得分</w:t>
      </w:r>
      <w:r>
        <w:rPr>
          <w:rFonts w:hint="eastAsia" w:ascii="仿宋" w:hAnsi="仿宋" w:eastAsia="仿宋" w:cs="仿宋"/>
          <w:sz w:val="24"/>
          <w:szCs w:val="24"/>
          <w:highlight w:val="none"/>
          <w:lang w:val="en-US" w:eastAsia="zh-CN"/>
        </w:rPr>
        <w:t>18</w:t>
      </w:r>
      <w:r>
        <w:rPr>
          <w:rFonts w:hint="eastAsia" w:ascii="仿宋" w:hAnsi="仿宋" w:eastAsia="仿宋" w:cs="仿宋"/>
          <w:sz w:val="24"/>
          <w:szCs w:val="24"/>
          <w:highlight w:val="none"/>
        </w:rPr>
        <w:t>分，得分率</w:t>
      </w:r>
      <w:r>
        <w:rPr>
          <w:rFonts w:hint="eastAsia" w:ascii="仿宋" w:hAnsi="仿宋" w:eastAsia="仿宋" w:cs="仿宋"/>
          <w:sz w:val="24"/>
          <w:szCs w:val="24"/>
          <w:highlight w:val="none"/>
          <w:lang w:val="en-US" w:eastAsia="zh-CN"/>
        </w:rPr>
        <w:t>60</w:t>
      </w:r>
      <w:r>
        <w:rPr>
          <w:rFonts w:hint="eastAsia" w:ascii="仿宋" w:hAnsi="仿宋" w:eastAsia="仿宋" w:cs="仿宋"/>
          <w:sz w:val="24"/>
          <w:szCs w:val="24"/>
          <w:highlight w:val="none"/>
        </w:rPr>
        <w:t>%。项</w:t>
      </w:r>
      <w:r>
        <w:rPr>
          <w:rFonts w:hint="eastAsia" w:ascii="仿宋" w:hAnsi="仿宋" w:eastAsia="仿宋" w:cs="仿宋"/>
          <w:sz w:val="24"/>
          <w:szCs w:val="24"/>
        </w:rPr>
        <w:t>目立项依据</w:t>
      </w:r>
      <w:r>
        <w:rPr>
          <w:rFonts w:hint="eastAsia" w:ascii="仿宋" w:hAnsi="仿宋" w:eastAsia="仿宋" w:cs="仿宋"/>
          <w:sz w:val="24"/>
          <w:szCs w:val="24"/>
          <w:lang w:val="en-US" w:eastAsia="zh-CN"/>
        </w:rPr>
        <w:t>不</w:t>
      </w:r>
      <w:r>
        <w:rPr>
          <w:rFonts w:hint="eastAsia" w:ascii="仿宋" w:hAnsi="仿宋" w:eastAsia="仿宋" w:cs="仿宋"/>
          <w:sz w:val="24"/>
          <w:szCs w:val="24"/>
        </w:rPr>
        <w:t>充分</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设计报告公司的资质过期</w:t>
      </w:r>
      <w:r>
        <w:rPr>
          <w:rFonts w:hint="eastAsia" w:ascii="仿宋" w:hAnsi="仿宋" w:eastAsia="仿宋" w:cs="仿宋"/>
          <w:sz w:val="24"/>
          <w:szCs w:val="24"/>
          <w:lang w:eastAsia="zh-CN"/>
        </w:rPr>
        <w:t>。</w:t>
      </w:r>
      <w:r>
        <w:rPr>
          <w:rFonts w:hint="eastAsia" w:ascii="仿宋" w:hAnsi="仿宋" w:eastAsia="仿宋" w:cs="仿宋"/>
          <w:sz w:val="24"/>
          <w:szCs w:val="24"/>
        </w:rPr>
        <w:t>程序规范。项目绩效目标细化</w:t>
      </w:r>
      <w:r>
        <w:rPr>
          <w:rFonts w:hint="eastAsia" w:ascii="仿宋" w:hAnsi="仿宋" w:eastAsia="仿宋" w:cs="仿宋"/>
          <w:sz w:val="24"/>
          <w:szCs w:val="24"/>
          <w:lang w:val="en-US" w:eastAsia="zh-CN"/>
        </w:rPr>
        <w:t>程度不高，没</w:t>
      </w:r>
      <w:r>
        <w:rPr>
          <w:rFonts w:hint="eastAsia" w:ascii="仿宋" w:hAnsi="仿宋" w:eastAsia="仿宋" w:cs="仿宋"/>
          <w:sz w:val="24"/>
          <w:szCs w:val="24"/>
        </w:rPr>
        <w:t>分解为具体的绩效指标，部分绩效指标不够全面、不够明确，分类不够清晰，部分细化的三级指标与二级指标匹配性不高，质量指标量化不明确。</w:t>
      </w:r>
    </w:p>
    <w:p>
      <w:pPr>
        <w:spacing w:line="560" w:lineRule="exact"/>
        <w:ind w:firstLine="480" w:firstLineChars="200"/>
        <w:outlineLvl w:val="1"/>
        <w:rPr>
          <w:rFonts w:hint="eastAsia" w:ascii="仿宋" w:hAnsi="仿宋" w:eastAsia="仿宋" w:cs="仿宋"/>
          <w:sz w:val="24"/>
          <w:szCs w:val="24"/>
        </w:rPr>
      </w:pPr>
      <w:bookmarkStart w:id="10" w:name="_Toc1661"/>
      <w:r>
        <w:rPr>
          <w:rFonts w:hint="eastAsia" w:ascii="仿宋" w:hAnsi="仿宋" w:eastAsia="仿宋" w:cs="仿宋"/>
          <w:sz w:val="24"/>
          <w:szCs w:val="24"/>
        </w:rPr>
        <w:t>（二）过程指标分析</w:t>
      </w:r>
      <w:bookmarkEnd w:id="10"/>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该指标</w:t>
      </w:r>
      <w:r>
        <w:rPr>
          <w:rFonts w:hint="eastAsia" w:ascii="仿宋" w:hAnsi="仿宋" w:eastAsia="仿宋" w:cs="仿宋"/>
          <w:sz w:val="24"/>
          <w:szCs w:val="24"/>
          <w:highlight w:val="none"/>
        </w:rPr>
        <w:t>分值</w:t>
      </w:r>
      <w:r>
        <w:rPr>
          <w:rFonts w:hint="eastAsia" w:ascii="仿宋" w:hAnsi="仿宋" w:eastAsia="仿宋" w:cs="仿宋"/>
          <w:sz w:val="24"/>
          <w:szCs w:val="24"/>
          <w:highlight w:val="none"/>
          <w:lang w:val="en-US" w:eastAsia="zh-CN"/>
        </w:rPr>
        <w:t>28</w:t>
      </w:r>
      <w:r>
        <w:rPr>
          <w:rFonts w:hint="eastAsia" w:ascii="仿宋" w:hAnsi="仿宋" w:eastAsia="仿宋" w:cs="仿宋"/>
          <w:sz w:val="24"/>
          <w:szCs w:val="24"/>
          <w:highlight w:val="none"/>
        </w:rPr>
        <w:t>分，得分</w:t>
      </w:r>
      <w:r>
        <w:rPr>
          <w:rFonts w:hint="eastAsia" w:ascii="仿宋" w:hAnsi="仿宋" w:eastAsia="仿宋" w:cs="仿宋"/>
          <w:sz w:val="24"/>
          <w:szCs w:val="24"/>
          <w:highlight w:val="none"/>
          <w:lang w:val="en-US" w:eastAsia="zh-CN"/>
        </w:rPr>
        <w:t>15</w:t>
      </w:r>
      <w:r>
        <w:rPr>
          <w:rFonts w:hint="eastAsia" w:ascii="仿宋" w:hAnsi="仿宋" w:eastAsia="仿宋" w:cs="仿宋"/>
          <w:sz w:val="24"/>
          <w:szCs w:val="24"/>
          <w:highlight w:val="none"/>
        </w:rPr>
        <w:t>分，得分率</w:t>
      </w:r>
      <w:r>
        <w:rPr>
          <w:rFonts w:hint="eastAsia" w:ascii="仿宋" w:hAnsi="仿宋" w:eastAsia="仿宋" w:cs="仿宋"/>
          <w:sz w:val="24"/>
          <w:szCs w:val="24"/>
          <w:highlight w:val="none"/>
          <w:lang w:val="en-US" w:eastAsia="zh-CN"/>
        </w:rPr>
        <w:t>53.57</w:t>
      </w:r>
      <w:r>
        <w:rPr>
          <w:rFonts w:hint="eastAsia" w:ascii="仿宋" w:hAnsi="仿宋" w:eastAsia="仿宋" w:cs="仿宋"/>
          <w:sz w:val="24"/>
          <w:szCs w:val="24"/>
          <w:highlight w:val="none"/>
        </w:rPr>
        <w:t>%。</w:t>
      </w:r>
      <w:r>
        <w:rPr>
          <w:rFonts w:hint="eastAsia" w:ascii="仿宋" w:hAnsi="仿宋" w:eastAsia="仿宋" w:cs="仿宋"/>
          <w:sz w:val="24"/>
          <w:szCs w:val="24"/>
        </w:rPr>
        <w:t>项目资金及时足额拨付到位，资金拨付具有完整的审批程序，资金使用合规</w:t>
      </w:r>
      <w:r>
        <w:rPr>
          <w:rFonts w:hint="eastAsia" w:ascii="仿宋" w:hAnsi="仿宋" w:eastAsia="仿宋" w:cs="仿宋"/>
          <w:sz w:val="24"/>
          <w:szCs w:val="24"/>
          <w:lang w:eastAsia="zh-CN"/>
        </w:rPr>
        <w:t>。</w:t>
      </w:r>
      <w:r>
        <w:rPr>
          <w:rFonts w:hint="eastAsia" w:ascii="仿宋" w:hAnsi="仿宋" w:eastAsia="仿宋" w:cs="仿宋"/>
          <w:sz w:val="24"/>
          <w:szCs w:val="24"/>
        </w:rPr>
        <w:t>项目建立了财务及业务管理制度，相关制度基本得到有效执行</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但没能按工程进度付款，</w:t>
      </w:r>
      <w:r>
        <w:rPr>
          <w:rFonts w:hint="eastAsia" w:ascii="仿宋" w:hAnsi="仿宋" w:eastAsia="仿宋" w:cs="仿宋"/>
          <w:sz w:val="24"/>
          <w:szCs w:val="24"/>
        </w:rPr>
        <w:t>绩效自评内容不够完整，数据填写不够规范，自评结论</w:t>
      </w:r>
      <w:r>
        <w:rPr>
          <w:rFonts w:hint="eastAsia" w:ascii="仿宋" w:hAnsi="仿宋" w:eastAsia="仿宋" w:cs="仿宋"/>
          <w:sz w:val="24"/>
          <w:szCs w:val="24"/>
          <w:lang w:val="en-US" w:eastAsia="zh-CN"/>
        </w:rPr>
        <w:t>有些地方</w:t>
      </w:r>
      <w:r>
        <w:rPr>
          <w:rFonts w:hint="eastAsia" w:ascii="仿宋" w:hAnsi="仿宋" w:eastAsia="仿宋" w:cs="仿宋"/>
          <w:sz w:val="24"/>
          <w:szCs w:val="24"/>
        </w:rPr>
        <w:t>不真实，</w:t>
      </w:r>
      <w:bookmarkStart w:id="11" w:name="_Hlk80221096"/>
      <w:r>
        <w:rPr>
          <w:rFonts w:hint="eastAsia" w:ascii="仿宋" w:hAnsi="仿宋" w:eastAsia="仿宋" w:cs="仿宋"/>
          <w:sz w:val="24"/>
          <w:szCs w:val="24"/>
        </w:rPr>
        <w:t>未能真实反映项目执行情况</w:t>
      </w:r>
      <w:bookmarkEnd w:id="11"/>
      <w:r>
        <w:rPr>
          <w:rFonts w:hint="eastAsia" w:ascii="仿宋" w:hAnsi="仿宋" w:eastAsia="仿宋" w:cs="仿宋"/>
          <w:sz w:val="24"/>
          <w:szCs w:val="24"/>
        </w:rPr>
        <w:t>。</w:t>
      </w:r>
    </w:p>
    <w:p>
      <w:pPr>
        <w:spacing w:line="560" w:lineRule="exact"/>
        <w:ind w:firstLine="480" w:firstLineChars="200"/>
        <w:outlineLvl w:val="1"/>
        <w:rPr>
          <w:rFonts w:hint="eastAsia" w:ascii="仿宋" w:hAnsi="仿宋" w:eastAsia="仿宋" w:cs="仿宋"/>
          <w:sz w:val="24"/>
          <w:szCs w:val="24"/>
        </w:rPr>
      </w:pPr>
      <w:bookmarkStart w:id="12" w:name="_Toc27095"/>
      <w:r>
        <w:rPr>
          <w:rFonts w:hint="eastAsia" w:ascii="仿宋" w:hAnsi="仿宋" w:eastAsia="仿宋" w:cs="仿宋"/>
          <w:sz w:val="24"/>
          <w:szCs w:val="24"/>
        </w:rPr>
        <w:t>（三）产出指标分析</w:t>
      </w:r>
      <w:bookmarkEnd w:id="12"/>
    </w:p>
    <w:p>
      <w:pPr>
        <w:spacing w:line="56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该指标</w:t>
      </w:r>
      <w:r>
        <w:rPr>
          <w:rFonts w:hint="eastAsia" w:ascii="仿宋" w:hAnsi="仿宋" w:eastAsia="仿宋" w:cs="仿宋"/>
          <w:sz w:val="24"/>
          <w:szCs w:val="24"/>
          <w:highlight w:val="none"/>
        </w:rPr>
        <w:t>分值</w:t>
      </w:r>
      <w:r>
        <w:rPr>
          <w:rFonts w:hint="eastAsia" w:ascii="仿宋" w:hAnsi="仿宋" w:eastAsia="仿宋" w:cs="仿宋"/>
          <w:sz w:val="24"/>
          <w:szCs w:val="24"/>
          <w:highlight w:val="none"/>
          <w:lang w:val="en-US" w:eastAsia="zh-CN"/>
        </w:rPr>
        <w:t>22</w:t>
      </w:r>
      <w:r>
        <w:rPr>
          <w:rFonts w:hint="eastAsia" w:ascii="仿宋" w:hAnsi="仿宋" w:eastAsia="仿宋" w:cs="仿宋"/>
          <w:sz w:val="24"/>
          <w:szCs w:val="24"/>
          <w:highlight w:val="none"/>
        </w:rPr>
        <w:t>分，得分</w:t>
      </w:r>
      <w:r>
        <w:rPr>
          <w:rFonts w:hint="eastAsia" w:ascii="仿宋" w:hAnsi="仿宋" w:eastAsia="仿宋" w:cs="仿宋"/>
          <w:sz w:val="24"/>
          <w:szCs w:val="24"/>
          <w:highlight w:val="none"/>
          <w:lang w:val="en-US" w:eastAsia="zh-CN"/>
        </w:rPr>
        <w:t>15</w:t>
      </w:r>
      <w:r>
        <w:rPr>
          <w:rFonts w:hint="eastAsia" w:ascii="仿宋" w:hAnsi="仿宋" w:eastAsia="仿宋" w:cs="仿宋"/>
          <w:sz w:val="24"/>
          <w:szCs w:val="24"/>
          <w:highlight w:val="none"/>
        </w:rPr>
        <w:t>分，得分率</w:t>
      </w:r>
      <w:r>
        <w:rPr>
          <w:rFonts w:hint="eastAsia" w:ascii="仿宋" w:hAnsi="仿宋" w:eastAsia="仿宋" w:cs="仿宋"/>
          <w:sz w:val="24"/>
          <w:szCs w:val="24"/>
          <w:highlight w:val="none"/>
          <w:lang w:val="en-US" w:eastAsia="zh-CN"/>
        </w:rPr>
        <w:t>68.18</w:t>
      </w:r>
      <w:r>
        <w:rPr>
          <w:rFonts w:hint="eastAsia" w:ascii="仿宋" w:hAnsi="仿宋" w:eastAsia="仿宋" w:cs="仿宋"/>
          <w:sz w:val="24"/>
          <w:szCs w:val="24"/>
          <w:highlight w:val="none"/>
        </w:rPr>
        <w:t>%</w:t>
      </w:r>
      <w:r>
        <w:rPr>
          <w:rFonts w:hint="eastAsia" w:ascii="仿宋" w:hAnsi="仿宋" w:eastAsia="仿宋" w:cs="仿宋"/>
          <w:sz w:val="24"/>
          <w:szCs w:val="24"/>
        </w:rPr>
        <w:t>。各项任务完成及时</w:t>
      </w:r>
      <w:r>
        <w:rPr>
          <w:rFonts w:hint="eastAsia" w:ascii="仿宋" w:hAnsi="仿宋" w:eastAsia="仿宋" w:cs="仿宋"/>
          <w:sz w:val="24"/>
          <w:szCs w:val="24"/>
          <w:lang w:eastAsia="zh-CN"/>
        </w:rPr>
        <w:t>，</w:t>
      </w:r>
      <w:r>
        <w:rPr>
          <w:rFonts w:hint="eastAsia" w:ascii="仿宋" w:hAnsi="仿宋" w:eastAsia="仿宋" w:cs="仿宋"/>
          <w:sz w:val="24"/>
          <w:szCs w:val="24"/>
        </w:rPr>
        <w:t>预算执行完成率</w:t>
      </w:r>
      <w:r>
        <w:rPr>
          <w:rFonts w:hint="eastAsia" w:ascii="仿宋" w:hAnsi="仿宋" w:eastAsia="仿宋" w:cs="仿宋"/>
          <w:sz w:val="24"/>
          <w:szCs w:val="24"/>
          <w:lang w:val="en-US" w:eastAsia="zh-CN"/>
        </w:rPr>
        <w:t>100%</w:t>
      </w:r>
      <w:r>
        <w:rPr>
          <w:rFonts w:hint="eastAsia" w:ascii="仿宋" w:hAnsi="仿宋" w:eastAsia="仿宋" w:cs="仿宋"/>
          <w:sz w:val="24"/>
          <w:szCs w:val="24"/>
          <w:lang w:eastAsia="zh-CN"/>
        </w:rPr>
        <w:t>，</w:t>
      </w:r>
      <w:r>
        <w:rPr>
          <w:rFonts w:hint="eastAsia" w:ascii="仿宋" w:hAnsi="仿宋" w:eastAsia="仿宋" w:cs="仿宋"/>
          <w:sz w:val="24"/>
          <w:szCs w:val="24"/>
        </w:rPr>
        <w:t>主</w:t>
      </w:r>
      <w:r>
        <w:rPr>
          <w:rFonts w:hint="eastAsia" w:ascii="仿宋" w:hAnsi="仿宋" w:eastAsia="仿宋" w:cs="仿宋"/>
          <w:sz w:val="24"/>
          <w:szCs w:val="24"/>
          <w:highlight w:val="none"/>
        </w:rPr>
        <w:t>要</w:t>
      </w:r>
      <w:r>
        <w:rPr>
          <w:rFonts w:hint="eastAsia" w:ascii="仿宋" w:hAnsi="仿宋" w:eastAsia="仿宋" w:cs="仿宋"/>
          <w:sz w:val="24"/>
          <w:szCs w:val="24"/>
          <w:highlight w:val="none"/>
          <w:lang w:eastAsia="zh-CN"/>
        </w:rPr>
        <w:t>扣分原因</w:t>
      </w:r>
      <w:r>
        <w:rPr>
          <w:rFonts w:hint="eastAsia" w:ascii="仿宋" w:hAnsi="仿宋" w:eastAsia="仿宋" w:cs="仿宋"/>
          <w:sz w:val="24"/>
          <w:szCs w:val="24"/>
          <w:highlight w:val="none"/>
        </w:rPr>
        <w:t>在于</w:t>
      </w:r>
      <w:r>
        <w:rPr>
          <w:rFonts w:hint="eastAsia" w:ascii="仿宋" w:hAnsi="仿宋" w:eastAsia="仿宋" w:cs="仿宋"/>
          <w:sz w:val="24"/>
          <w:szCs w:val="24"/>
          <w:highlight w:val="none"/>
          <w:lang w:val="en-US" w:eastAsia="zh-CN"/>
        </w:rPr>
        <w:t>付款时效性不足</w:t>
      </w:r>
      <w:r>
        <w:rPr>
          <w:rFonts w:hint="eastAsia" w:ascii="仿宋" w:hAnsi="仿宋" w:eastAsia="仿宋" w:cs="仿宋"/>
          <w:sz w:val="24"/>
          <w:szCs w:val="24"/>
          <w:lang w:eastAsia="zh-CN"/>
        </w:rPr>
        <w:t>。</w:t>
      </w:r>
    </w:p>
    <w:p>
      <w:pPr>
        <w:spacing w:line="560" w:lineRule="exact"/>
        <w:ind w:firstLine="480" w:firstLineChars="200"/>
        <w:outlineLvl w:val="1"/>
        <w:rPr>
          <w:rFonts w:hint="eastAsia" w:ascii="仿宋" w:hAnsi="仿宋" w:eastAsia="仿宋" w:cs="仿宋"/>
          <w:sz w:val="24"/>
          <w:szCs w:val="24"/>
        </w:rPr>
      </w:pPr>
      <w:bookmarkStart w:id="13" w:name="_Toc21880"/>
      <w:r>
        <w:rPr>
          <w:rFonts w:hint="eastAsia" w:ascii="仿宋" w:hAnsi="仿宋" w:eastAsia="仿宋" w:cs="仿宋"/>
          <w:sz w:val="24"/>
          <w:szCs w:val="24"/>
        </w:rPr>
        <w:t>（四）效益指标分析</w:t>
      </w:r>
      <w:bookmarkEnd w:id="13"/>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highlight w:val="none"/>
        </w:rPr>
        <w:t>该指标分值</w:t>
      </w:r>
      <w:r>
        <w:rPr>
          <w:rFonts w:hint="eastAsia" w:ascii="仿宋" w:hAnsi="仿宋" w:eastAsia="仿宋" w:cs="仿宋"/>
          <w:sz w:val="24"/>
          <w:szCs w:val="24"/>
          <w:highlight w:val="none"/>
          <w:lang w:val="en-US" w:eastAsia="zh-CN"/>
        </w:rPr>
        <w:t>20</w:t>
      </w:r>
      <w:r>
        <w:rPr>
          <w:rFonts w:hint="eastAsia" w:ascii="仿宋" w:hAnsi="仿宋" w:eastAsia="仿宋" w:cs="仿宋"/>
          <w:sz w:val="24"/>
          <w:szCs w:val="24"/>
          <w:highlight w:val="none"/>
        </w:rPr>
        <w:t>分，得分</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分，得分率</w:t>
      </w:r>
      <w:r>
        <w:rPr>
          <w:rFonts w:hint="eastAsia" w:ascii="仿宋" w:hAnsi="仿宋" w:eastAsia="仿宋" w:cs="仿宋"/>
          <w:sz w:val="24"/>
          <w:szCs w:val="24"/>
          <w:highlight w:val="none"/>
          <w:lang w:val="en-US" w:eastAsia="zh-CN"/>
        </w:rPr>
        <w:t>50</w:t>
      </w:r>
      <w:r>
        <w:rPr>
          <w:rFonts w:hint="eastAsia" w:ascii="仿宋" w:hAnsi="仿宋" w:eastAsia="仿宋" w:cs="仿宋"/>
          <w:sz w:val="24"/>
          <w:szCs w:val="24"/>
          <w:highlight w:val="none"/>
        </w:rPr>
        <w:t>%</w:t>
      </w:r>
      <w:r>
        <w:rPr>
          <w:rFonts w:hint="eastAsia" w:ascii="仿宋" w:hAnsi="仿宋" w:eastAsia="仿宋" w:cs="仿宋"/>
          <w:sz w:val="24"/>
          <w:szCs w:val="24"/>
        </w:rPr>
        <w:t>。通过</w:t>
      </w:r>
      <w:r>
        <w:rPr>
          <w:rFonts w:hint="eastAsia" w:ascii="仿宋" w:hAnsi="仿宋" w:eastAsia="仿宋" w:cs="仿宋"/>
          <w:sz w:val="24"/>
          <w:szCs w:val="24"/>
          <w:lang w:val="en-US" w:eastAsia="zh-CN"/>
        </w:rPr>
        <w:t>居民饮用水安全工程的建设</w:t>
      </w:r>
      <w:r>
        <w:rPr>
          <w:rFonts w:hint="eastAsia" w:ascii="仿宋" w:hAnsi="仿宋" w:eastAsia="仿宋" w:cs="仿宋"/>
          <w:sz w:val="24"/>
          <w:szCs w:val="24"/>
        </w:rPr>
        <w:t>，支撑县域经济发展</w:t>
      </w:r>
      <w:r>
        <w:rPr>
          <w:rFonts w:hint="eastAsia" w:ascii="仿宋" w:hAnsi="仿宋" w:eastAsia="仿宋" w:cs="仿宋"/>
          <w:sz w:val="24"/>
          <w:szCs w:val="24"/>
          <w:lang w:val="en-US" w:eastAsia="zh-CN"/>
        </w:rPr>
        <w:t>和群众喝上更好水</w:t>
      </w:r>
      <w:r>
        <w:rPr>
          <w:rFonts w:hint="eastAsia" w:ascii="仿宋" w:hAnsi="仿宋" w:eastAsia="仿宋" w:cs="仿宋"/>
          <w:sz w:val="24"/>
          <w:szCs w:val="24"/>
        </w:rPr>
        <w:t>；营造</w:t>
      </w:r>
      <w:r>
        <w:rPr>
          <w:rFonts w:hint="eastAsia" w:ascii="仿宋" w:hAnsi="仿宋" w:eastAsia="仿宋" w:cs="仿宋"/>
          <w:sz w:val="24"/>
          <w:szCs w:val="24"/>
          <w:lang w:eastAsia="zh-CN"/>
        </w:rPr>
        <w:t>了</w:t>
      </w:r>
      <w:r>
        <w:rPr>
          <w:rFonts w:hint="eastAsia" w:ascii="仿宋" w:hAnsi="仿宋" w:eastAsia="仿宋" w:cs="仿宋"/>
          <w:sz w:val="24"/>
          <w:szCs w:val="24"/>
        </w:rPr>
        <w:t>美好、积极向上的城市氛围，社会效益</w:t>
      </w:r>
      <w:r>
        <w:rPr>
          <w:rFonts w:hint="eastAsia" w:ascii="仿宋" w:hAnsi="仿宋" w:eastAsia="仿宋" w:cs="仿宋"/>
          <w:sz w:val="24"/>
          <w:szCs w:val="24"/>
          <w:lang w:eastAsia="zh-CN"/>
        </w:rPr>
        <w:t>明显</w:t>
      </w:r>
      <w:r>
        <w:rPr>
          <w:rFonts w:hint="eastAsia" w:ascii="仿宋" w:hAnsi="仿宋" w:eastAsia="仿宋" w:cs="仿宋"/>
          <w:sz w:val="24"/>
          <w:szCs w:val="24"/>
        </w:rPr>
        <w:t>；改善人居环境，强化</w:t>
      </w:r>
      <w:r>
        <w:rPr>
          <w:rFonts w:hint="eastAsia" w:ascii="仿宋" w:hAnsi="仿宋" w:eastAsia="仿宋" w:cs="仿宋"/>
          <w:sz w:val="24"/>
          <w:szCs w:val="24"/>
          <w:lang w:val="en-US" w:eastAsia="zh-CN"/>
        </w:rPr>
        <w:t>皖北地区群众喝上更好水的生活环</w:t>
      </w:r>
      <w:r>
        <w:rPr>
          <w:rFonts w:hint="eastAsia" w:ascii="仿宋" w:hAnsi="仿宋" w:eastAsia="仿宋" w:cs="仿宋"/>
          <w:sz w:val="24"/>
          <w:szCs w:val="24"/>
        </w:rPr>
        <w:t>境，取得</w:t>
      </w:r>
      <w:r>
        <w:rPr>
          <w:rFonts w:hint="eastAsia" w:ascii="仿宋" w:hAnsi="仿宋" w:eastAsia="仿宋" w:cs="仿宋"/>
          <w:sz w:val="24"/>
          <w:szCs w:val="24"/>
          <w:lang w:eastAsia="zh-CN"/>
        </w:rPr>
        <w:t>较好</w:t>
      </w:r>
      <w:r>
        <w:rPr>
          <w:rFonts w:hint="eastAsia" w:ascii="仿宋" w:hAnsi="仿宋" w:eastAsia="仿宋" w:cs="仿宋"/>
          <w:sz w:val="24"/>
          <w:szCs w:val="24"/>
        </w:rPr>
        <w:t>的生态效益；推进</w:t>
      </w:r>
      <w:r>
        <w:rPr>
          <w:rFonts w:hint="eastAsia" w:ascii="仿宋" w:hAnsi="仿宋" w:eastAsia="仿宋" w:cs="仿宋"/>
          <w:sz w:val="24"/>
          <w:szCs w:val="24"/>
          <w:lang w:val="en-US" w:eastAsia="zh-CN"/>
        </w:rPr>
        <w:t>居民饮用水安全工程的建设项目</w:t>
      </w:r>
      <w:r>
        <w:rPr>
          <w:rFonts w:hint="eastAsia" w:ascii="仿宋" w:hAnsi="仿宋" w:eastAsia="仿宋" w:cs="仿宋"/>
          <w:sz w:val="24"/>
          <w:szCs w:val="24"/>
        </w:rPr>
        <w:t>，市民满意度</w:t>
      </w:r>
      <w:r>
        <w:rPr>
          <w:rFonts w:hint="eastAsia" w:ascii="仿宋" w:hAnsi="仿宋" w:eastAsia="仿宋" w:cs="仿宋"/>
          <w:sz w:val="24"/>
          <w:szCs w:val="24"/>
          <w:lang w:val="en-US" w:eastAsia="zh-CN"/>
        </w:rPr>
        <w:t>一般</w:t>
      </w:r>
      <w:r>
        <w:rPr>
          <w:rFonts w:hint="eastAsia" w:ascii="仿宋" w:hAnsi="仿宋" w:eastAsia="仿宋" w:cs="仿宋"/>
          <w:sz w:val="24"/>
          <w:szCs w:val="24"/>
        </w:rPr>
        <w:t>。</w:t>
      </w:r>
      <w:r>
        <w:rPr>
          <w:rFonts w:hint="eastAsia" w:ascii="仿宋" w:hAnsi="仿宋" w:eastAsia="仿宋" w:cs="仿宋"/>
          <w:sz w:val="24"/>
          <w:szCs w:val="24"/>
          <w:lang w:val="en-US" w:eastAsia="zh-CN"/>
        </w:rPr>
        <w:t>主要扣分原因在未按时竣工。</w:t>
      </w:r>
    </w:p>
    <w:p>
      <w:pPr>
        <w:spacing w:line="560" w:lineRule="exact"/>
        <w:ind w:firstLine="480" w:firstLineChars="200"/>
        <w:outlineLvl w:val="0"/>
        <w:rPr>
          <w:rFonts w:ascii="黑体" w:hAnsi="黑体" w:eastAsia="黑体" w:cs="Times New Roman"/>
          <w:bCs/>
          <w:sz w:val="24"/>
          <w:szCs w:val="24"/>
        </w:rPr>
      </w:pPr>
      <w:bookmarkStart w:id="14" w:name="_Toc3128"/>
      <w:r>
        <w:rPr>
          <w:rFonts w:hint="eastAsia" w:ascii="黑体" w:hAnsi="黑体" w:eastAsia="黑体" w:cs="Times New Roman"/>
          <w:bCs/>
          <w:sz w:val="24"/>
          <w:szCs w:val="24"/>
        </w:rPr>
        <w:t>五、主要经验及做法</w:t>
      </w:r>
      <w:bookmarkEnd w:id="14"/>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切实保障“十四五”期间怀远县群众喝上水质更好的引调水，从根本上解决农村自来水问题。根据《安徽省怀远县农村供水保障规划（2021—2026年）修编》及省、市有关文件精神。2022年4月13日怀远县水利局《关于怀远县群众喝上引调水双龙水厂工程初步设计报告的批复》（怀水〔2022〕18号），2021年11月15日怀远县人民政府常务会议纪要（第83次），开会协调，促进县域经济持续健康发展</w:t>
      </w:r>
      <w:r>
        <w:rPr>
          <w:rFonts w:hint="eastAsia" w:ascii="仿宋" w:hAnsi="仿宋" w:eastAsia="仿宋" w:cs="仿宋"/>
          <w:sz w:val="24"/>
          <w:szCs w:val="24"/>
        </w:rPr>
        <w:t>，完善</w:t>
      </w:r>
      <w:r>
        <w:rPr>
          <w:rFonts w:hint="eastAsia" w:ascii="仿宋" w:hAnsi="仿宋" w:eastAsia="仿宋" w:cs="仿宋"/>
          <w:sz w:val="24"/>
          <w:szCs w:val="24"/>
          <w:lang w:val="en-US" w:eastAsia="zh-CN"/>
        </w:rPr>
        <w:t>居民安全用水</w:t>
      </w:r>
      <w:r>
        <w:rPr>
          <w:rFonts w:hint="eastAsia" w:ascii="仿宋" w:hAnsi="仿宋" w:eastAsia="仿宋" w:cs="仿宋"/>
          <w:sz w:val="24"/>
          <w:szCs w:val="24"/>
        </w:rPr>
        <w:t>，</w:t>
      </w:r>
      <w:r>
        <w:rPr>
          <w:rFonts w:hint="eastAsia" w:ascii="仿宋" w:hAnsi="仿宋" w:eastAsia="仿宋" w:cs="仿宋"/>
          <w:sz w:val="24"/>
          <w:szCs w:val="24"/>
          <w:lang w:val="en-US" w:eastAsia="zh-CN"/>
        </w:rPr>
        <w:t>领导重视等经验及时落实做法如下：</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(一)首先对怀远县群众喝上引调水双龙水厂工程初步设计报告</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(二)县政府成立产业扶持政策领导小组（以下简称领导小组)，各主要领导当组长与副组长亲自监督和落实。</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（三）项目资金来源。</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安徽省政府专项债券项目资金绩效管理办法》（皖财债〔2021〕1485号）、《蚌埠市地方政府专项债券管理暂行办法》（蚌财债〔2023〕204号）省财政2022年对皖北财力补助资金为2000万元。确保资金来源，保障扶持项目能如期进行。</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（四）资金使用范围</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为了确保规范使用资金，会议上也明确规定资金使用范围，保证专款专</w:t>
      </w:r>
    </w:p>
    <w:p>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用。</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（五）成立验收工作组</w:t>
      </w:r>
    </w:p>
    <w:p>
      <w:pPr>
        <w:spacing w:line="560" w:lineRule="exact"/>
        <w:ind w:left="239" w:leftChars="114" w:firstLine="480" w:firstLineChars="200"/>
        <w:rPr>
          <w:rFonts w:hint="default" w:ascii="仿宋_GB2312" w:hAnsi="Times New Roman" w:eastAsia="仿宋_GB2312" w:cs="Times New Roman"/>
          <w:sz w:val="24"/>
          <w:szCs w:val="24"/>
          <w:lang w:val="en-US" w:eastAsia="zh-CN"/>
        </w:rPr>
      </w:pPr>
      <w:r>
        <w:rPr>
          <w:rFonts w:hint="eastAsia" w:ascii="仿宋" w:hAnsi="仿宋" w:eastAsia="仿宋" w:cs="仿宋"/>
          <w:sz w:val="24"/>
          <w:szCs w:val="24"/>
          <w:lang w:val="en-US" w:eastAsia="zh-CN"/>
        </w:rPr>
        <w:t>怀远县水利局、怀远县农村饮水安全管理中心、南京市水利规划设计院股份有限公司、安徽永合德勤工程管理咨询有限公司、蚌埠市水利勘测设计院有限公司、安徽水安建设集团股份有限公司等单位的代表参加了会议。验收工作组成员通过查看工程现场，听取工程建设管理、监理、设计、施工等单位工作报告，审阅有关工程资料，充分讨论形成本验收鉴定书。</w:t>
      </w:r>
    </w:p>
    <w:p>
      <w:pPr>
        <w:spacing w:line="560" w:lineRule="exact"/>
        <w:ind w:firstLine="420" w:firstLineChars="200"/>
        <w:outlineLvl w:val="0"/>
        <w:rPr>
          <w:rFonts w:ascii="黑体" w:hAnsi="黑体" w:eastAsia="黑体" w:cs="Times New Roman"/>
          <w:bCs/>
          <w:sz w:val="24"/>
          <w:szCs w:val="24"/>
        </w:rPr>
      </w:pPr>
      <w:r>
        <w:rPr>
          <w:rFonts w:hint="eastAsia"/>
          <w:lang w:val="en-US" w:eastAsia="zh-CN"/>
        </w:rPr>
        <w:t xml:space="preserve">   </w:t>
      </w:r>
      <w:bookmarkStart w:id="15" w:name="_Toc2815"/>
      <w:r>
        <w:rPr>
          <w:rFonts w:hint="eastAsia" w:ascii="黑体" w:hAnsi="黑体" w:eastAsia="黑体" w:cs="Times New Roman"/>
          <w:bCs/>
          <w:sz w:val="24"/>
          <w:szCs w:val="24"/>
        </w:rPr>
        <w:t>六、存在问题及原因分析</w:t>
      </w:r>
      <w:bookmarkEnd w:id="15"/>
    </w:p>
    <w:p>
      <w:pPr>
        <w:spacing w:line="560" w:lineRule="exact"/>
        <w:ind w:left="239" w:leftChars="114"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一是绩效目标设置较为简单，需要进一步明确项目指标设置。缺少效益指标。不能细化量化考核实际效果；</w:t>
      </w:r>
    </w:p>
    <w:p>
      <w:pPr>
        <w:spacing w:line="560" w:lineRule="exact"/>
        <w:ind w:left="239" w:leftChars="114"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是各项规章制度要完善，要制定并落实，所有申报资料要求全部是根据怀远县政府文件规定来提供的，但没有内部管理制度，不能保证奖补资金何时落实到位，只看到有相关申请，事实上扶持资金是根据工程进度来支付，但没有在内部控制制度上体现。</w:t>
      </w:r>
    </w:p>
    <w:p>
      <w:pPr>
        <w:spacing w:line="560" w:lineRule="exact"/>
        <w:ind w:left="239" w:leftChars="114"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是加强内控流程的设置，从申请资料到复审都要经过所有岗位人员的审核，没见到怀远县财政何时转账支付到水利局或怀投集团，只看到大禹水务集团转账到施工单位账上，不能查看整个流程是否符合财务规定，不能审查出是否做到专款专用。</w:t>
      </w:r>
    </w:p>
    <w:p>
      <w:pPr>
        <w:spacing w:line="560" w:lineRule="exact"/>
        <w:ind w:left="239" w:leftChars="114"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四是监管环节不连贯，建设单位要按照省水利厅〈关于印发《安徽省农村饮水安全工程验收办法》的通知〉(皖水农函[2014] 683号)要求，项目法人按规定组织完工验收，在完工验收合格的基础上，项目法人应及时向竣工验收主管部门提出竣工验收申请，同时报送相应的竣工验收资料。但只看到验收合格，没有看到竣工验收。</w:t>
      </w:r>
    </w:p>
    <w:p>
      <w:pPr>
        <w:spacing w:line="560" w:lineRule="exact"/>
        <w:ind w:firstLine="420" w:firstLineChars="200"/>
        <w:outlineLvl w:val="0"/>
        <w:rPr>
          <w:rFonts w:ascii="黑体" w:hAnsi="黑体" w:eastAsia="黑体" w:cs="Times New Roman"/>
          <w:bCs/>
          <w:sz w:val="24"/>
          <w:szCs w:val="24"/>
        </w:rPr>
      </w:pPr>
      <w:r>
        <w:rPr>
          <w:rFonts w:hint="eastAsia" w:eastAsia="仿宋_GB2312"/>
          <w:lang w:val="en-US" w:eastAsia="zh-CN"/>
        </w:rPr>
        <w:t xml:space="preserve">  </w:t>
      </w:r>
      <w:bookmarkStart w:id="16" w:name="_Toc13766"/>
      <w:r>
        <w:rPr>
          <w:rFonts w:hint="eastAsia" w:ascii="黑体" w:hAnsi="黑体" w:eastAsia="黑体" w:cs="Times New Roman"/>
          <w:bCs/>
          <w:sz w:val="24"/>
          <w:szCs w:val="24"/>
        </w:rPr>
        <w:t>七、有关建议</w:t>
      </w:r>
      <w:bookmarkEnd w:id="16"/>
    </w:p>
    <w:p>
      <w:pPr>
        <w:spacing w:line="560" w:lineRule="exact"/>
        <w:ind w:firstLine="720" w:firstLineChars="3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为进一步提高补助资金使用效益，针对存在的问题，提出如下建议：</w:t>
      </w:r>
    </w:p>
    <w:p>
      <w:pPr>
        <w:spacing w:line="560" w:lineRule="exact"/>
        <w:ind w:left="239" w:leftChars="114"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是完善绩效目标编制，细化绩效指标值；在编制绩效目标时，怀远县水利局应加强财务部门与项目实施部门之间的信息沟通，共同参与绩效目标编制，根据项目的实际情况、工作计划等合理设置绩效目标，细化量化指标值，便于 项目绩效管理。</w:t>
      </w:r>
    </w:p>
    <w:p>
      <w:pPr>
        <w:spacing w:line="560" w:lineRule="exact"/>
        <w:ind w:left="239" w:leftChars="114"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二是加强业务条线管理，做好项目尽快落实，要根据合同规定来执行资金支付，保质保量完成合同各项规定。带动地方经济效益提高。</w:t>
      </w:r>
    </w:p>
    <w:p>
      <w:pPr>
        <w:spacing w:line="560" w:lineRule="exact"/>
        <w:ind w:left="239" w:leftChars="114"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三是强化内部流程制度的制定与落实。根据项目申请到项目落实及后期的管理要制定一个具体的管理办法，完善财务制度，保证专款专用不准挪用项目资金。</w:t>
      </w:r>
    </w:p>
    <w:p>
      <w:pPr>
        <w:spacing w:line="560" w:lineRule="exact"/>
        <w:ind w:firstLine="720" w:firstLineChars="3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四是严格落实工程合同规定的要求，加强监管与帮扶工作。</w:t>
      </w:r>
    </w:p>
    <w:p>
      <w:pPr>
        <w:pStyle w:val="2"/>
        <w:rPr>
          <w:rFonts w:hint="default" w:eastAsia="仿宋_GB2312"/>
          <w:lang w:val="en-US" w:eastAsia="zh-CN"/>
        </w:rPr>
      </w:pPr>
    </w:p>
    <w:p>
      <w:pPr>
        <w:widowControl/>
        <w:shd w:val="clear" w:color="auto" w:fill="FFFFFF"/>
        <w:ind w:firstLine="560" w:firstLineChars="200"/>
        <w:rPr>
          <w:rFonts w:hint="default" w:ascii="仿宋" w:hAnsi="仿宋" w:eastAsia="仿宋" w:cs="仿宋"/>
          <w:color w:val="333333"/>
          <w:kern w:val="0"/>
          <w:sz w:val="28"/>
          <w:szCs w:val="28"/>
          <w:lang w:val="en-US" w:eastAsia="zh-CN"/>
        </w:rPr>
      </w:pPr>
    </w:p>
    <w:p>
      <w:pPr>
        <w:widowControl/>
        <w:shd w:val="clear" w:color="auto" w:fill="FFFFFF"/>
        <w:ind w:firstLine="600"/>
        <w:rPr>
          <w:rFonts w:hint="eastAsia" w:ascii="仿宋" w:hAnsi="仿宋" w:eastAsia="仿宋" w:cs="仿宋"/>
          <w:color w:val="333333"/>
          <w:kern w:val="0"/>
          <w:sz w:val="28"/>
          <w:szCs w:val="28"/>
          <w:lang w:val="en-US" w:eastAsia="zh-CN"/>
        </w:rPr>
      </w:pPr>
    </w:p>
    <w:p>
      <w:pPr>
        <w:widowControl/>
        <w:shd w:val="clear" w:color="auto" w:fill="FFFFFF"/>
        <w:ind w:firstLine="640"/>
        <w:rPr>
          <w:rFonts w:ascii="Times New Roman" w:hAnsi="Times New Roman" w:eastAsia="微软雅黑"/>
          <w:color w:val="333333"/>
          <w:kern w:val="0"/>
          <w:sz w:val="30"/>
          <w:szCs w:val="30"/>
        </w:rPr>
      </w:pPr>
    </w:p>
    <w:p>
      <w:pPr>
        <w:keepNext w:val="0"/>
        <w:keepLines w:val="0"/>
        <w:widowControl/>
        <w:suppressLineNumbers w:val="0"/>
        <w:jc w:val="left"/>
      </w:pPr>
    </w:p>
    <w:p>
      <w:pPr>
        <w:widowControl/>
        <w:shd w:val="clear" w:color="auto" w:fill="FFFFFF"/>
        <w:ind w:firstLine="600"/>
        <w:rPr>
          <w:rFonts w:hint="eastAsia" w:ascii="仿宋" w:hAnsi="仿宋" w:eastAsia="仿宋" w:cs="仿宋"/>
          <w:color w:val="333333"/>
          <w:kern w:val="0"/>
          <w:sz w:val="28"/>
          <w:szCs w:val="28"/>
        </w:rPr>
      </w:pPr>
    </w:p>
    <w:p>
      <w:pPr>
        <w:widowControl/>
        <w:shd w:val="clear" w:color="auto" w:fill="FFFFFF"/>
        <w:ind w:firstLine="600"/>
        <w:rPr>
          <w:rFonts w:hint="eastAsia" w:ascii="宋体" w:hAnsi="宋体" w:cs="宋体"/>
          <w:color w:val="333333"/>
          <w:kern w:val="0"/>
          <w:sz w:val="30"/>
          <w:szCs w:val="30"/>
        </w:rPr>
      </w:pPr>
    </w:p>
    <w:p>
      <w:pPr>
        <w:pStyle w:val="2"/>
        <w:rPr>
          <w:rFonts w:hint="eastAsia" w:ascii="宋体" w:hAnsi="宋体" w:cs="宋体"/>
          <w:color w:val="333333"/>
          <w:kern w:val="0"/>
          <w:sz w:val="30"/>
          <w:szCs w:val="30"/>
        </w:rPr>
      </w:pPr>
    </w:p>
    <w:p>
      <w:pPr>
        <w:pStyle w:val="2"/>
        <w:rPr>
          <w:rFonts w:hint="eastAsia" w:ascii="宋体" w:hAnsi="宋体" w:cs="宋体"/>
          <w:color w:val="333333"/>
          <w:kern w:val="0"/>
          <w:sz w:val="30"/>
          <w:szCs w:val="30"/>
        </w:rPr>
      </w:pPr>
    </w:p>
    <w:p>
      <w:pPr>
        <w:pStyle w:val="2"/>
        <w:rPr>
          <w:rFonts w:hint="eastAsia" w:ascii="宋体" w:hAnsi="宋体" w:cs="宋体"/>
          <w:color w:val="333333"/>
          <w:kern w:val="0"/>
          <w:sz w:val="30"/>
          <w:szCs w:val="30"/>
        </w:rPr>
      </w:pPr>
    </w:p>
    <w:p>
      <w:pPr>
        <w:pStyle w:val="2"/>
        <w:rPr>
          <w:rFonts w:hint="eastAsia" w:ascii="宋体" w:hAnsi="宋体" w:cs="宋体"/>
          <w:color w:val="333333"/>
          <w:kern w:val="0"/>
          <w:sz w:val="30"/>
          <w:szCs w:val="30"/>
        </w:rPr>
      </w:pPr>
    </w:p>
    <w:p>
      <w:pPr>
        <w:pStyle w:val="2"/>
        <w:rPr>
          <w:rFonts w:hint="eastAsia" w:ascii="宋体" w:hAnsi="宋体" w:cs="宋体"/>
          <w:color w:val="333333"/>
          <w:kern w:val="0"/>
          <w:sz w:val="30"/>
          <w:szCs w:val="30"/>
        </w:rPr>
      </w:pPr>
    </w:p>
    <w:p>
      <w:pPr>
        <w:pStyle w:val="2"/>
        <w:rPr>
          <w:rFonts w:hint="eastAsia" w:ascii="宋体" w:hAnsi="宋体" w:cs="宋体"/>
          <w:color w:val="333333"/>
          <w:kern w:val="0"/>
          <w:sz w:val="30"/>
          <w:szCs w:val="30"/>
        </w:rPr>
      </w:pPr>
    </w:p>
    <w:p>
      <w:pPr>
        <w:pStyle w:val="2"/>
        <w:rPr>
          <w:rFonts w:hint="eastAsia" w:ascii="宋体" w:hAnsi="宋体" w:cs="宋体"/>
          <w:color w:val="333333"/>
          <w:kern w:val="0"/>
          <w:sz w:val="30"/>
          <w:szCs w:val="30"/>
        </w:rPr>
      </w:pPr>
    </w:p>
    <w:p>
      <w:pPr>
        <w:pStyle w:val="2"/>
        <w:rPr>
          <w:rFonts w:hint="eastAsia" w:ascii="宋体" w:hAnsi="宋体" w:cs="宋体"/>
          <w:color w:val="333333"/>
          <w:kern w:val="0"/>
          <w:sz w:val="30"/>
          <w:szCs w:val="30"/>
        </w:rPr>
      </w:pPr>
    </w:p>
    <w:p>
      <w:pPr>
        <w:widowControl/>
        <w:shd w:val="clear" w:color="auto" w:fill="FFFFFF"/>
        <w:spacing w:line="560" w:lineRule="atLeast"/>
        <w:jc w:val="center"/>
        <w:rPr>
          <w:rFonts w:hint="eastAsia" w:ascii="仿宋" w:hAnsi="仿宋" w:eastAsia="仿宋" w:cs="仿宋"/>
          <w:b/>
          <w:bCs/>
          <w:color w:val="000000"/>
          <w:kern w:val="0"/>
          <w:sz w:val="36"/>
          <w:szCs w:val="36"/>
          <w:lang w:val="en-US" w:eastAsia="zh-CN"/>
        </w:rPr>
      </w:pPr>
      <w:r>
        <w:rPr>
          <w:rFonts w:hint="eastAsia" w:ascii="仿宋" w:hAnsi="仿宋" w:eastAsia="仿宋" w:cs="仿宋"/>
          <w:b/>
          <w:bCs/>
          <w:color w:val="000000"/>
          <w:kern w:val="0"/>
          <w:sz w:val="36"/>
          <w:szCs w:val="36"/>
          <w:lang w:val="en-US" w:eastAsia="zh-CN"/>
        </w:rPr>
        <w:t xml:space="preserve"> </w:t>
      </w:r>
      <w:r>
        <w:rPr>
          <w:rFonts w:hint="eastAsia" w:ascii="仿宋" w:hAnsi="仿宋" w:eastAsia="仿宋" w:cs="仿宋"/>
          <w:b/>
          <w:bCs/>
          <w:color w:val="000000"/>
          <w:kern w:val="0"/>
          <w:sz w:val="36"/>
          <w:szCs w:val="36"/>
        </w:rPr>
        <w:t>202</w:t>
      </w:r>
      <w:r>
        <w:rPr>
          <w:rFonts w:hint="eastAsia" w:ascii="仿宋" w:hAnsi="仿宋" w:eastAsia="仿宋" w:cs="仿宋"/>
          <w:b/>
          <w:bCs/>
          <w:color w:val="000000"/>
          <w:kern w:val="0"/>
          <w:sz w:val="36"/>
          <w:szCs w:val="36"/>
          <w:lang w:val="en-US" w:eastAsia="zh-CN"/>
        </w:rPr>
        <w:t>2</w:t>
      </w:r>
      <w:r>
        <w:rPr>
          <w:rFonts w:hint="eastAsia" w:ascii="仿宋" w:hAnsi="仿宋" w:eastAsia="仿宋" w:cs="仿宋"/>
          <w:b/>
          <w:bCs/>
          <w:color w:val="000000"/>
          <w:kern w:val="0"/>
          <w:sz w:val="36"/>
          <w:szCs w:val="36"/>
        </w:rPr>
        <w:t>年度</w:t>
      </w:r>
      <w:r>
        <w:rPr>
          <w:rFonts w:hint="eastAsia" w:ascii="仿宋" w:hAnsi="仿宋" w:eastAsia="仿宋" w:cs="仿宋"/>
          <w:b/>
          <w:bCs/>
          <w:color w:val="000000"/>
          <w:kern w:val="0"/>
          <w:sz w:val="36"/>
          <w:szCs w:val="36"/>
          <w:lang w:val="en-US" w:eastAsia="zh-CN"/>
        </w:rPr>
        <w:t xml:space="preserve">怀远县水利局居民饮用水安全工程      </w:t>
      </w:r>
      <w:r>
        <w:rPr>
          <w:rFonts w:hint="eastAsia" w:ascii="仿宋" w:hAnsi="仿宋" w:eastAsia="仿宋" w:cs="仿宋"/>
          <w:b/>
          <w:bCs/>
          <w:color w:val="000000"/>
          <w:kern w:val="0"/>
          <w:sz w:val="36"/>
          <w:szCs w:val="36"/>
        </w:rPr>
        <w:t xml:space="preserve"> </w:t>
      </w:r>
      <w:r>
        <w:rPr>
          <w:rFonts w:hint="eastAsia" w:ascii="仿宋" w:hAnsi="仿宋" w:eastAsia="仿宋" w:cs="仿宋"/>
          <w:b/>
          <w:bCs/>
          <w:color w:val="000000"/>
          <w:kern w:val="0"/>
          <w:sz w:val="36"/>
          <w:szCs w:val="36"/>
          <w:lang w:val="en-US" w:eastAsia="zh-CN"/>
        </w:rPr>
        <w:t xml:space="preserve">              </w:t>
      </w:r>
    </w:p>
    <w:p>
      <w:pPr>
        <w:widowControl/>
        <w:shd w:val="clear" w:color="auto" w:fill="FFFFFF"/>
        <w:spacing w:line="560" w:lineRule="atLeast"/>
        <w:ind w:firstLine="2891" w:firstLineChars="800"/>
        <w:jc w:val="both"/>
        <w:rPr>
          <w:rFonts w:hint="eastAsia" w:ascii="仿宋" w:hAnsi="仿宋" w:eastAsia="仿宋" w:cs="仿宋"/>
          <w:b/>
          <w:bCs/>
          <w:color w:val="000000"/>
          <w:kern w:val="0"/>
          <w:sz w:val="36"/>
          <w:szCs w:val="36"/>
        </w:rPr>
      </w:pPr>
      <w:r>
        <w:rPr>
          <w:rFonts w:hint="eastAsia" w:ascii="仿宋" w:hAnsi="仿宋" w:eastAsia="仿宋" w:cs="仿宋"/>
          <w:b/>
          <w:bCs/>
          <w:color w:val="000000"/>
          <w:kern w:val="0"/>
          <w:sz w:val="36"/>
          <w:szCs w:val="36"/>
        </w:rPr>
        <w:t>项目支出绩效评价报告</w:t>
      </w:r>
    </w:p>
    <w:p>
      <w:pPr>
        <w:spacing w:line="560" w:lineRule="exact"/>
        <w:ind w:firstLine="482" w:firstLineChars="200"/>
        <w:outlineLvl w:val="0"/>
        <w:rPr>
          <w:rFonts w:ascii="黑体" w:hAnsi="黑体" w:eastAsia="黑体" w:cs="Times New Roman"/>
          <w:b/>
          <w:bCs/>
          <w:sz w:val="24"/>
          <w:szCs w:val="24"/>
        </w:rPr>
      </w:pPr>
      <w:bookmarkStart w:id="17" w:name="_Toc27814"/>
      <w:r>
        <w:rPr>
          <w:rFonts w:hint="eastAsia" w:ascii="黑体" w:hAnsi="黑体" w:eastAsia="黑体" w:cs="Times New Roman"/>
          <w:b/>
          <w:bCs/>
          <w:sz w:val="24"/>
          <w:szCs w:val="24"/>
        </w:rPr>
        <w:t>一、项目基本情况</w:t>
      </w:r>
      <w:bookmarkEnd w:id="17"/>
    </w:p>
    <w:p>
      <w:pPr>
        <w:spacing w:line="560" w:lineRule="exact"/>
        <w:ind w:firstLine="480" w:firstLineChars="200"/>
        <w:outlineLvl w:val="1"/>
        <w:rPr>
          <w:rFonts w:hint="eastAsia" w:ascii="仿宋" w:hAnsi="仿宋" w:eastAsia="仿宋" w:cs="仿宋"/>
          <w:sz w:val="24"/>
          <w:szCs w:val="24"/>
        </w:rPr>
      </w:pPr>
      <w:bookmarkStart w:id="18" w:name="_Toc3481"/>
      <w:r>
        <w:rPr>
          <w:rFonts w:hint="eastAsia" w:ascii="仿宋" w:hAnsi="仿宋" w:eastAsia="仿宋" w:cs="仿宋"/>
          <w:sz w:val="24"/>
          <w:szCs w:val="24"/>
        </w:rPr>
        <w:t>（一）项目概况</w:t>
      </w:r>
      <w:bookmarkEnd w:id="18"/>
    </w:p>
    <w:p>
      <w:pPr>
        <w:spacing w:line="56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t>1.项目背景</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居民饮用水工程建设，是加强饮用水源保护，改善饮用水质量，强化饮用水安全是一项事关人 民群众生命健康安全、事关经济发展与社会稳定大局的重要工作。</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省委、省政府高度重视皖北地区群众喝上引调水工程（皖北地区群众喝上更好水工程）。2021 年 5 月 17 日，省委常委会扩大会议要求积极实施皖北“喝好水”工程，切实保障“十四五”时期皖北人民喝上干净水、基本不喝地下水。“实施皖北地区群众喝上更好水工程”列入“我为群众办实事”项目清单。7 月 8 日，省政府第 146 次常务会议将皖北地区群众喝上更好水工程作为省政府重点调度的水利工程，2022 年 1月，全省水利工作会议通报了 2022 年全省水利工作的任务目标。按照《关于皖北地区群众喝上引调水工程的实施方案》，安徽今年将开工建设怀远县、淮上区、阜南县、颍上县、颍泉区、颍东区、颍州区、毛集试验区等 8 个县（区）工程。皖北地区群众喝上引调水工程实施计划分为两个阶段：第一阶段是在2023 年底前，引江济淮工程安徽段建成后，具备地表水水源取水条件的 13 个县（区）实现城乡供水地下水水源替换；第二阶段是在 2025 年底前，引江济淮二期工程建设后，具备地表水水源取水条件的 15 个县（市、区）完成城乡供水地下水水源替换。为继续推进农村饮水工程建设，提高农村自来水普及率，发展城乡一体化供水，加强农村饮水工程长效运行管理体制建设，确保工程长期发挥效益，构建“同水源、同管网、同水质、同服务”的城乡供水工程体系和管理体制，切实保障“十四 </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五”期间怀远县群众喝上水质更好的引调水，从根本上解决农村自来水问题， 提供了有力保障。</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2.项目主要内容及实施情况</w:t>
      </w:r>
    </w:p>
    <w:p>
      <w:pPr>
        <w:spacing w:line="56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（1）项目主要内容</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项目区位于怀远县西部，主要涉及怀远县双桥镇、褚集镇、龙亢镇、淝河乡、徐圩乡，属于怀远县北淝河供水区，区内共有 6 座水厂，其中褚集水厂（4200m3 /d）为3地表水厂，双桥水厂（1200m3  /d）、龙亢二水厂（6600m3  /d）、徐圩水厂（3800m3  /d）、淝河水厂（7000m3 /d）、赵集水厂（4700m3 /d）为地下水厂，域内水厂现状供水总规模2.75 万 m3  /d，供水人口 307536 人，其中地下水供水人口 262958 人。</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根据《村镇供水工程技术规范》（SL310—2019），分项指标法预测时，居民生活用水定额选用 75L/人/d，企业用水量取居民生活用水量的 10%计算，同时考虑龙亢农场等实体的用水量，公共建筑用水量取居民生活用水量的 10%，浇洒绿地用水量按照居民生活用水量的 2%计算，管网漏失水量和不可预见水量按以上四部分的 15%计算。 </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水厂的规模=居民生活用水量+企业用水量+公共建筑用水量+浇洒绿地用水量+管网漏，失水量和不可预见用水量。 </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计算可得项目区需要供水规模为 3.75 万 m3 /d，考虑远期发展需要取 4.0 万 m3 /d。 </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本项目计划建设供水规模 4.0 万 m3 /d 地表水厂一座。</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根据《安徽省怀远县农村供水保障规划》（2021—2026 年）怀远县规划利用更优质的引调水实施水源替换，全面实施城乡供水一体化，全县以怀洪新河、北淝河、芡河、茨淮新河、淮河为水源分别以 5 个中心水厂为依托建立了 5 个供水区。情况如下表：</w:t>
      </w:r>
    </w:p>
    <w:p>
      <w:pPr>
        <w:spacing w:line="560" w:lineRule="exact"/>
        <w:ind w:left="479" w:leftChars="228" w:firstLine="1680" w:firstLineChars="7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农村供水分区供水工程布局统计表</w:t>
      </w:r>
    </w:p>
    <w:tbl>
      <w:tblPr>
        <w:tblStyle w:val="9"/>
        <w:tblpPr w:leftFromText="180" w:rightFromText="180" w:vertAnchor="text" w:horzAnchor="page" w:tblpX="1979" w:tblpY="523"/>
        <w:tblOverlap w:val="never"/>
        <w:tblW w:w="85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6"/>
        <w:gridCol w:w="1725"/>
        <w:gridCol w:w="1593"/>
        <w:gridCol w:w="2400"/>
        <w:gridCol w:w="1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trPr>
        <w:tc>
          <w:tcPr>
            <w:tcW w:w="1036" w:type="dxa"/>
          </w:tcPr>
          <w:p>
            <w:pPr>
              <w:pStyle w:val="2"/>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 xml:space="preserve">序号 </w:t>
            </w:r>
          </w:p>
        </w:tc>
        <w:tc>
          <w:tcPr>
            <w:tcW w:w="1725" w:type="dxa"/>
          </w:tcPr>
          <w:p>
            <w:pPr>
              <w:keepNext w:val="0"/>
              <w:keepLines w:val="0"/>
              <w:widowControl/>
              <w:suppressLineNumbers w:val="0"/>
              <w:ind w:firstLine="240" w:firstLineChars="100"/>
              <w:jc w:val="left"/>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供水区</w:t>
            </w:r>
          </w:p>
        </w:tc>
        <w:tc>
          <w:tcPr>
            <w:tcW w:w="1593" w:type="dxa"/>
          </w:tcPr>
          <w:p>
            <w:pPr>
              <w:pStyle w:val="2"/>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 xml:space="preserve">主水厂 </w:t>
            </w:r>
          </w:p>
        </w:tc>
        <w:tc>
          <w:tcPr>
            <w:tcW w:w="2400" w:type="dxa"/>
          </w:tcPr>
          <w:p>
            <w:pPr>
              <w:pStyle w:val="2"/>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规模（</w:t>
            </w:r>
            <w:r>
              <w:rPr>
                <w:rFonts w:hint="eastAsia" w:ascii="仿宋" w:hAnsi="仿宋" w:eastAsia="仿宋" w:cs="仿宋"/>
                <w:sz w:val="24"/>
                <w:szCs w:val="24"/>
                <w:lang w:val="en-US" w:eastAsia="zh-CN"/>
              </w:rPr>
              <w:t>m</w:t>
            </w:r>
            <w:r>
              <w:rPr>
                <w:rFonts w:hint="eastAsia" w:ascii="仿宋" w:hAnsi="仿宋" w:eastAsia="仿宋" w:cs="仿宋"/>
                <w:sz w:val="24"/>
                <w:szCs w:val="24"/>
                <w:vertAlign w:val="superscript"/>
                <w:lang w:val="en-US" w:eastAsia="zh-CN"/>
              </w:rPr>
              <w:t xml:space="preserve">3 </w:t>
            </w:r>
            <w:r>
              <w:rPr>
                <w:rFonts w:hint="eastAsia" w:ascii="仿宋" w:hAnsi="仿宋" w:eastAsia="仿宋" w:cs="仿宋"/>
                <w:color w:val="000000"/>
                <w:kern w:val="0"/>
                <w:sz w:val="24"/>
                <w:szCs w:val="24"/>
                <w:lang w:val="en-US" w:eastAsia="zh-CN" w:bidi="ar"/>
              </w:rPr>
              <w:t xml:space="preserve"> /d）</w:t>
            </w:r>
          </w:p>
        </w:tc>
        <w:tc>
          <w:tcPr>
            <w:tcW w:w="1819" w:type="dxa"/>
          </w:tcPr>
          <w:p>
            <w:pPr>
              <w:keepNext w:val="0"/>
              <w:keepLines w:val="0"/>
              <w:widowControl/>
              <w:suppressLineNumbers w:val="0"/>
              <w:jc w:val="left"/>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并网水厂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trPr>
        <w:tc>
          <w:tcPr>
            <w:tcW w:w="1036" w:type="dxa"/>
          </w:tcPr>
          <w:p>
            <w:pPr>
              <w:pStyle w:val="2"/>
              <w:ind w:left="0" w:leftChars="0" w:firstLine="480" w:firstLineChars="200"/>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1725" w:type="dxa"/>
            <w:vMerge w:val="restart"/>
            <w:vAlign w:val="center"/>
          </w:tcPr>
          <w:p>
            <w:pPr>
              <w:keepNext w:val="0"/>
              <w:keepLines w:val="0"/>
              <w:widowControl/>
              <w:suppressLineNumbers w:val="0"/>
              <w:jc w:val="center"/>
              <w:rPr>
                <w:rFonts w:hint="eastAsia" w:ascii="仿宋" w:hAnsi="仿宋" w:eastAsia="仿宋" w:cs="仿宋"/>
                <w:color w:val="000000"/>
                <w:kern w:val="0"/>
                <w:sz w:val="24"/>
                <w:szCs w:val="24"/>
                <w:lang w:val="en-US" w:eastAsia="zh-CN" w:bidi="ar"/>
              </w:rPr>
            </w:pPr>
          </w:p>
          <w:p>
            <w:pPr>
              <w:keepNext w:val="0"/>
              <w:keepLines w:val="0"/>
              <w:widowControl/>
              <w:suppressLineNumbers w:val="0"/>
              <w:jc w:val="center"/>
              <w:rPr>
                <w:rFonts w:hint="eastAsia" w:ascii="仿宋" w:hAnsi="仿宋" w:eastAsia="仿宋" w:cs="仿宋"/>
                <w:color w:val="000000"/>
                <w:kern w:val="0"/>
                <w:sz w:val="24"/>
                <w:szCs w:val="24"/>
                <w:lang w:val="en-US" w:eastAsia="zh-CN" w:bidi="ar"/>
              </w:rPr>
            </w:pPr>
          </w:p>
          <w:p>
            <w:pPr>
              <w:keepNext w:val="0"/>
              <w:keepLines w:val="0"/>
              <w:widowControl/>
              <w:suppressLineNumbers w:val="0"/>
              <w:jc w:val="center"/>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茨淮新河供水区</w:t>
            </w:r>
          </w:p>
          <w:p>
            <w:pPr>
              <w:pStyle w:val="2"/>
              <w:jc w:val="center"/>
              <w:rPr>
                <w:rFonts w:hint="eastAsia" w:ascii="仿宋" w:hAnsi="仿宋" w:eastAsia="仿宋" w:cs="仿宋"/>
                <w:sz w:val="24"/>
                <w:szCs w:val="24"/>
                <w:vertAlign w:val="baseline"/>
              </w:rPr>
            </w:pPr>
          </w:p>
        </w:tc>
        <w:tc>
          <w:tcPr>
            <w:tcW w:w="1593" w:type="dxa"/>
            <w:vMerge w:val="restart"/>
            <w:vAlign w:val="center"/>
          </w:tcPr>
          <w:p>
            <w:pPr>
              <w:keepNext w:val="0"/>
              <w:keepLines w:val="0"/>
              <w:widowControl/>
              <w:suppressLineNumbers w:val="0"/>
              <w:jc w:val="center"/>
              <w:rPr>
                <w:rFonts w:hint="eastAsia" w:ascii="仿宋" w:hAnsi="仿宋" w:eastAsia="仿宋" w:cs="仿宋"/>
                <w:color w:val="000000"/>
                <w:kern w:val="0"/>
                <w:sz w:val="24"/>
                <w:szCs w:val="24"/>
                <w:lang w:val="en-US" w:eastAsia="zh-CN" w:bidi="ar"/>
              </w:rPr>
            </w:pPr>
          </w:p>
          <w:p>
            <w:pPr>
              <w:keepNext w:val="0"/>
              <w:keepLines w:val="0"/>
              <w:widowControl/>
              <w:suppressLineNumbers w:val="0"/>
              <w:jc w:val="center"/>
              <w:rPr>
                <w:rFonts w:hint="eastAsia" w:ascii="仿宋" w:hAnsi="仿宋" w:eastAsia="仿宋" w:cs="仿宋"/>
                <w:color w:val="000000"/>
                <w:kern w:val="0"/>
                <w:sz w:val="24"/>
                <w:szCs w:val="24"/>
                <w:lang w:val="en-US" w:eastAsia="zh-CN" w:bidi="ar"/>
              </w:rPr>
            </w:pPr>
          </w:p>
          <w:p>
            <w:pPr>
              <w:keepNext w:val="0"/>
              <w:keepLines w:val="0"/>
              <w:widowControl/>
              <w:suppressLineNumbers w:val="0"/>
              <w:jc w:val="center"/>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常坟中心水厂</w:t>
            </w:r>
          </w:p>
          <w:p>
            <w:pPr>
              <w:pStyle w:val="2"/>
              <w:jc w:val="center"/>
              <w:rPr>
                <w:rFonts w:hint="eastAsia" w:ascii="仿宋" w:hAnsi="仿宋" w:eastAsia="仿宋" w:cs="仿宋"/>
                <w:sz w:val="24"/>
                <w:szCs w:val="24"/>
                <w:vertAlign w:val="baseline"/>
              </w:rPr>
            </w:pPr>
          </w:p>
        </w:tc>
        <w:tc>
          <w:tcPr>
            <w:tcW w:w="2400" w:type="dxa"/>
            <w:vMerge w:val="restart"/>
            <w:vAlign w:val="center"/>
          </w:tcPr>
          <w:p>
            <w:pPr>
              <w:pStyle w:val="2"/>
              <w:ind w:left="0" w:leftChars="0" w:firstLine="0" w:firstLineChars="0"/>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40000</w:t>
            </w:r>
          </w:p>
        </w:tc>
        <w:tc>
          <w:tcPr>
            <w:tcW w:w="1819" w:type="dxa"/>
          </w:tcPr>
          <w:p>
            <w:pPr>
              <w:keepNext w:val="0"/>
              <w:keepLines w:val="0"/>
              <w:widowControl/>
              <w:suppressLineNumbers w:val="0"/>
              <w:jc w:val="left"/>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 xml:space="preserve">白莲坡水厂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1725" w:type="dxa"/>
            <w:vMerge w:val="continue"/>
          </w:tcPr>
          <w:p>
            <w:pPr>
              <w:pStyle w:val="2"/>
              <w:rPr>
                <w:vertAlign w:val="baseline"/>
              </w:rPr>
            </w:pPr>
          </w:p>
        </w:tc>
        <w:tc>
          <w:tcPr>
            <w:tcW w:w="1593" w:type="dxa"/>
            <w:vMerge w:val="continue"/>
          </w:tcPr>
          <w:p>
            <w:pPr>
              <w:pStyle w:val="2"/>
              <w:rPr>
                <w:vertAlign w:val="baseline"/>
              </w:rPr>
            </w:pPr>
          </w:p>
        </w:tc>
        <w:tc>
          <w:tcPr>
            <w:tcW w:w="2400" w:type="dxa"/>
            <w:vMerge w:val="continue"/>
          </w:tcPr>
          <w:p>
            <w:pPr>
              <w:pStyle w:val="2"/>
              <w:jc w:val="center"/>
              <w:rPr>
                <w:vertAlign w:val="baseline"/>
              </w:rPr>
            </w:pPr>
          </w:p>
        </w:tc>
        <w:tc>
          <w:tcPr>
            <w:tcW w:w="1819" w:type="dxa"/>
          </w:tcPr>
          <w:p>
            <w:pPr>
              <w:keepNext w:val="0"/>
              <w:keepLines w:val="0"/>
              <w:widowControl/>
              <w:suppressLineNumbers w:val="0"/>
              <w:jc w:val="left"/>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常坟中心水厂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1725" w:type="dxa"/>
            <w:vMerge w:val="continue"/>
          </w:tcPr>
          <w:p>
            <w:pPr>
              <w:pStyle w:val="2"/>
              <w:rPr>
                <w:vertAlign w:val="baseline"/>
              </w:rPr>
            </w:pPr>
          </w:p>
        </w:tc>
        <w:tc>
          <w:tcPr>
            <w:tcW w:w="1593" w:type="dxa"/>
            <w:vMerge w:val="continue"/>
          </w:tcPr>
          <w:p>
            <w:pPr>
              <w:pStyle w:val="2"/>
              <w:rPr>
                <w:vertAlign w:val="baseline"/>
              </w:rPr>
            </w:pPr>
          </w:p>
        </w:tc>
        <w:tc>
          <w:tcPr>
            <w:tcW w:w="2400" w:type="dxa"/>
            <w:vMerge w:val="continue"/>
          </w:tcPr>
          <w:p>
            <w:pPr>
              <w:pStyle w:val="2"/>
              <w:jc w:val="center"/>
              <w:rPr>
                <w:vertAlign w:val="baseline"/>
              </w:rPr>
            </w:pPr>
          </w:p>
        </w:tc>
        <w:tc>
          <w:tcPr>
            <w:tcW w:w="1819" w:type="dxa"/>
          </w:tcPr>
          <w:p>
            <w:pPr>
              <w:keepNext w:val="0"/>
              <w:keepLines w:val="0"/>
              <w:widowControl/>
              <w:suppressLineNumbers w:val="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 万福水厂</w:t>
            </w:r>
          </w:p>
          <w:p>
            <w:pPr>
              <w:keepNext w:val="0"/>
              <w:keepLines w:val="0"/>
              <w:widowControl/>
              <w:suppressLineNumbers w:val="0"/>
              <w:jc w:val="left"/>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1725" w:type="dxa"/>
            <w:vMerge w:val="continue"/>
          </w:tcPr>
          <w:p>
            <w:pPr>
              <w:pStyle w:val="2"/>
              <w:rPr>
                <w:vertAlign w:val="baseline"/>
              </w:rPr>
            </w:pPr>
          </w:p>
        </w:tc>
        <w:tc>
          <w:tcPr>
            <w:tcW w:w="1593" w:type="dxa"/>
            <w:vMerge w:val="continue"/>
          </w:tcPr>
          <w:p>
            <w:pPr>
              <w:pStyle w:val="2"/>
              <w:rPr>
                <w:vertAlign w:val="baseline"/>
              </w:rPr>
            </w:pPr>
          </w:p>
        </w:tc>
        <w:tc>
          <w:tcPr>
            <w:tcW w:w="2400" w:type="dxa"/>
            <w:vMerge w:val="continue"/>
          </w:tcPr>
          <w:p>
            <w:pPr>
              <w:pStyle w:val="2"/>
              <w:jc w:val="center"/>
              <w:rPr>
                <w:vertAlign w:val="baseline"/>
              </w:rPr>
            </w:pPr>
          </w:p>
        </w:tc>
        <w:tc>
          <w:tcPr>
            <w:tcW w:w="1819" w:type="dxa"/>
          </w:tcPr>
          <w:p>
            <w:pPr>
              <w:keepNext w:val="0"/>
              <w:keepLines w:val="0"/>
              <w:widowControl/>
              <w:suppressLineNumbers w:val="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兰桥水厂</w:t>
            </w:r>
          </w:p>
          <w:p>
            <w:pPr>
              <w:keepNext w:val="0"/>
              <w:keepLines w:val="0"/>
              <w:widowControl/>
              <w:suppressLineNumbers w:val="0"/>
              <w:jc w:val="left"/>
              <w:rPr>
                <w:rFonts w:hint="eastAsia" w:ascii="仿宋" w:hAnsi="仿宋" w:eastAsia="仿宋" w:cs="仿宋"/>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w:t>
            </w:r>
          </w:p>
        </w:tc>
        <w:tc>
          <w:tcPr>
            <w:tcW w:w="1725" w:type="dxa"/>
            <w:vMerge w:val="restart"/>
            <w:vAlign w:val="center"/>
          </w:tcPr>
          <w:p>
            <w:pPr>
              <w:keepNext w:val="0"/>
              <w:keepLines w:val="0"/>
              <w:widowControl/>
              <w:suppressLineNumbers w:val="0"/>
              <w:jc w:val="center"/>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芡河供水区</w:t>
            </w:r>
          </w:p>
        </w:tc>
        <w:tc>
          <w:tcPr>
            <w:tcW w:w="1593" w:type="dxa"/>
            <w:vMerge w:val="restart"/>
            <w:vAlign w:val="center"/>
          </w:tcPr>
          <w:p>
            <w:pPr>
              <w:keepNext w:val="0"/>
              <w:keepLines w:val="0"/>
              <w:widowControl/>
              <w:suppressLineNumbers w:val="0"/>
              <w:jc w:val="center"/>
              <w:rPr>
                <w:rFonts w:hint="eastAsia" w:ascii="仿宋" w:hAnsi="仿宋" w:eastAsia="仿宋" w:cs="仿宋"/>
                <w:color w:val="000000"/>
                <w:kern w:val="0"/>
                <w:sz w:val="24"/>
                <w:szCs w:val="24"/>
                <w:lang w:val="en-US" w:eastAsia="zh-CN" w:bidi="ar"/>
              </w:rPr>
            </w:pPr>
          </w:p>
          <w:p>
            <w:pPr>
              <w:keepNext w:val="0"/>
              <w:keepLines w:val="0"/>
              <w:widowControl/>
              <w:suppressLineNumbers w:val="0"/>
              <w:jc w:val="center"/>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城西水厂</w:t>
            </w:r>
          </w:p>
          <w:p>
            <w:pPr>
              <w:pStyle w:val="2"/>
              <w:jc w:val="center"/>
              <w:rPr>
                <w:rFonts w:hint="eastAsia" w:ascii="仿宋" w:hAnsi="仿宋" w:eastAsia="仿宋" w:cs="仿宋"/>
                <w:sz w:val="24"/>
                <w:szCs w:val="24"/>
                <w:vertAlign w:val="baseline"/>
              </w:rPr>
            </w:pPr>
          </w:p>
        </w:tc>
        <w:tc>
          <w:tcPr>
            <w:tcW w:w="2400" w:type="dxa"/>
            <w:vMerge w:val="restart"/>
            <w:vAlign w:val="center"/>
          </w:tcPr>
          <w:p>
            <w:pPr>
              <w:pStyle w:val="2"/>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18100</w:t>
            </w:r>
          </w:p>
        </w:tc>
        <w:tc>
          <w:tcPr>
            <w:tcW w:w="1819" w:type="dxa"/>
          </w:tcPr>
          <w:p>
            <w:pPr>
              <w:keepNext w:val="0"/>
              <w:keepLines w:val="0"/>
              <w:widowControl/>
              <w:suppressLineNumbers w:val="0"/>
              <w:jc w:val="left"/>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 xml:space="preserve">淝南水厂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6</w:t>
            </w:r>
          </w:p>
        </w:tc>
        <w:tc>
          <w:tcPr>
            <w:tcW w:w="1725" w:type="dxa"/>
            <w:vMerge w:val="continue"/>
          </w:tcPr>
          <w:p>
            <w:pPr>
              <w:pStyle w:val="2"/>
              <w:rPr>
                <w:vertAlign w:val="baseline"/>
              </w:rPr>
            </w:pPr>
          </w:p>
        </w:tc>
        <w:tc>
          <w:tcPr>
            <w:tcW w:w="1593" w:type="dxa"/>
            <w:vMerge w:val="continue"/>
          </w:tcPr>
          <w:p>
            <w:pPr>
              <w:pStyle w:val="2"/>
              <w:rPr>
                <w:vertAlign w:val="baseline"/>
              </w:rPr>
            </w:pPr>
          </w:p>
        </w:tc>
        <w:tc>
          <w:tcPr>
            <w:tcW w:w="2400" w:type="dxa"/>
            <w:vMerge w:val="continue"/>
          </w:tcPr>
          <w:p>
            <w:pPr>
              <w:pStyle w:val="2"/>
              <w:jc w:val="center"/>
              <w:rPr>
                <w:vertAlign w:val="baseline"/>
              </w:rPr>
            </w:pPr>
          </w:p>
        </w:tc>
        <w:tc>
          <w:tcPr>
            <w:tcW w:w="1819" w:type="dxa"/>
          </w:tcPr>
          <w:p>
            <w:pPr>
              <w:keepNext w:val="0"/>
              <w:keepLines w:val="0"/>
              <w:widowControl/>
              <w:suppressLineNumbers w:val="0"/>
              <w:jc w:val="left"/>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河溜水厂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7</w:t>
            </w:r>
          </w:p>
        </w:tc>
        <w:tc>
          <w:tcPr>
            <w:tcW w:w="1725" w:type="dxa"/>
            <w:vMerge w:val="continue"/>
          </w:tcPr>
          <w:p>
            <w:pPr>
              <w:pStyle w:val="2"/>
              <w:rPr>
                <w:vertAlign w:val="baseline"/>
              </w:rPr>
            </w:pPr>
          </w:p>
        </w:tc>
        <w:tc>
          <w:tcPr>
            <w:tcW w:w="1593" w:type="dxa"/>
            <w:vMerge w:val="continue"/>
          </w:tcPr>
          <w:p>
            <w:pPr>
              <w:pStyle w:val="2"/>
              <w:rPr>
                <w:vertAlign w:val="baseline"/>
              </w:rPr>
            </w:pPr>
          </w:p>
        </w:tc>
        <w:tc>
          <w:tcPr>
            <w:tcW w:w="2400" w:type="dxa"/>
            <w:vMerge w:val="continue"/>
          </w:tcPr>
          <w:p>
            <w:pPr>
              <w:pStyle w:val="2"/>
              <w:jc w:val="center"/>
              <w:rPr>
                <w:vertAlign w:val="baseline"/>
              </w:rPr>
            </w:pPr>
          </w:p>
        </w:tc>
        <w:tc>
          <w:tcPr>
            <w:tcW w:w="1819" w:type="dxa"/>
          </w:tcPr>
          <w:p>
            <w:pPr>
              <w:keepNext w:val="0"/>
              <w:keepLines w:val="0"/>
              <w:widowControl/>
              <w:suppressLineNumbers w:val="0"/>
              <w:jc w:val="left"/>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新城水厂延伸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8</w:t>
            </w:r>
          </w:p>
        </w:tc>
        <w:tc>
          <w:tcPr>
            <w:tcW w:w="1725" w:type="dxa"/>
            <w:vMerge w:val="continue"/>
          </w:tcPr>
          <w:p>
            <w:pPr>
              <w:pStyle w:val="2"/>
              <w:rPr>
                <w:vertAlign w:val="baseline"/>
              </w:rPr>
            </w:pPr>
          </w:p>
        </w:tc>
        <w:tc>
          <w:tcPr>
            <w:tcW w:w="1593" w:type="dxa"/>
            <w:vMerge w:val="continue"/>
          </w:tcPr>
          <w:p>
            <w:pPr>
              <w:pStyle w:val="2"/>
              <w:rPr>
                <w:vertAlign w:val="baseline"/>
              </w:rPr>
            </w:pPr>
          </w:p>
        </w:tc>
        <w:tc>
          <w:tcPr>
            <w:tcW w:w="2400" w:type="dxa"/>
            <w:vMerge w:val="continue"/>
          </w:tcPr>
          <w:p>
            <w:pPr>
              <w:pStyle w:val="2"/>
              <w:jc w:val="center"/>
              <w:rPr>
                <w:vertAlign w:val="baseline"/>
              </w:rPr>
            </w:pPr>
          </w:p>
        </w:tc>
        <w:tc>
          <w:tcPr>
            <w:tcW w:w="1819" w:type="dxa"/>
          </w:tcPr>
          <w:p>
            <w:pPr>
              <w:keepNext w:val="0"/>
              <w:keepLines w:val="0"/>
              <w:widowControl/>
              <w:suppressLineNumbers w:val="0"/>
              <w:jc w:val="left"/>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荆芡水厂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9</w:t>
            </w:r>
          </w:p>
        </w:tc>
        <w:tc>
          <w:tcPr>
            <w:tcW w:w="1725" w:type="dxa"/>
            <w:vMerge w:val="restart"/>
            <w:vAlign w:val="center"/>
          </w:tcPr>
          <w:p>
            <w:pPr>
              <w:keepNext w:val="0"/>
              <w:keepLines w:val="0"/>
              <w:widowControl/>
              <w:suppressLineNumbers w:val="0"/>
              <w:jc w:val="center"/>
              <w:rPr>
                <w:rFonts w:hint="eastAsia" w:ascii="仿宋" w:hAnsi="仿宋" w:eastAsia="仿宋" w:cs="仿宋"/>
                <w:color w:val="000000"/>
                <w:kern w:val="0"/>
                <w:sz w:val="24"/>
                <w:szCs w:val="24"/>
                <w:lang w:val="en-US" w:eastAsia="zh-CN" w:bidi="ar"/>
              </w:rPr>
            </w:pPr>
          </w:p>
          <w:p>
            <w:pPr>
              <w:keepNext w:val="0"/>
              <w:keepLines w:val="0"/>
              <w:widowControl/>
              <w:suppressLineNumbers w:val="0"/>
              <w:jc w:val="center"/>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北淝河供水区</w:t>
            </w:r>
          </w:p>
          <w:p>
            <w:pPr>
              <w:pStyle w:val="2"/>
              <w:jc w:val="center"/>
              <w:rPr>
                <w:rFonts w:hint="eastAsia" w:ascii="仿宋" w:hAnsi="仿宋" w:eastAsia="仿宋" w:cs="仿宋"/>
                <w:sz w:val="24"/>
                <w:szCs w:val="24"/>
                <w:vertAlign w:val="baseline"/>
              </w:rPr>
            </w:pPr>
          </w:p>
        </w:tc>
        <w:tc>
          <w:tcPr>
            <w:tcW w:w="1593" w:type="dxa"/>
            <w:vMerge w:val="restart"/>
            <w:vAlign w:val="center"/>
          </w:tcPr>
          <w:p>
            <w:pPr>
              <w:keepNext w:val="0"/>
              <w:keepLines w:val="0"/>
              <w:widowControl/>
              <w:suppressLineNumbers w:val="0"/>
              <w:jc w:val="center"/>
              <w:rPr>
                <w:rFonts w:hint="eastAsia" w:ascii="仿宋" w:hAnsi="仿宋" w:eastAsia="仿宋" w:cs="仿宋"/>
                <w:color w:val="000000"/>
                <w:kern w:val="0"/>
                <w:sz w:val="24"/>
                <w:szCs w:val="24"/>
                <w:lang w:val="en-US" w:eastAsia="zh-CN" w:bidi="ar"/>
              </w:rPr>
            </w:pPr>
          </w:p>
          <w:p>
            <w:pPr>
              <w:keepNext w:val="0"/>
              <w:keepLines w:val="0"/>
              <w:widowControl/>
              <w:suppressLineNumbers w:val="0"/>
              <w:jc w:val="center"/>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双龙水厂</w:t>
            </w:r>
          </w:p>
          <w:p>
            <w:pPr>
              <w:pStyle w:val="2"/>
              <w:jc w:val="center"/>
              <w:rPr>
                <w:rFonts w:hint="eastAsia" w:ascii="仿宋" w:hAnsi="仿宋" w:eastAsia="仿宋" w:cs="仿宋"/>
                <w:sz w:val="24"/>
                <w:szCs w:val="24"/>
                <w:vertAlign w:val="baseline"/>
              </w:rPr>
            </w:pPr>
          </w:p>
        </w:tc>
        <w:tc>
          <w:tcPr>
            <w:tcW w:w="2400" w:type="dxa"/>
            <w:vMerge w:val="restart"/>
            <w:vAlign w:val="center"/>
          </w:tcPr>
          <w:p>
            <w:pPr>
              <w:pStyle w:val="2"/>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40000</w:t>
            </w:r>
          </w:p>
        </w:tc>
        <w:tc>
          <w:tcPr>
            <w:tcW w:w="1819" w:type="dxa"/>
          </w:tcPr>
          <w:p>
            <w:pPr>
              <w:keepNext w:val="0"/>
              <w:keepLines w:val="0"/>
              <w:widowControl/>
              <w:suppressLineNumbers w:val="0"/>
              <w:jc w:val="left"/>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 xml:space="preserve">徐圩水厂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10</w:t>
            </w:r>
          </w:p>
        </w:tc>
        <w:tc>
          <w:tcPr>
            <w:tcW w:w="1725" w:type="dxa"/>
            <w:vMerge w:val="continue"/>
          </w:tcPr>
          <w:p>
            <w:pPr>
              <w:pStyle w:val="2"/>
              <w:rPr>
                <w:vertAlign w:val="baseline"/>
              </w:rPr>
            </w:pPr>
          </w:p>
        </w:tc>
        <w:tc>
          <w:tcPr>
            <w:tcW w:w="1593" w:type="dxa"/>
            <w:vMerge w:val="continue"/>
          </w:tcPr>
          <w:p>
            <w:pPr>
              <w:pStyle w:val="2"/>
              <w:rPr>
                <w:vertAlign w:val="baseline"/>
              </w:rPr>
            </w:pPr>
          </w:p>
        </w:tc>
        <w:tc>
          <w:tcPr>
            <w:tcW w:w="2400" w:type="dxa"/>
            <w:vMerge w:val="continue"/>
          </w:tcPr>
          <w:p>
            <w:pPr>
              <w:pStyle w:val="2"/>
              <w:jc w:val="center"/>
              <w:rPr>
                <w:vertAlign w:val="baseline"/>
              </w:rPr>
            </w:pPr>
          </w:p>
        </w:tc>
        <w:tc>
          <w:tcPr>
            <w:tcW w:w="1819" w:type="dxa"/>
          </w:tcPr>
          <w:p>
            <w:pPr>
              <w:pStyle w:val="2"/>
              <w:ind w:left="0" w:leftChars="0" w:firstLine="0" w:firstLineChars="0"/>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褚集水厂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11</w:t>
            </w:r>
          </w:p>
        </w:tc>
        <w:tc>
          <w:tcPr>
            <w:tcW w:w="1725" w:type="dxa"/>
            <w:vMerge w:val="continue"/>
          </w:tcPr>
          <w:p>
            <w:pPr>
              <w:pStyle w:val="2"/>
              <w:rPr>
                <w:vertAlign w:val="baseline"/>
              </w:rPr>
            </w:pPr>
          </w:p>
        </w:tc>
        <w:tc>
          <w:tcPr>
            <w:tcW w:w="1593" w:type="dxa"/>
            <w:vMerge w:val="continue"/>
          </w:tcPr>
          <w:p>
            <w:pPr>
              <w:pStyle w:val="2"/>
              <w:rPr>
                <w:vertAlign w:val="baseline"/>
              </w:rPr>
            </w:pPr>
          </w:p>
        </w:tc>
        <w:tc>
          <w:tcPr>
            <w:tcW w:w="2400" w:type="dxa"/>
            <w:vMerge w:val="continue"/>
          </w:tcPr>
          <w:p>
            <w:pPr>
              <w:pStyle w:val="2"/>
              <w:jc w:val="center"/>
              <w:rPr>
                <w:vertAlign w:val="baseline"/>
              </w:rPr>
            </w:pPr>
          </w:p>
        </w:tc>
        <w:tc>
          <w:tcPr>
            <w:tcW w:w="1819" w:type="dxa"/>
          </w:tcPr>
          <w:p>
            <w:pPr>
              <w:pStyle w:val="2"/>
              <w:ind w:left="0" w:leftChars="0" w:firstLine="0" w:firstLineChars="0"/>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龙亢二水厂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12</w:t>
            </w:r>
          </w:p>
        </w:tc>
        <w:tc>
          <w:tcPr>
            <w:tcW w:w="1725" w:type="dxa"/>
            <w:vMerge w:val="continue"/>
          </w:tcPr>
          <w:p>
            <w:pPr>
              <w:pStyle w:val="2"/>
              <w:rPr>
                <w:vertAlign w:val="baseline"/>
              </w:rPr>
            </w:pPr>
          </w:p>
        </w:tc>
        <w:tc>
          <w:tcPr>
            <w:tcW w:w="1593" w:type="dxa"/>
            <w:vMerge w:val="continue"/>
          </w:tcPr>
          <w:p>
            <w:pPr>
              <w:pStyle w:val="2"/>
              <w:rPr>
                <w:vertAlign w:val="baseline"/>
              </w:rPr>
            </w:pPr>
          </w:p>
        </w:tc>
        <w:tc>
          <w:tcPr>
            <w:tcW w:w="2400" w:type="dxa"/>
            <w:vMerge w:val="continue"/>
          </w:tcPr>
          <w:p>
            <w:pPr>
              <w:pStyle w:val="2"/>
              <w:jc w:val="center"/>
              <w:rPr>
                <w:vertAlign w:val="baseline"/>
              </w:rPr>
            </w:pPr>
          </w:p>
        </w:tc>
        <w:tc>
          <w:tcPr>
            <w:tcW w:w="1819" w:type="dxa"/>
          </w:tcPr>
          <w:p>
            <w:pPr>
              <w:pStyle w:val="2"/>
              <w:ind w:left="0" w:leftChars="0" w:firstLine="0" w:firstLineChars="0"/>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赵集水厂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13</w:t>
            </w:r>
          </w:p>
        </w:tc>
        <w:tc>
          <w:tcPr>
            <w:tcW w:w="1725" w:type="dxa"/>
            <w:vMerge w:val="continue"/>
          </w:tcPr>
          <w:p>
            <w:pPr>
              <w:pStyle w:val="2"/>
              <w:rPr>
                <w:vertAlign w:val="baseline"/>
              </w:rPr>
            </w:pPr>
          </w:p>
        </w:tc>
        <w:tc>
          <w:tcPr>
            <w:tcW w:w="1593" w:type="dxa"/>
            <w:vMerge w:val="continue"/>
          </w:tcPr>
          <w:p>
            <w:pPr>
              <w:pStyle w:val="2"/>
              <w:rPr>
                <w:vertAlign w:val="baseline"/>
              </w:rPr>
            </w:pPr>
          </w:p>
        </w:tc>
        <w:tc>
          <w:tcPr>
            <w:tcW w:w="2400" w:type="dxa"/>
            <w:vMerge w:val="continue"/>
          </w:tcPr>
          <w:p>
            <w:pPr>
              <w:pStyle w:val="2"/>
              <w:jc w:val="center"/>
              <w:rPr>
                <w:vertAlign w:val="baseline"/>
              </w:rPr>
            </w:pPr>
          </w:p>
        </w:tc>
        <w:tc>
          <w:tcPr>
            <w:tcW w:w="1819" w:type="dxa"/>
          </w:tcPr>
          <w:p>
            <w:pPr>
              <w:pStyle w:val="2"/>
              <w:ind w:left="0" w:leftChars="0" w:firstLine="0" w:firstLineChars="0"/>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双桥水厂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14</w:t>
            </w:r>
          </w:p>
        </w:tc>
        <w:tc>
          <w:tcPr>
            <w:tcW w:w="1725" w:type="dxa"/>
            <w:vMerge w:val="continue"/>
          </w:tcPr>
          <w:p>
            <w:pPr>
              <w:pStyle w:val="2"/>
              <w:rPr>
                <w:vertAlign w:val="baseline"/>
              </w:rPr>
            </w:pPr>
          </w:p>
        </w:tc>
        <w:tc>
          <w:tcPr>
            <w:tcW w:w="1593" w:type="dxa"/>
            <w:vMerge w:val="continue"/>
          </w:tcPr>
          <w:p>
            <w:pPr>
              <w:pStyle w:val="2"/>
              <w:rPr>
                <w:vertAlign w:val="baseline"/>
              </w:rPr>
            </w:pPr>
          </w:p>
        </w:tc>
        <w:tc>
          <w:tcPr>
            <w:tcW w:w="2400" w:type="dxa"/>
            <w:vMerge w:val="continue"/>
          </w:tcPr>
          <w:p>
            <w:pPr>
              <w:pStyle w:val="2"/>
              <w:jc w:val="center"/>
              <w:rPr>
                <w:vertAlign w:val="baseline"/>
              </w:rPr>
            </w:pPr>
          </w:p>
        </w:tc>
        <w:tc>
          <w:tcPr>
            <w:tcW w:w="1819" w:type="dxa"/>
          </w:tcPr>
          <w:p>
            <w:pPr>
              <w:keepNext w:val="0"/>
              <w:keepLines w:val="0"/>
              <w:widowControl/>
              <w:suppressLineNumbers w:val="0"/>
              <w:jc w:val="left"/>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淝河水厂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15</w:t>
            </w:r>
          </w:p>
        </w:tc>
        <w:tc>
          <w:tcPr>
            <w:tcW w:w="1725" w:type="dxa"/>
            <w:vMerge w:val="restart"/>
            <w:vAlign w:val="center"/>
          </w:tcPr>
          <w:p>
            <w:pPr>
              <w:keepNext w:val="0"/>
              <w:keepLines w:val="0"/>
              <w:widowControl/>
              <w:suppressLineNumbers w:val="0"/>
              <w:jc w:val="center"/>
              <w:rPr>
                <w:rFonts w:hint="eastAsia" w:ascii="仿宋" w:hAnsi="仿宋" w:eastAsia="仿宋" w:cs="仿宋"/>
                <w:color w:val="000000"/>
                <w:kern w:val="0"/>
                <w:sz w:val="24"/>
                <w:szCs w:val="24"/>
                <w:lang w:val="en-US" w:eastAsia="zh-CN" w:bidi="ar"/>
              </w:rPr>
            </w:pPr>
          </w:p>
          <w:p>
            <w:pPr>
              <w:keepNext w:val="0"/>
              <w:keepLines w:val="0"/>
              <w:widowControl/>
              <w:suppressLineNumbers w:val="0"/>
              <w:jc w:val="center"/>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淮河供水区</w:t>
            </w:r>
          </w:p>
          <w:p>
            <w:pPr>
              <w:pStyle w:val="2"/>
              <w:jc w:val="center"/>
              <w:rPr>
                <w:rFonts w:hint="eastAsia" w:ascii="仿宋" w:hAnsi="仿宋" w:eastAsia="仿宋" w:cs="仿宋"/>
                <w:sz w:val="24"/>
                <w:szCs w:val="24"/>
                <w:vertAlign w:val="baseline"/>
              </w:rPr>
            </w:pPr>
          </w:p>
        </w:tc>
        <w:tc>
          <w:tcPr>
            <w:tcW w:w="1593" w:type="dxa"/>
            <w:vMerge w:val="restart"/>
            <w:vAlign w:val="center"/>
          </w:tcPr>
          <w:p>
            <w:pPr>
              <w:keepNext w:val="0"/>
              <w:keepLines w:val="0"/>
              <w:widowControl/>
              <w:suppressLineNumbers w:val="0"/>
              <w:jc w:val="center"/>
              <w:rPr>
                <w:rFonts w:hint="eastAsia" w:ascii="仿宋" w:hAnsi="仿宋" w:eastAsia="仿宋" w:cs="仿宋"/>
                <w:color w:val="000000"/>
                <w:kern w:val="0"/>
                <w:sz w:val="24"/>
                <w:szCs w:val="24"/>
                <w:lang w:val="en-US" w:eastAsia="zh-CN" w:bidi="ar"/>
              </w:rPr>
            </w:pPr>
          </w:p>
          <w:p>
            <w:pPr>
              <w:keepNext w:val="0"/>
              <w:keepLines w:val="0"/>
              <w:widowControl/>
              <w:suppressLineNumbers w:val="0"/>
              <w:jc w:val="center"/>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新城水厂</w:t>
            </w:r>
          </w:p>
          <w:p>
            <w:pPr>
              <w:pStyle w:val="2"/>
              <w:jc w:val="center"/>
              <w:rPr>
                <w:rFonts w:hint="eastAsia" w:ascii="仿宋" w:hAnsi="仿宋" w:eastAsia="仿宋" w:cs="仿宋"/>
                <w:sz w:val="24"/>
                <w:szCs w:val="24"/>
                <w:vertAlign w:val="baseline"/>
              </w:rPr>
            </w:pPr>
          </w:p>
        </w:tc>
        <w:tc>
          <w:tcPr>
            <w:tcW w:w="2400" w:type="dxa"/>
            <w:vMerge w:val="restart"/>
            <w:vAlign w:val="center"/>
          </w:tcPr>
          <w:p>
            <w:pPr>
              <w:pStyle w:val="2"/>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17800</w:t>
            </w:r>
          </w:p>
        </w:tc>
        <w:tc>
          <w:tcPr>
            <w:tcW w:w="1819" w:type="dxa"/>
          </w:tcPr>
          <w:p>
            <w:pPr>
              <w:keepNext w:val="0"/>
              <w:keepLines w:val="0"/>
              <w:widowControl/>
              <w:suppressLineNumbers w:val="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古城水厂 </w:t>
            </w:r>
          </w:p>
          <w:p>
            <w:pPr>
              <w:keepNext w:val="0"/>
              <w:keepLines w:val="0"/>
              <w:widowControl/>
              <w:suppressLineNumbers w:val="0"/>
              <w:jc w:val="left"/>
              <w:rPr>
                <w:rFonts w:hint="eastAsia" w:ascii="仿宋" w:hAnsi="仿宋" w:eastAsia="仿宋" w:cs="仿宋"/>
                <w:color w:val="00000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16</w:t>
            </w:r>
          </w:p>
        </w:tc>
        <w:tc>
          <w:tcPr>
            <w:tcW w:w="1725" w:type="dxa"/>
            <w:vMerge w:val="continue"/>
            <w:vAlign w:val="center"/>
          </w:tcPr>
          <w:p>
            <w:pPr>
              <w:pStyle w:val="2"/>
              <w:jc w:val="center"/>
              <w:rPr>
                <w:vertAlign w:val="baseline"/>
              </w:rPr>
            </w:pPr>
          </w:p>
        </w:tc>
        <w:tc>
          <w:tcPr>
            <w:tcW w:w="1593" w:type="dxa"/>
            <w:vMerge w:val="continue"/>
            <w:vAlign w:val="center"/>
          </w:tcPr>
          <w:p>
            <w:pPr>
              <w:pStyle w:val="2"/>
              <w:jc w:val="center"/>
              <w:rPr>
                <w:vertAlign w:val="baseline"/>
              </w:rPr>
            </w:pPr>
          </w:p>
        </w:tc>
        <w:tc>
          <w:tcPr>
            <w:tcW w:w="2400" w:type="dxa"/>
            <w:vMerge w:val="continue"/>
            <w:vAlign w:val="center"/>
          </w:tcPr>
          <w:p>
            <w:pPr>
              <w:pStyle w:val="2"/>
              <w:jc w:val="center"/>
              <w:rPr>
                <w:vertAlign w:val="baseline"/>
              </w:rPr>
            </w:pPr>
          </w:p>
        </w:tc>
        <w:tc>
          <w:tcPr>
            <w:tcW w:w="1819" w:type="dxa"/>
          </w:tcPr>
          <w:p>
            <w:pPr>
              <w:keepNext w:val="0"/>
              <w:keepLines w:val="0"/>
              <w:widowControl/>
              <w:suppressLineNumbers w:val="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魏庄水厂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17</w:t>
            </w:r>
          </w:p>
        </w:tc>
        <w:tc>
          <w:tcPr>
            <w:tcW w:w="1725" w:type="dxa"/>
            <w:vMerge w:val="restart"/>
            <w:vAlign w:val="center"/>
          </w:tcPr>
          <w:p>
            <w:pPr>
              <w:keepNext w:val="0"/>
              <w:keepLines w:val="0"/>
              <w:widowControl/>
              <w:suppressLineNumbers w:val="0"/>
              <w:jc w:val="center"/>
              <w:rPr>
                <w:rFonts w:hint="eastAsia" w:ascii="仿宋" w:hAnsi="仿宋" w:eastAsia="仿宋" w:cs="仿宋"/>
                <w:color w:val="000000"/>
                <w:kern w:val="0"/>
                <w:sz w:val="24"/>
                <w:szCs w:val="24"/>
                <w:lang w:val="en-US" w:eastAsia="zh-CN" w:bidi="ar"/>
              </w:rPr>
            </w:pPr>
          </w:p>
          <w:p>
            <w:pPr>
              <w:keepNext w:val="0"/>
              <w:keepLines w:val="0"/>
              <w:widowControl/>
              <w:suppressLineNumbers w:val="0"/>
              <w:jc w:val="center"/>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怀洪新河供水区</w:t>
            </w:r>
          </w:p>
          <w:p>
            <w:pPr>
              <w:pStyle w:val="2"/>
              <w:jc w:val="center"/>
              <w:rPr>
                <w:rFonts w:hint="eastAsia" w:ascii="仿宋" w:hAnsi="仿宋" w:eastAsia="仿宋" w:cs="仿宋"/>
                <w:sz w:val="24"/>
                <w:szCs w:val="24"/>
                <w:vertAlign w:val="baseline"/>
              </w:rPr>
            </w:pPr>
          </w:p>
        </w:tc>
        <w:tc>
          <w:tcPr>
            <w:tcW w:w="1593" w:type="dxa"/>
            <w:vMerge w:val="restart"/>
            <w:vAlign w:val="center"/>
          </w:tcPr>
          <w:p>
            <w:pPr>
              <w:keepNext w:val="0"/>
              <w:keepLines w:val="0"/>
              <w:widowControl/>
              <w:suppressLineNumbers w:val="0"/>
              <w:jc w:val="center"/>
              <w:rPr>
                <w:rFonts w:hint="eastAsia" w:ascii="仿宋" w:hAnsi="仿宋" w:eastAsia="仿宋" w:cs="仿宋"/>
                <w:color w:val="000000"/>
                <w:kern w:val="0"/>
                <w:sz w:val="24"/>
                <w:szCs w:val="24"/>
                <w:lang w:val="en-US" w:eastAsia="zh-CN" w:bidi="ar"/>
              </w:rPr>
            </w:pPr>
          </w:p>
          <w:p>
            <w:pPr>
              <w:keepNext w:val="0"/>
              <w:keepLines w:val="0"/>
              <w:widowControl/>
              <w:suppressLineNumbers w:val="0"/>
              <w:jc w:val="center"/>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小集水厂</w:t>
            </w:r>
          </w:p>
          <w:p>
            <w:pPr>
              <w:pStyle w:val="2"/>
              <w:jc w:val="center"/>
              <w:rPr>
                <w:rFonts w:hint="eastAsia" w:ascii="仿宋" w:hAnsi="仿宋" w:eastAsia="仿宋" w:cs="仿宋"/>
                <w:sz w:val="24"/>
                <w:szCs w:val="24"/>
                <w:vertAlign w:val="baseline"/>
              </w:rPr>
            </w:pPr>
          </w:p>
        </w:tc>
        <w:tc>
          <w:tcPr>
            <w:tcW w:w="2400" w:type="dxa"/>
            <w:vMerge w:val="restart"/>
            <w:vAlign w:val="center"/>
          </w:tcPr>
          <w:p>
            <w:pPr>
              <w:pStyle w:val="2"/>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13400</w:t>
            </w:r>
          </w:p>
        </w:tc>
        <w:tc>
          <w:tcPr>
            <w:tcW w:w="1819" w:type="dxa"/>
          </w:tcPr>
          <w:p>
            <w:pPr>
              <w:keepNext w:val="0"/>
              <w:keepLines w:val="0"/>
              <w:widowControl/>
              <w:suppressLineNumbers w:val="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小集水厂</w:t>
            </w:r>
          </w:p>
          <w:p>
            <w:pPr>
              <w:keepNext w:val="0"/>
              <w:keepLines w:val="0"/>
              <w:widowControl/>
              <w:suppressLineNumbers w:val="0"/>
              <w:jc w:val="left"/>
              <w:rPr>
                <w:rFonts w:hint="eastAsia" w:ascii="仿宋" w:hAnsi="仿宋" w:eastAsia="仿宋" w:cs="仿宋"/>
                <w:color w:val="00000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18</w:t>
            </w:r>
          </w:p>
        </w:tc>
        <w:tc>
          <w:tcPr>
            <w:tcW w:w="1725" w:type="dxa"/>
            <w:vMerge w:val="continue"/>
          </w:tcPr>
          <w:p>
            <w:pPr>
              <w:pStyle w:val="2"/>
              <w:rPr>
                <w:vertAlign w:val="baseline"/>
              </w:rPr>
            </w:pPr>
          </w:p>
        </w:tc>
        <w:tc>
          <w:tcPr>
            <w:tcW w:w="1593" w:type="dxa"/>
            <w:vMerge w:val="continue"/>
          </w:tcPr>
          <w:p>
            <w:pPr>
              <w:pStyle w:val="2"/>
              <w:rPr>
                <w:vertAlign w:val="baseline"/>
              </w:rPr>
            </w:pPr>
          </w:p>
        </w:tc>
        <w:tc>
          <w:tcPr>
            <w:tcW w:w="2400" w:type="dxa"/>
            <w:vMerge w:val="continue"/>
          </w:tcPr>
          <w:p>
            <w:pPr>
              <w:pStyle w:val="2"/>
              <w:rPr>
                <w:vertAlign w:val="baseline"/>
              </w:rPr>
            </w:pPr>
          </w:p>
        </w:tc>
        <w:tc>
          <w:tcPr>
            <w:tcW w:w="1819" w:type="dxa"/>
          </w:tcPr>
          <w:p>
            <w:pPr>
              <w:keepNext w:val="0"/>
              <w:keepLines w:val="0"/>
              <w:widowControl/>
              <w:suppressLineNumbers w:val="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包集水厂</w:t>
            </w:r>
          </w:p>
          <w:p>
            <w:pPr>
              <w:keepNext w:val="0"/>
              <w:keepLines w:val="0"/>
              <w:widowControl/>
              <w:suppressLineNumbers w:val="0"/>
              <w:jc w:val="left"/>
              <w:rPr>
                <w:rFonts w:hint="eastAsia" w:ascii="仿宋" w:hAnsi="仿宋" w:eastAsia="仿宋" w:cs="仿宋"/>
                <w:color w:val="00000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trPr>
        <w:tc>
          <w:tcPr>
            <w:tcW w:w="1036" w:type="dxa"/>
          </w:tcPr>
          <w:p>
            <w:pPr>
              <w:pStyle w:val="2"/>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19</w:t>
            </w:r>
          </w:p>
        </w:tc>
        <w:tc>
          <w:tcPr>
            <w:tcW w:w="1725" w:type="dxa"/>
            <w:vMerge w:val="continue"/>
          </w:tcPr>
          <w:p>
            <w:pPr>
              <w:pStyle w:val="2"/>
              <w:rPr>
                <w:rFonts w:hint="eastAsia" w:ascii="仿宋" w:hAnsi="仿宋" w:eastAsia="仿宋" w:cs="仿宋"/>
                <w:sz w:val="24"/>
                <w:szCs w:val="24"/>
                <w:vertAlign w:val="baseline"/>
              </w:rPr>
            </w:pPr>
          </w:p>
        </w:tc>
        <w:tc>
          <w:tcPr>
            <w:tcW w:w="1593" w:type="dxa"/>
            <w:vMerge w:val="continue"/>
          </w:tcPr>
          <w:p>
            <w:pPr>
              <w:pStyle w:val="2"/>
              <w:rPr>
                <w:rFonts w:hint="eastAsia" w:ascii="仿宋" w:hAnsi="仿宋" w:eastAsia="仿宋" w:cs="仿宋"/>
                <w:sz w:val="24"/>
                <w:szCs w:val="24"/>
                <w:vertAlign w:val="baseline"/>
              </w:rPr>
            </w:pPr>
          </w:p>
        </w:tc>
        <w:tc>
          <w:tcPr>
            <w:tcW w:w="2400" w:type="dxa"/>
            <w:vMerge w:val="continue"/>
          </w:tcPr>
          <w:p>
            <w:pPr>
              <w:pStyle w:val="2"/>
              <w:rPr>
                <w:rFonts w:hint="eastAsia" w:ascii="仿宋" w:hAnsi="仿宋" w:eastAsia="仿宋" w:cs="仿宋"/>
                <w:sz w:val="24"/>
                <w:szCs w:val="24"/>
                <w:vertAlign w:val="baseline"/>
              </w:rPr>
            </w:pPr>
          </w:p>
        </w:tc>
        <w:tc>
          <w:tcPr>
            <w:tcW w:w="1819" w:type="dxa"/>
          </w:tcPr>
          <w:p>
            <w:pPr>
              <w:keepNext w:val="0"/>
              <w:keepLines w:val="0"/>
              <w:widowControl/>
              <w:suppressLineNumbers w:val="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陈集水厂</w:t>
            </w:r>
          </w:p>
          <w:p>
            <w:pPr>
              <w:keepNext w:val="0"/>
              <w:keepLines w:val="0"/>
              <w:widowControl/>
              <w:suppressLineNumbers w:val="0"/>
              <w:jc w:val="left"/>
              <w:rPr>
                <w:rFonts w:hint="eastAsia" w:ascii="仿宋" w:hAnsi="仿宋" w:eastAsia="仿宋" w:cs="仿宋"/>
                <w:color w:val="000000"/>
                <w:kern w:val="0"/>
                <w:sz w:val="24"/>
                <w:szCs w:val="24"/>
                <w:lang w:val="en-US" w:eastAsia="zh-CN" w:bidi="ar"/>
              </w:rPr>
            </w:pPr>
          </w:p>
        </w:tc>
      </w:tr>
    </w:tbl>
    <w:p>
      <w:pPr>
        <w:spacing w:line="56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（2）项目实施情况</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通过该项目实施，保障了</w:t>
      </w:r>
      <w:r>
        <w:rPr>
          <w:rFonts w:hint="eastAsia" w:ascii="仿宋" w:hAnsi="仿宋" w:eastAsia="仿宋" w:cs="仿宋"/>
          <w:sz w:val="24"/>
          <w:szCs w:val="24"/>
          <w:lang w:val="en-US" w:eastAsia="zh-CN"/>
        </w:rPr>
        <w:t>建设居民饮用水安全工程</w:t>
      </w:r>
      <w:r>
        <w:rPr>
          <w:rFonts w:hint="eastAsia" w:ascii="仿宋" w:hAnsi="仿宋" w:eastAsia="仿宋" w:cs="仿宋"/>
          <w:sz w:val="24"/>
          <w:szCs w:val="24"/>
        </w:rPr>
        <w:t>工作运转，</w:t>
      </w:r>
      <w:r>
        <w:rPr>
          <w:rFonts w:hint="eastAsia" w:ascii="仿宋" w:hAnsi="仿宋" w:eastAsia="仿宋" w:cs="仿宋"/>
          <w:sz w:val="24"/>
          <w:szCs w:val="24"/>
          <w:lang w:val="en-US" w:eastAsia="zh-CN"/>
        </w:rPr>
        <w:t>布置“皖北群众喝上更好水工程”相关事宜</w:t>
      </w:r>
      <w:r>
        <w:rPr>
          <w:rFonts w:hint="eastAsia" w:ascii="仿宋" w:hAnsi="仿宋" w:eastAsia="仿宋" w:cs="仿宋"/>
          <w:sz w:val="24"/>
          <w:szCs w:val="24"/>
        </w:rPr>
        <w:t>，完成</w:t>
      </w:r>
      <w:r>
        <w:rPr>
          <w:rFonts w:hint="eastAsia" w:ascii="仿宋" w:hAnsi="仿宋" w:eastAsia="仿宋" w:cs="仿宋"/>
          <w:sz w:val="24"/>
          <w:szCs w:val="24"/>
          <w:lang w:val="en-US" w:eastAsia="zh-CN"/>
        </w:rPr>
        <w:t>县委</w:t>
      </w:r>
      <w:r>
        <w:rPr>
          <w:rFonts w:hint="eastAsia" w:ascii="仿宋" w:hAnsi="仿宋" w:eastAsia="仿宋" w:cs="仿宋"/>
          <w:sz w:val="24"/>
          <w:szCs w:val="24"/>
        </w:rPr>
        <w:t>安排的各项工作任务，推进</w:t>
      </w:r>
      <w:r>
        <w:rPr>
          <w:rFonts w:hint="eastAsia" w:ascii="仿宋" w:hAnsi="仿宋" w:eastAsia="仿宋" w:cs="仿宋"/>
          <w:sz w:val="24"/>
          <w:szCs w:val="24"/>
          <w:lang w:val="en-US" w:eastAsia="zh-CN"/>
        </w:rPr>
        <w:t>居民饮用水安全工</w:t>
      </w:r>
      <w:r>
        <w:rPr>
          <w:rFonts w:hint="eastAsia" w:ascii="仿宋" w:hAnsi="仿宋" w:eastAsia="仿宋" w:cs="仿宋"/>
          <w:sz w:val="24"/>
          <w:szCs w:val="24"/>
        </w:rPr>
        <w:t>作的开展落实。</w:t>
      </w:r>
    </w:p>
    <w:p>
      <w:pPr>
        <w:pStyle w:val="2"/>
        <w:keepNext w:val="0"/>
        <w:keepLines w:val="0"/>
        <w:pageBreakBefore w:val="0"/>
        <w:widowControl w:val="0"/>
        <w:kinsoku/>
        <w:wordWrap/>
        <w:overflowPunct/>
        <w:topLinePunct w:val="0"/>
        <w:autoSpaceDE/>
        <w:autoSpaceDN/>
        <w:bidi w:val="0"/>
        <w:adjustRightInd/>
        <w:snapToGrid/>
        <w:ind w:left="105" w:leftChars="5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2021年11月15日怀远县人民政府常务会议纪要（第83次），县长主持召开县十七届人民政府第83次常务会议。会议讨论决定事项纪要如下:会议研究了县水利局关于怀远县“皖北群众喝上更好水工程”相关事宜。会议确定: (一)由县水利局负责，对全县新建和改扩建水厂供水能力进行充分调研，本着规划设计-次到位，分步实施的原则，确保满足区域发展需求。(二)由县水利局负责，县自然资源和规划局支持，尽快解决小集水厂涉及的土地征收问题和双龙水厂的选址工作，所需资金由怀投集团保障。(三)由高瑞林副县长负责，县水利局牵头，县国资委予以指导，将县内所有水厂资产划归至怀投集团，由怀投集团融资建设双龙水厂以及其他水厂管网联通工程，实际建设由县水利局牵头负责，以怀投集团名义实施。(四)城西水厂、新城水厂和常坟水厂按照原合作方式，仍由中环水务公司负责运营，具体运营协议由怀投集团和中环水务另行签订。(五)涉及该项工作的上级补助资金，由县财政局负责，及时将相关资金划拨至怀投集团，用于偿还项目建设资金。</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3.资金投入和使用情况</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202</w:t>
      </w:r>
      <w:r>
        <w:rPr>
          <w:rFonts w:hint="eastAsia" w:ascii="仿宋" w:hAnsi="仿宋" w:eastAsia="仿宋" w:cs="仿宋"/>
          <w:sz w:val="24"/>
          <w:szCs w:val="24"/>
          <w:lang w:val="en-US" w:eastAsia="zh-CN"/>
        </w:rPr>
        <w:t>2</w:t>
      </w:r>
      <w:r>
        <w:rPr>
          <w:rFonts w:hint="eastAsia" w:ascii="仿宋" w:hAnsi="仿宋" w:eastAsia="仿宋" w:cs="仿宋"/>
          <w:sz w:val="24"/>
          <w:szCs w:val="24"/>
        </w:rPr>
        <w:t>年</w:t>
      </w:r>
      <w:r>
        <w:rPr>
          <w:rFonts w:hint="eastAsia" w:ascii="仿宋" w:hAnsi="仿宋" w:eastAsia="仿宋" w:cs="仿宋"/>
          <w:sz w:val="24"/>
          <w:szCs w:val="24"/>
          <w:lang w:val="en-US" w:eastAsia="zh-CN"/>
        </w:rPr>
        <w:t>水利局居民饮用水安全工程</w:t>
      </w:r>
      <w:r>
        <w:rPr>
          <w:rFonts w:hint="eastAsia" w:ascii="仿宋" w:hAnsi="仿宋" w:eastAsia="仿宋" w:cs="仿宋"/>
          <w:sz w:val="24"/>
          <w:szCs w:val="24"/>
        </w:rPr>
        <w:t>项目全年预算资金</w:t>
      </w:r>
      <w:r>
        <w:rPr>
          <w:rFonts w:hint="eastAsia" w:ascii="仿宋" w:hAnsi="仿宋" w:eastAsia="仿宋" w:cs="仿宋"/>
          <w:sz w:val="24"/>
          <w:szCs w:val="24"/>
          <w:lang w:val="en-US" w:eastAsia="zh-CN"/>
        </w:rPr>
        <w:t>200</w:t>
      </w:r>
      <w:r>
        <w:rPr>
          <w:rFonts w:hint="eastAsia" w:ascii="仿宋" w:hAnsi="仿宋" w:eastAsia="仿宋" w:cs="仿宋"/>
          <w:sz w:val="24"/>
          <w:szCs w:val="24"/>
        </w:rPr>
        <w:t>0万元，实际到位资金</w:t>
      </w:r>
      <w:r>
        <w:rPr>
          <w:rFonts w:hint="eastAsia" w:ascii="仿宋" w:hAnsi="仿宋" w:eastAsia="仿宋" w:cs="仿宋"/>
          <w:sz w:val="24"/>
          <w:szCs w:val="24"/>
          <w:lang w:val="en-US" w:eastAsia="zh-CN"/>
        </w:rPr>
        <w:t>200</w:t>
      </w:r>
      <w:r>
        <w:rPr>
          <w:rFonts w:hint="eastAsia" w:ascii="仿宋" w:hAnsi="仿宋" w:eastAsia="仿宋" w:cs="仿宋"/>
          <w:sz w:val="24"/>
          <w:szCs w:val="24"/>
        </w:rPr>
        <w:t>0万元，实际支出资金</w:t>
      </w:r>
      <w:r>
        <w:rPr>
          <w:rFonts w:hint="eastAsia" w:ascii="仿宋" w:hAnsi="仿宋" w:eastAsia="仿宋" w:cs="仿宋"/>
          <w:sz w:val="24"/>
          <w:szCs w:val="24"/>
          <w:lang w:val="en-US" w:eastAsia="zh-CN"/>
        </w:rPr>
        <w:t>200</w:t>
      </w:r>
      <w:r>
        <w:rPr>
          <w:rFonts w:hint="eastAsia" w:ascii="仿宋" w:hAnsi="仿宋" w:eastAsia="仿宋" w:cs="仿宋"/>
          <w:sz w:val="24"/>
          <w:szCs w:val="24"/>
        </w:rPr>
        <w:t>0万元，资金到位率100%，预算执行率为100%。</w:t>
      </w:r>
    </w:p>
    <w:p>
      <w:pPr>
        <w:spacing w:line="560" w:lineRule="exact"/>
        <w:ind w:firstLine="240" w:firstLineChars="100"/>
        <w:outlineLvl w:val="1"/>
        <w:rPr>
          <w:rFonts w:hint="eastAsia" w:ascii="仿宋" w:hAnsi="仿宋" w:eastAsia="仿宋" w:cs="仿宋"/>
          <w:sz w:val="24"/>
          <w:szCs w:val="24"/>
        </w:rPr>
      </w:pPr>
      <w:bookmarkStart w:id="19" w:name="_Toc32417"/>
      <w:r>
        <w:rPr>
          <w:rFonts w:hint="eastAsia" w:ascii="仿宋" w:hAnsi="仿宋" w:eastAsia="仿宋" w:cs="仿宋"/>
          <w:sz w:val="24"/>
          <w:szCs w:val="24"/>
        </w:rPr>
        <w:t>（二）项目绩效目标</w:t>
      </w:r>
      <w:bookmarkEnd w:id="19"/>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1.总体目标</w:t>
      </w:r>
    </w:p>
    <w:p>
      <w:pPr>
        <w:pStyle w:val="2"/>
        <w:keepNext w:val="0"/>
        <w:keepLines w:val="0"/>
        <w:pageBreakBefore w:val="0"/>
        <w:widowControl w:val="0"/>
        <w:kinsoku/>
        <w:wordWrap/>
        <w:overflowPunct/>
        <w:topLinePunct w:val="0"/>
        <w:autoSpaceDE/>
        <w:autoSpaceDN/>
        <w:bidi w:val="0"/>
        <w:adjustRightInd/>
        <w:snapToGrid/>
        <w:ind w:left="105" w:leftChars="5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皖北地区群众喝上引调水工程（皖北地区群众喝上更好水工程），省委常委会扩大会议要求积极实施皖北“喝好水”工程，切实保障“十四五”时期皖北人民喝上干净水、基本不喝地下水。“实施皖北地区群众喝上更好水工程”列入“我为群众办实事”项目清单。</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2.年度绩效目标</w:t>
      </w:r>
    </w:p>
    <w:p>
      <w:pPr>
        <w:pStyle w:val="2"/>
        <w:keepNext w:val="0"/>
        <w:keepLines w:val="0"/>
        <w:pageBreakBefore w:val="0"/>
        <w:widowControl w:val="0"/>
        <w:kinsoku/>
        <w:wordWrap/>
        <w:overflowPunct/>
        <w:topLinePunct w:val="0"/>
        <w:autoSpaceDE/>
        <w:autoSpaceDN/>
        <w:bidi w:val="0"/>
        <w:adjustRightInd/>
        <w:snapToGrid/>
        <w:ind w:left="105" w:leftChars="5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会议确定: (一)由县水利局负责，对全县新建和改扩建水厂供水能力进行充分调研，本着规划设计-次到位，分步实施的原则，确保满足区域发展需求。                      (二)由县水利局负责，县自然资源和规划局支持，尽快解决小集水厂涉及的土地征收问题和双龙水厂的选址工作，所需资金由怀投集团保障。(三)涉及该项工作的上级补助资金，由县财政局负责，及时将相关资金划拨至怀投集团，用于偿还项目建设资金。</w:t>
      </w:r>
    </w:p>
    <w:p>
      <w:pPr>
        <w:spacing w:line="560" w:lineRule="exact"/>
        <w:ind w:firstLine="482" w:firstLineChars="200"/>
        <w:outlineLvl w:val="0"/>
        <w:rPr>
          <w:rFonts w:ascii="黑体" w:hAnsi="黑体" w:eastAsia="黑体" w:cs="Times New Roman"/>
          <w:b/>
          <w:bCs/>
          <w:sz w:val="24"/>
          <w:szCs w:val="24"/>
        </w:rPr>
      </w:pPr>
      <w:bookmarkStart w:id="20" w:name="_Toc3602"/>
      <w:r>
        <w:rPr>
          <w:rFonts w:hint="eastAsia" w:ascii="黑体" w:hAnsi="黑体" w:eastAsia="黑体" w:cs="Times New Roman"/>
          <w:b/>
          <w:bCs/>
          <w:sz w:val="24"/>
          <w:szCs w:val="24"/>
        </w:rPr>
        <w:t>二、绩效评价工作开展情况</w:t>
      </w:r>
      <w:bookmarkEnd w:id="20"/>
    </w:p>
    <w:p>
      <w:pPr>
        <w:spacing w:line="560" w:lineRule="exact"/>
        <w:ind w:firstLine="240" w:firstLineChars="100"/>
        <w:outlineLvl w:val="1"/>
        <w:rPr>
          <w:rFonts w:hint="eastAsia" w:ascii="仿宋" w:hAnsi="仿宋" w:eastAsia="仿宋" w:cs="仿宋"/>
          <w:sz w:val="24"/>
          <w:szCs w:val="24"/>
        </w:rPr>
      </w:pPr>
      <w:bookmarkStart w:id="21" w:name="_Toc23951"/>
      <w:r>
        <w:rPr>
          <w:rFonts w:hint="eastAsia" w:ascii="仿宋" w:hAnsi="仿宋" w:eastAsia="仿宋" w:cs="仿宋"/>
          <w:sz w:val="24"/>
          <w:szCs w:val="24"/>
        </w:rPr>
        <w:t>（一）</w:t>
      </w:r>
      <w:bookmarkStart w:id="22" w:name="_Hlk79591799"/>
      <w:r>
        <w:rPr>
          <w:rFonts w:hint="eastAsia" w:ascii="仿宋" w:hAnsi="仿宋" w:eastAsia="仿宋" w:cs="仿宋"/>
          <w:sz w:val="24"/>
          <w:szCs w:val="24"/>
        </w:rPr>
        <w:t>绩效评价</w:t>
      </w:r>
      <w:bookmarkEnd w:id="22"/>
      <w:r>
        <w:rPr>
          <w:rFonts w:hint="eastAsia" w:ascii="仿宋" w:hAnsi="仿宋" w:eastAsia="仿宋" w:cs="仿宋"/>
          <w:sz w:val="24"/>
          <w:szCs w:val="24"/>
        </w:rPr>
        <w:t>目的、对象和范围</w:t>
      </w:r>
      <w:bookmarkEnd w:id="21"/>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1.绩效评价目的。财政支出绩效评价是提高公共服务质量、提升公共支出有效手段。通过评价，深入了解202</w:t>
      </w:r>
      <w:r>
        <w:rPr>
          <w:rFonts w:hint="eastAsia" w:ascii="仿宋" w:hAnsi="仿宋" w:eastAsia="仿宋" w:cs="仿宋"/>
          <w:sz w:val="24"/>
          <w:szCs w:val="24"/>
          <w:lang w:val="en-US" w:eastAsia="zh-CN"/>
        </w:rPr>
        <w:t>2</w:t>
      </w:r>
      <w:r>
        <w:rPr>
          <w:rFonts w:hint="eastAsia" w:ascii="仿宋" w:hAnsi="仿宋" w:eastAsia="仿宋" w:cs="仿宋"/>
          <w:sz w:val="24"/>
          <w:szCs w:val="24"/>
        </w:rPr>
        <w:t>年度</w:t>
      </w:r>
      <w:r>
        <w:rPr>
          <w:rFonts w:hint="eastAsia" w:ascii="仿宋" w:hAnsi="仿宋" w:eastAsia="仿宋" w:cs="仿宋"/>
          <w:sz w:val="24"/>
          <w:szCs w:val="24"/>
          <w:lang w:val="en-US" w:eastAsia="zh-CN"/>
        </w:rPr>
        <w:t>居民饮用水安全工程项目支出</w:t>
      </w:r>
      <w:r>
        <w:rPr>
          <w:rFonts w:hint="eastAsia" w:ascii="仿宋" w:hAnsi="仿宋" w:eastAsia="仿宋" w:cs="仿宋"/>
          <w:sz w:val="24"/>
          <w:szCs w:val="24"/>
        </w:rPr>
        <w:t>的决策、产出、过程和效益方面的详细情况，总结项目资金使用中的主要经验及存在问题，提出有针对性和可操作性的政策建议，不断提高财政资金管理水平和使用效益，为预算安排提供重要依据。</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2.绩效评价对象。202</w:t>
      </w:r>
      <w:r>
        <w:rPr>
          <w:rFonts w:hint="eastAsia" w:ascii="仿宋" w:hAnsi="仿宋" w:eastAsia="仿宋" w:cs="仿宋"/>
          <w:sz w:val="24"/>
          <w:szCs w:val="24"/>
          <w:lang w:val="en-US" w:eastAsia="zh-CN"/>
        </w:rPr>
        <w:t>2</w:t>
      </w:r>
      <w:r>
        <w:rPr>
          <w:rFonts w:hint="eastAsia" w:ascii="仿宋" w:hAnsi="仿宋" w:eastAsia="仿宋" w:cs="仿宋"/>
          <w:sz w:val="24"/>
          <w:szCs w:val="24"/>
        </w:rPr>
        <w:t>年度</w:t>
      </w:r>
      <w:r>
        <w:rPr>
          <w:rFonts w:hint="eastAsia" w:ascii="仿宋" w:hAnsi="仿宋" w:eastAsia="仿宋" w:cs="仿宋"/>
          <w:sz w:val="24"/>
          <w:szCs w:val="24"/>
          <w:lang w:val="en-US" w:eastAsia="zh-CN"/>
        </w:rPr>
        <w:t>怀远县水利局居民饮用水安全工程项目支出</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3.绩效评价范围。本次评价的范围是202</w:t>
      </w:r>
      <w:r>
        <w:rPr>
          <w:rFonts w:hint="eastAsia" w:ascii="仿宋" w:hAnsi="仿宋" w:eastAsia="仿宋" w:cs="仿宋"/>
          <w:sz w:val="24"/>
          <w:szCs w:val="24"/>
          <w:lang w:val="en-US" w:eastAsia="zh-CN"/>
        </w:rPr>
        <w:t>2</w:t>
      </w:r>
      <w:r>
        <w:rPr>
          <w:rFonts w:hint="eastAsia" w:ascii="仿宋" w:hAnsi="仿宋" w:eastAsia="仿宋" w:cs="仿宋"/>
          <w:sz w:val="24"/>
          <w:szCs w:val="24"/>
        </w:rPr>
        <w:t>年度</w:t>
      </w:r>
      <w:r>
        <w:rPr>
          <w:rFonts w:hint="eastAsia" w:ascii="仿宋" w:hAnsi="仿宋" w:eastAsia="仿宋" w:cs="仿宋"/>
          <w:sz w:val="24"/>
          <w:szCs w:val="24"/>
          <w:lang w:val="en-US" w:eastAsia="zh-CN"/>
        </w:rPr>
        <w:t>县水利局居民饮用水安全工程项目支出</w:t>
      </w:r>
      <w:r>
        <w:rPr>
          <w:rFonts w:hint="eastAsia" w:ascii="仿宋" w:hAnsi="仿宋" w:eastAsia="仿宋" w:cs="仿宋"/>
          <w:sz w:val="24"/>
          <w:szCs w:val="24"/>
        </w:rPr>
        <w:t>，评价其绩效目标设定情况，资金投入和使用情况，为实现设定的绩效目标所制定的制度、采取的措施等，以及绩效目标最终的实现程度及效果。</w:t>
      </w:r>
    </w:p>
    <w:p>
      <w:pPr>
        <w:spacing w:line="560" w:lineRule="exact"/>
        <w:ind w:firstLine="240" w:firstLineChars="100"/>
        <w:outlineLvl w:val="1"/>
        <w:rPr>
          <w:rFonts w:hint="eastAsia" w:ascii="仿宋" w:hAnsi="仿宋" w:eastAsia="仿宋" w:cs="仿宋"/>
          <w:sz w:val="24"/>
          <w:szCs w:val="24"/>
        </w:rPr>
      </w:pPr>
      <w:bookmarkStart w:id="23" w:name="_Toc17751"/>
      <w:r>
        <w:rPr>
          <w:rFonts w:hint="eastAsia" w:ascii="仿宋" w:hAnsi="仿宋" w:eastAsia="仿宋" w:cs="仿宋"/>
          <w:sz w:val="24"/>
          <w:szCs w:val="24"/>
        </w:rPr>
        <w:t>（二）绩效评价原则、评价指标体系、评价方法、评价标准</w:t>
      </w:r>
      <w:bookmarkEnd w:id="23"/>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1、评价原则</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科学规范原则。绩效评价应当严格执行规定的程序，按照科学可行的要求，采用定量与定性分析相结合的方法。</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公正公开原则。绩效评价应当符合真实、客观、公正的要求，依法公开并接受监督。</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分级分类原则。绩效评价由各级财政部门、各预算部门根据评价对象的特点分类组织实施。</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绩效相关原则。绩效评价应当针对具体支出及其产出绩效进行，评价结果应当清晰反映支出和产出绩效之间的紧密对应关系。</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2、绩效评价指标体系</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价指标体系分别从项目决策、项目过程、项目产出、项目效益四个方面对其财政支出进行评价，指标分值设计遵循了以结果为导向原则，注重产出和效益，适度关注决策、过程管理。本次绩效评价的指标分值设计，在此基础上对二、三级指标进行细分，根据二、三级指标与绩效目标的匹配性、在指标中的重要性、以及对一级指标的影响程度来合理确定评价指标的分值比例结构。</w:t>
      </w:r>
    </w:p>
    <w:p>
      <w:pPr>
        <w:spacing w:line="560" w:lineRule="exact"/>
        <w:ind w:left="210" w:leftChars="100" w:firstLine="480" w:firstLineChars="200"/>
        <w:rPr>
          <w:rFonts w:hint="eastAsia" w:ascii="仿宋" w:hAnsi="仿宋" w:eastAsia="仿宋" w:cs="仿宋"/>
          <w:sz w:val="24"/>
          <w:szCs w:val="24"/>
        </w:rPr>
      </w:pPr>
      <w:r>
        <w:rPr>
          <w:rFonts w:hint="eastAsia" w:ascii="仿宋" w:hAnsi="仿宋" w:eastAsia="仿宋" w:cs="仿宋"/>
          <w:sz w:val="24"/>
          <w:szCs w:val="24"/>
        </w:rPr>
        <w:t>202</w:t>
      </w:r>
      <w:r>
        <w:rPr>
          <w:rFonts w:hint="eastAsia" w:ascii="仿宋" w:hAnsi="仿宋" w:eastAsia="仿宋" w:cs="仿宋"/>
          <w:sz w:val="24"/>
          <w:szCs w:val="24"/>
          <w:lang w:val="en-US" w:eastAsia="zh-CN"/>
        </w:rPr>
        <w:t>2</w:t>
      </w:r>
      <w:r>
        <w:rPr>
          <w:rFonts w:hint="eastAsia" w:ascii="仿宋" w:hAnsi="仿宋" w:eastAsia="仿宋" w:cs="仿宋"/>
          <w:sz w:val="24"/>
          <w:szCs w:val="24"/>
        </w:rPr>
        <w:t>年度</w:t>
      </w:r>
      <w:r>
        <w:rPr>
          <w:rFonts w:hint="eastAsia" w:ascii="仿宋" w:hAnsi="仿宋" w:eastAsia="仿宋" w:cs="仿宋"/>
          <w:sz w:val="24"/>
          <w:szCs w:val="24"/>
          <w:lang w:val="en-US" w:eastAsia="zh-CN"/>
        </w:rPr>
        <w:t>居民饮用水安全工程项目支出</w:t>
      </w:r>
      <w:r>
        <w:rPr>
          <w:rFonts w:hint="eastAsia" w:ascii="仿宋" w:hAnsi="仿宋" w:eastAsia="仿宋" w:cs="仿宋"/>
          <w:sz w:val="24"/>
          <w:szCs w:val="24"/>
        </w:rPr>
        <w:t>评价指标体系包括4项一级指标，14项二级指标，23项三级指标，满分为100分。具体如下：</w:t>
      </w:r>
    </w:p>
    <w:tbl>
      <w:tblPr>
        <w:tblStyle w:val="8"/>
        <w:tblW w:w="8255" w:type="dxa"/>
        <w:tblInd w:w="93" w:type="dxa"/>
        <w:tblLayout w:type="autofit"/>
        <w:tblCellMar>
          <w:top w:w="0" w:type="dxa"/>
          <w:left w:w="108" w:type="dxa"/>
          <w:bottom w:w="0" w:type="dxa"/>
          <w:right w:w="108" w:type="dxa"/>
        </w:tblCellMar>
      </w:tblPr>
      <w:tblGrid>
        <w:gridCol w:w="1205"/>
        <w:gridCol w:w="955"/>
        <w:gridCol w:w="1333"/>
        <w:gridCol w:w="827"/>
        <w:gridCol w:w="3054"/>
        <w:gridCol w:w="881"/>
      </w:tblGrid>
      <w:tr>
        <w:tblPrEx>
          <w:tblCellMar>
            <w:top w:w="0" w:type="dxa"/>
            <w:left w:w="108" w:type="dxa"/>
            <w:bottom w:w="0" w:type="dxa"/>
            <w:right w:w="108" w:type="dxa"/>
          </w:tblCellMar>
        </w:tblPrEx>
        <w:trPr>
          <w:trHeight w:val="270" w:hRule="atLeast"/>
        </w:trPr>
        <w:tc>
          <w:tcPr>
            <w:tcW w:w="8255" w:type="dxa"/>
            <w:gridSpan w:val="6"/>
            <w:tcBorders>
              <w:top w:val="nil"/>
              <w:left w:val="nil"/>
              <w:bottom w:val="nil"/>
              <w:right w:val="nil"/>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仿宋_GB2312" w:hAnsi="Times New Roman" w:eastAsia="仿宋_GB2312" w:cs="Times New Roman"/>
                <w:b/>
                <w:bCs/>
                <w:sz w:val="24"/>
                <w:szCs w:val="24"/>
              </w:rPr>
              <w:t>绩效评价指标体系</w:t>
            </w:r>
          </w:p>
        </w:tc>
      </w:tr>
      <w:tr>
        <w:tblPrEx>
          <w:tblCellMar>
            <w:top w:w="0" w:type="dxa"/>
            <w:left w:w="108" w:type="dxa"/>
            <w:bottom w:w="0" w:type="dxa"/>
            <w:right w:w="108" w:type="dxa"/>
          </w:tblCellMar>
        </w:tblPrEx>
        <w:trPr>
          <w:trHeight w:val="270" w:hRule="atLeast"/>
        </w:trPr>
        <w:tc>
          <w:tcPr>
            <w:tcW w:w="1205" w:type="dxa"/>
            <w:tcBorders>
              <w:top w:val="double" w:color="000000" w:sz="4" w:space="0"/>
              <w:left w:val="nil"/>
              <w:bottom w:val="single" w:color="000000" w:sz="8" w:space="0"/>
              <w:right w:val="single" w:color="000000" w:sz="8" w:space="0"/>
            </w:tcBorders>
            <w:shd w:val="clear" w:color="auto" w:fill="auto"/>
          </w:tcPr>
          <w:p>
            <w:pPr>
              <w:widowControl/>
              <w:textAlignment w:val="top"/>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一级指标</w:t>
            </w:r>
          </w:p>
        </w:tc>
        <w:tc>
          <w:tcPr>
            <w:tcW w:w="955" w:type="dxa"/>
            <w:tcBorders>
              <w:top w:val="double" w:color="000000" w:sz="4" w:space="0"/>
              <w:left w:val="single" w:color="000000" w:sz="8" w:space="0"/>
              <w:bottom w:val="single" w:color="000000" w:sz="8" w:space="0"/>
              <w:right w:val="single" w:color="000000" w:sz="8" w:space="0"/>
            </w:tcBorders>
            <w:shd w:val="clear" w:color="auto" w:fill="auto"/>
          </w:tcPr>
          <w:p>
            <w:pPr>
              <w:widowControl/>
              <w:jc w:val="center"/>
              <w:textAlignment w:val="top"/>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分值</w:t>
            </w:r>
          </w:p>
        </w:tc>
        <w:tc>
          <w:tcPr>
            <w:tcW w:w="1333" w:type="dxa"/>
            <w:tcBorders>
              <w:top w:val="double" w:color="000000" w:sz="4" w:space="0"/>
              <w:left w:val="single" w:color="000000" w:sz="8" w:space="0"/>
              <w:bottom w:val="single" w:color="000000" w:sz="8" w:space="0"/>
              <w:right w:val="single" w:color="000000" w:sz="8" w:space="0"/>
            </w:tcBorders>
            <w:shd w:val="clear" w:color="auto" w:fill="auto"/>
          </w:tcPr>
          <w:p>
            <w:pPr>
              <w:widowControl/>
              <w:jc w:val="center"/>
              <w:textAlignment w:val="top"/>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二级指标</w:t>
            </w:r>
          </w:p>
        </w:tc>
        <w:tc>
          <w:tcPr>
            <w:tcW w:w="827" w:type="dxa"/>
            <w:tcBorders>
              <w:top w:val="double" w:color="000000" w:sz="4"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分值</w:t>
            </w:r>
          </w:p>
        </w:tc>
        <w:tc>
          <w:tcPr>
            <w:tcW w:w="3054" w:type="dxa"/>
            <w:tcBorders>
              <w:top w:val="double" w:color="000000" w:sz="4"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三级指标</w:t>
            </w:r>
          </w:p>
        </w:tc>
        <w:tc>
          <w:tcPr>
            <w:tcW w:w="881" w:type="dxa"/>
            <w:tcBorders>
              <w:top w:val="double" w:color="000000" w:sz="4" w:space="0"/>
              <w:left w:val="single" w:color="000000" w:sz="8" w:space="0"/>
              <w:bottom w:val="single" w:color="000000" w:sz="8" w:space="0"/>
              <w:right w:val="nil"/>
            </w:tcBorders>
            <w:shd w:val="clear" w:color="auto" w:fill="auto"/>
          </w:tcPr>
          <w:p>
            <w:pPr>
              <w:widowControl/>
              <w:jc w:val="center"/>
              <w:textAlignment w:val="top"/>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分值</w:t>
            </w:r>
          </w:p>
        </w:tc>
      </w:tr>
      <w:tr>
        <w:tblPrEx>
          <w:tblCellMar>
            <w:top w:w="0" w:type="dxa"/>
            <w:left w:w="108" w:type="dxa"/>
            <w:bottom w:w="0" w:type="dxa"/>
            <w:right w:w="108" w:type="dxa"/>
          </w:tblCellMar>
        </w:tblPrEx>
        <w:trPr>
          <w:trHeight w:val="450" w:hRule="atLeast"/>
        </w:trPr>
        <w:tc>
          <w:tcPr>
            <w:tcW w:w="1205"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决策</w:t>
            </w:r>
          </w:p>
        </w:tc>
        <w:tc>
          <w:tcPr>
            <w:tcW w:w="955"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30</w:t>
            </w:r>
          </w:p>
        </w:tc>
        <w:tc>
          <w:tcPr>
            <w:tcW w:w="1333"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项目立项</w:t>
            </w:r>
          </w:p>
        </w:tc>
        <w:tc>
          <w:tcPr>
            <w:tcW w:w="827"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10</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立项依据充分性</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立项程序规范性</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45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1333"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绩效目标</w:t>
            </w:r>
          </w:p>
        </w:tc>
        <w:tc>
          <w:tcPr>
            <w:tcW w:w="827"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10</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绩效目标合理性</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绩效指标明确性</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45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1333"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资金投入</w:t>
            </w:r>
          </w:p>
        </w:tc>
        <w:tc>
          <w:tcPr>
            <w:tcW w:w="827"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10</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预算编制科学性</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资金分配合理性</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w:t>
            </w:r>
          </w:p>
        </w:tc>
      </w:tr>
      <w:tr>
        <w:tblPrEx>
          <w:tblCellMar>
            <w:top w:w="0" w:type="dxa"/>
            <w:left w:w="108" w:type="dxa"/>
            <w:bottom w:w="0" w:type="dxa"/>
            <w:right w:w="108" w:type="dxa"/>
          </w:tblCellMar>
        </w:tblPrEx>
        <w:trPr>
          <w:trHeight w:val="300" w:hRule="atLeast"/>
        </w:trPr>
        <w:tc>
          <w:tcPr>
            <w:tcW w:w="1205"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过程</w:t>
            </w:r>
          </w:p>
        </w:tc>
        <w:tc>
          <w:tcPr>
            <w:tcW w:w="955"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28</w:t>
            </w:r>
          </w:p>
        </w:tc>
        <w:tc>
          <w:tcPr>
            <w:tcW w:w="1333"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资金管理</w:t>
            </w:r>
          </w:p>
        </w:tc>
        <w:tc>
          <w:tcPr>
            <w:tcW w:w="827"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资金到位率</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资金拨付及时性</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预算执行率</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资金使用合规性</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绩效自评内容准确完整性</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33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827"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绩效自评结论真实性</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w:t>
            </w:r>
          </w:p>
        </w:tc>
      </w:tr>
      <w:tr>
        <w:tblPrEx>
          <w:tblCellMar>
            <w:top w:w="0" w:type="dxa"/>
            <w:left w:w="108" w:type="dxa"/>
            <w:bottom w:w="0" w:type="dxa"/>
            <w:right w:w="108" w:type="dxa"/>
          </w:tblCellMar>
        </w:tblPrEx>
        <w:trPr>
          <w:trHeight w:val="45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333"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组织实施</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管理制度健全性</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108" w:type="dxa"/>
            <w:bottom w:w="0" w:type="dxa"/>
            <w:right w:w="108" w:type="dxa"/>
          </w:tblCellMar>
        </w:tblPrEx>
        <w:trPr>
          <w:trHeight w:val="320" w:hRule="atLeast"/>
        </w:trPr>
        <w:tc>
          <w:tcPr>
            <w:tcW w:w="1205"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产出</w:t>
            </w:r>
          </w:p>
        </w:tc>
        <w:tc>
          <w:tcPr>
            <w:tcW w:w="955"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22</w:t>
            </w:r>
          </w:p>
        </w:tc>
        <w:tc>
          <w:tcPr>
            <w:tcW w:w="1333"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产出数量</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rPr>
              <w:t>主管项目全覆盖工程</w:t>
            </w:r>
            <w:r>
              <w:rPr>
                <w:rFonts w:hint="eastAsia" w:ascii="仿宋" w:hAnsi="仿宋" w:eastAsia="仿宋" w:cs="仿宋"/>
                <w:color w:val="000000"/>
                <w:kern w:val="0"/>
                <w:sz w:val="24"/>
                <w:szCs w:val="24"/>
              </w:rPr>
              <w:t>数</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w:t>
            </w:r>
          </w:p>
        </w:tc>
      </w:tr>
      <w:tr>
        <w:tblPrEx>
          <w:tblCellMar>
            <w:top w:w="0" w:type="dxa"/>
            <w:left w:w="108" w:type="dxa"/>
            <w:bottom w:w="0" w:type="dxa"/>
            <w:right w:w="108" w:type="dxa"/>
          </w:tblCellMar>
        </w:tblPrEx>
        <w:trPr>
          <w:trHeight w:val="9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1333"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产出质量</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w:t>
            </w:r>
          </w:p>
        </w:tc>
        <w:tc>
          <w:tcPr>
            <w:tcW w:w="3054" w:type="dxa"/>
            <w:tcBorders>
              <w:top w:val="nil"/>
              <w:left w:val="single" w:color="000000" w:sz="8" w:space="0"/>
              <w:bottom w:val="single" w:color="000000" w:sz="8" w:space="0"/>
              <w:right w:val="single" w:color="000000" w:sz="8" w:space="0"/>
            </w:tcBorders>
            <w:shd w:val="clear" w:color="auto" w:fill="auto"/>
            <w:vAlign w:val="top"/>
          </w:tcPr>
          <w:p>
            <w:pPr>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rPr>
              <w:t>验收小组验收</w:t>
            </w:r>
            <w:r>
              <w:rPr>
                <w:rFonts w:hint="eastAsia" w:ascii="仿宋" w:hAnsi="仿宋" w:eastAsia="仿宋" w:cs="仿宋"/>
                <w:color w:val="000000"/>
                <w:kern w:val="0"/>
                <w:sz w:val="24"/>
                <w:szCs w:val="24"/>
                <w:lang w:eastAsia="zh-CN"/>
              </w:rPr>
              <w:t>结果</w:t>
            </w:r>
          </w:p>
        </w:tc>
        <w:tc>
          <w:tcPr>
            <w:tcW w:w="881" w:type="dxa"/>
            <w:tcBorders>
              <w:top w:val="nil"/>
              <w:left w:val="single" w:color="000000" w:sz="8" w:space="0"/>
              <w:bottom w:val="single" w:color="000000" w:sz="8" w:space="0"/>
              <w:right w:val="nil"/>
            </w:tcBorders>
            <w:shd w:val="clear" w:color="auto" w:fill="auto"/>
            <w:vAlign w:val="center"/>
          </w:tcPr>
          <w:p>
            <w:pPr>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1333"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产出时效</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各项任务完成及时性</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1333"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产出成本</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预算控制率</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w:t>
            </w:r>
          </w:p>
        </w:tc>
      </w:tr>
      <w:tr>
        <w:tblPrEx>
          <w:tblCellMar>
            <w:top w:w="0" w:type="dxa"/>
            <w:left w:w="108" w:type="dxa"/>
            <w:bottom w:w="0" w:type="dxa"/>
            <w:right w:w="108" w:type="dxa"/>
          </w:tblCellMar>
        </w:tblPrEx>
        <w:trPr>
          <w:trHeight w:val="460" w:hRule="atLeast"/>
        </w:trPr>
        <w:tc>
          <w:tcPr>
            <w:tcW w:w="1205"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效益</w:t>
            </w:r>
          </w:p>
        </w:tc>
        <w:tc>
          <w:tcPr>
            <w:tcW w:w="955"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20</w:t>
            </w:r>
          </w:p>
        </w:tc>
        <w:tc>
          <w:tcPr>
            <w:tcW w:w="1333"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经济效益</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lang w:val="en-US" w:eastAsia="zh-CN"/>
              </w:rPr>
              <w:t>提高</w:t>
            </w:r>
            <w:r>
              <w:rPr>
                <w:rFonts w:hint="eastAsia" w:ascii="仿宋" w:hAnsi="仿宋" w:eastAsia="仿宋" w:cs="仿宋"/>
                <w:color w:val="000000"/>
                <w:kern w:val="0"/>
                <w:sz w:val="24"/>
                <w:szCs w:val="24"/>
              </w:rPr>
              <w:t>城市功能，支撑县域经济发展</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46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1333"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社会效益</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营造美好、整洁、积极向上的城市氛围</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80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1333"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可持续影响</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推进</w:t>
            </w:r>
            <w:r>
              <w:rPr>
                <w:rFonts w:hint="eastAsia" w:ascii="仿宋" w:hAnsi="仿宋" w:eastAsia="仿宋" w:cs="仿宋"/>
                <w:color w:val="000000"/>
                <w:kern w:val="0"/>
                <w:sz w:val="24"/>
                <w:szCs w:val="24"/>
                <w:lang w:val="en-US" w:eastAsia="zh-CN"/>
              </w:rPr>
              <w:t>饮用水安全工程</w:t>
            </w:r>
            <w:r>
              <w:rPr>
                <w:rFonts w:hint="eastAsia" w:ascii="仿宋" w:hAnsi="仿宋" w:eastAsia="仿宋" w:cs="仿宋"/>
                <w:color w:val="000000"/>
                <w:kern w:val="0"/>
                <w:sz w:val="24"/>
                <w:szCs w:val="24"/>
              </w:rPr>
              <w:t>常态化</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108" w:type="dxa"/>
            <w:bottom w:w="0" w:type="dxa"/>
            <w:right w:w="108" w:type="dxa"/>
          </w:tblCellMar>
        </w:tblPrEx>
        <w:trPr>
          <w:trHeight w:val="270" w:hRule="atLeast"/>
        </w:trPr>
        <w:tc>
          <w:tcPr>
            <w:tcW w:w="120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95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color w:val="000000"/>
                <w:sz w:val="24"/>
                <w:szCs w:val="24"/>
              </w:rPr>
            </w:pPr>
          </w:p>
        </w:tc>
        <w:tc>
          <w:tcPr>
            <w:tcW w:w="1333"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满意度</w:t>
            </w:r>
          </w:p>
        </w:tc>
        <w:tc>
          <w:tcPr>
            <w:tcW w:w="827"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val="en-US" w:eastAsia="zh-CN"/>
              </w:rPr>
              <w:t>5</w:t>
            </w:r>
          </w:p>
        </w:tc>
        <w:tc>
          <w:tcPr>
            <w:tcW w:w="3054"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群众满意度</w:t>
            </w:r>
          </w:p>
        </w:tc>
        <w:tc>
          <w:tcPr>
            <w:tcW w:w="881"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w:t>
            </w:r>
          </w:p>
        </w:tc>
      </w:tr>
      <w:tr>
        <w:tblPrEx>
          <w:tblCellMar>
            <w:top w:w="0" w:type="dxa"/>
            <w:left w:w="108" w:type="dxa"/>
            <w:bottom w:w="0" w:type="dxa"/>
            <w:right w:w="108" w:type="dxa"/>
          </w:tblCellMar>
        </w:tblPrEx>
        <w:trPr>
          <w:trHeight w:val="270" w:hRule="atLeast"/>
        </w:trPr>
        <w:tc>
          <w:tcPr>
            <w:tcW w:w="1205" w:type="dxa"/>
            <w:tcBorders>
              <w:top w:val="nil"/>
              <w:left w:val="nil"/>
              <w:bottom w:val="double" w:color="000000" w:sz="4" w:space="0"/>
              <w:right w:val="single" w:color="000000" w:sz="8" w:space="0"/>
            </w:tcBorders>
            <w:shd w:val="clear" w:color="auto" w:fill="auto"/>
            <w:vAlign w:val="center"/>
          </w:tcPr>
          <w:p>
            <w:pPr>
              <w:widowControl/>
              <w:jc w:val="center"/>
              <w:textAlignment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合计</w:t>
            </w:r>
          </w:p>
        </w:tc>
        <w:tc>
          <w:tcPr>
            <w:tcW w:w="955" w:type="dxa"/>
            <w:tcBorders>
              <w:top w:val="nil"/>
              <w:left w:val="single" w:color="000000" w:sz="8" w:space="0"/>
              <w:bottom w:val="double" w:color="000000" w:sz="4" w:space="0"/>
              <w:right w:val="single" w:color="000000" w:sz="8" w:space="0"/>
            </w:tcBorders>
            <w:shd w:val="clear" w:color="auto" w:fill="auto"/>
            <w:vAlign w:val="center"/>
          </w:tcPr>
          <w:p>
            <w:pPr>
              <w:widowControl/>
              <w:jc w:val="center"/>
              <w:textAlignment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100</w:t>
            </w:r>
          </w:p>
        </w:tc>
        <w:tc>
          <w:tcPr>
            <w:tcW w:w="1333" w:type="dxa"/>
            <w:tcBorders>
              <w:top w:val="nil"/>
              <w:left w:val="single" w:color="000000" w:sz="8" w:space="0"/>
              <w:bottom w:val="double" w:color="000000" w:sz="4" w:space="0"/>
              <w:right w:val="single" w:color="000000" w:sz="8" w:space="0"/>
            </w:tcBorders>
            <w:shd w:val="clear" w:color="auto" w:fill="auto"/>
            <w:vAlign w:val="center"/>
          </w:tcPr>
          <w:p>
            <w:pPr>
              <w:jc w:val="center"/>
              <w:rPr>
                <w:rFonts w:ascii="Times New Roman" w:hAnsi="Times New Roman" w:eastAsia="宋体" w:cs="Times New Roman"/>
                <w:b/>
                <w:bCs/>
                <w:color w:val="000000"/>
                <w:sz w:val="16"/>
                <w:szCs w:val="16"/>
              </w:rPr>
            </w:pPr>
          </w:p>
        </w:tc>
        <w:tc>
          <w:tcPr>
            <w:tcW w:w="827" w:type="dxa"/>
            <w:tcBorders>
              <w:top w:val="nil"/>
              <w:left w:val="single" w:color="000000" w:sz="8" w:space="0"/>
              <w:bottom w:val="double" w:color="000000" w:sz="4" w:space="0"/>
              <w:right w:val="single" w:color="000000" w:sz="8" w:space="0"/>
            </w:tcBorders>
            <w:shd w:val="clear" w:color="auto" w:fill="auto"/>
            <w:vAlign w:val="center"/>
          </w:tcPr>
          <w:p>
            <w:pPr>
              <w:widowControl/>
              <w:jc w:val="center"/>
              <w:textAlignment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100</w:t>
            </w:r>
          </w:p>
        </w:tc>
        <w:tc>
          <w:tcPr>
            <w:tcW w:w="3054" w:type="dxa"/>
            <w:tcBorders>
              <w:top w:val="nil"/>
              <w:left w:val="single" w:color="000000" w:sz="8" w:space="0"/>
              <w:bottom w:val="double" w:color="000000" w:sz="4" w:space="0"/>
              <w:right w:val="single" w:color="000000" w:sz="8" w:space="0"/>
            </w:tcBorders>
            <w:shd w:val="clear" w:color="auto" w:fill="auto"/>
            <w:vAlign w:val="center"/>
          </w:tcPr>
          <w:p>
            <w:pPr>
              <w:jc w:val="center"/>
              <w:rPr>
                <w:rFonts w:ascii="Times New Roman" w:hAnsi="Times New Roman" w:eastAsia="宋体" w:cs="Times New Roman"/>
                <w:b/>
                <w:bCs/>
                <w:color w:val="000000"/>
                <w:sz w:val="16"/>
                <w:szCs w:val="16"/>
              </w:rPr>
            </w:pPr>
          </w:p>
        </w:tc>
        <w:tc>
          <w:tcPr>
            <w:tcW w:w="881" w:type="dxa"/>
            <w:tcBorders>
              <w:top w:val="nil"/>
              <w:left w:val="single" w:color="000000" w:sz="8" w:space="0"/>
              <w:bottom w:val="double" w:color="000000" w:sz="4" w:space="0"/>
              <w:right w:val="nil"/>
            </w:tcBorders>
            <w:shd w:val="clear" w:color="auto" w:fill="auto"/>
            <w:vAlign w:val="center"/>
          </w:tcPr>
          <w:p>
            <w:pPr>
              <w:widowControl/>
              <w:jc w:val="center"/>
              <w:textAlignment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rPr>
              <w:t>100</w:t>
            </w:r>
          </w:p>
        </w:tc>
      </w:tr>
    </w:tbl>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3、评价方法</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本次绩效评价主要采用比较法、因素分析法等。</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比较法：通过对绩效目标与实施效果比较，指标制定上定量与定性相结合，优先定量，综合分析绩效目标实现程度。</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因素分析法：通过综合分析影响绩效目标实现、实施效果的内外因素，评价绩效目标实现程度。</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公众评判法通过专家评估、公众问卷及抽样调査等对专项资金效果、服务对象满意度、环境效益及可持续性等方面进行评判，评价绩效目标实现程度。</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4、评价标准</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本次绩效评价采用计划标准。</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5、评价等级</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绩效评价结果采取评分和评级相结合的方式，本项目具体分值和等级的设定：总分设置为100分，等级划分为四档： 90(含）-100 分为优、80 (含）- 90分为良、 60(含）-80分为中、 60分以下为差。</w:t>
      </w:r>
    </w:p>
    <w:p>
      <w:pPr>
        <w:spacing w:line="560" w:lineRule="exact"/>
        <w:ind w:firstLine="240" w:firstLineChars="100"/>
        <w:outlineLvl w:val="1"/>
        <w:rPr>
          <w:rFonts w:hint="eastAsia" w:ascii="仿宋" w:hAnsi="仿宋" w:eastAsia="仿宋" w:cs="仿宋"/>
          <w:sz w:val="24"/>
          <w:szCs w:val="24"/>
        </w:rPr>
      </w:pPr>
      <w:r>
        <w:rPr>
          <w:rFonts w:hint="eastAsia" w:ascii="仿宋" w:hAnsi="仿宋" w:eastAsia="仿宋" w:cs="仿宋"/>
          <w:sz w:val="24"/>
          <w:szCs w:val="24"/>
        </w:rPr>
        <w:t>（三）绩效评价工作过程</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1.了解项目概况</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评价工作组与项目实施单位及相关人员初步沟通项目背景、预算申请及批复、绩效目标、目前的开展进度。</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2.制定评价实施方案</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评价小组从目标要求、工作内容、方式方法、时间进度及工作步骤等方面做出具体明确的计划，为绩效评价工作的组织实施提供指引。</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3.基础数据采集，设定绩效评价指标体系</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查阅项目申报书及申报年度预算的相关资料、项目相关文件、财务凭证附件、项目执行情况报告、项目年度工作总结等资料，询问项目实施跟进的相关人员，查看项目工作台账、支出财务明细账、项目资金到位凭证、项目预算调整文件、相关管理制度等。结合项目具体情况，设计绩效评价指标体系，征求被评价单位意见，确定项目绩效评价指标体系。</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4.资料数据分析</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价工作组成员将收集到的资料进行分类汇总，对照工作方案和绩效评价指标体系，核实资料的准确性、完整性以及相关性，并在现场与相关项目责任人进行充分沟通、查阅文件、形成工作底稿，并结合绩效评价体系中对应指标进行初步评分。</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5.数据汇总撰写报告</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根据绩效评价的原理和规范，对采集的数据进行处理、分析和评分，并得出评价结论撰写报告。</w:t>
      </w:r>
    </w:p>
    <w:p>
      <w:pPr>
        <w:spacing w:line="560" w:lineRule="exact"/>
        <w:ind w:firstLine="482" w:firstLineChars="200"/>
        <w:outlineLvl w:val="0"/>
        <w:rPr>
          <w:rFonts w:ascii="黑体" w:hAnsi="黑体" w:eastAsia="黑体" w:cs="Times New Roman"/>
          <w:b/>
          <w:bCs/>
          <w:sz w:val="24"/>
          <w:szCs w:val="24"/>
        </w:rPr>
      </w:pPr>
      <w:r>
        <w:rPr>
          <w:rFonts w:hint="eastAsia" w:ascii="黑体" w:hAnsi="黑体" w:eastAsia="黑体" w:cs="Times New Roman"/>
          <w:b/>
          <w:bCs/>
          <w:sz w:val="24"/>
          <w:szCs w:val="24"/>
        </w:rPr>
        <w:t>三、综合评价情况及评价结论</w:t>
      </w:r>
    </w:p>
    <w:p>
      <w:pPr>
        <w:spacing w:line="560" w:lineRule="exact"/>
        <w:ind w:firstLine="480" w:firstLineChars="200"/>
        <w:outlineLvl w:val="1"/>
        <w:rPr>
          <w:rFonts w:hint="eastAsia" w:ascii="仿宋" w:hAnsi="仿宋" w:eastAsia="仿宋" w:cs="仿宋"/>
          <w:sz w:val="24"/>
          <w:szCs w:val="24"/>
        </w:rPr>
      </w:pPr>
      <w:r>
        <w:rPr>
          <w:rFonts w:hint="eastAsia" w:ascii="仿宋" w:hAnsi="仿宋" w:eastAsia="仿宋" w:cs="仿宋"/>
          <w:sz w:val="24"/>
          <w:szCs w:val="24"/>
        </w:rPr>
        <w:t>（一）综合评价情况</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项目组通过对项目决策、过程、产出、效益进行评价，认为202</w:t>
      </w:r>
      <w:r>
        <w:rPr>
          <w:rFonts w:hint="eastAsia" w:ascii="仿宋" w:hAnsi="仿宋" w:eastAsia="仿宋" w:cs="仿宋"/>
          <w:sz w:val="24"/>
          <w:szCs w:val="24"/>
          <w:lang w:val="en-US" w:eastAsia="zh-CN"/>
        </w:rPr>
        <w:t>2</w:t>
      </w:r>
      <w:r>
        <w:rPr>
          <w:rFonts w:hint="eastAsia" w:ascii="仿宋" w:hAnsi="仿宋" w:eastAsia="仿宋" w:cs="仿宋"/>
          <w:sz w:val="24"/>
          <w:szCs w:val="24"/>
        </w:rPr>
        <w:t>年度</w:t>
      </w:r>
      <w:r>
        <w:rPr>
          <w:rFonts w:hint="eastAsia" w:ascii="仿宋" w:hAnsi="仿宋" w:eastAsia="仿宋" w:cs="仿宋"/>
          <w:sz w:val="24"/>
          <w:szCs w:val="24"/>
          <w:lang w:val="en-US" w:eastAsia="zh-CN"/>
        </w:rPr>
        <w:t>居民饮用水安全工程项目支出</w:t>
      </w:r>
      <w:r>
        <w:rPr>
          <w:rFonts w:hint="eastAsia" w:ascii="仿宋" w:hAnsi="仿宋" w:eastAsia="仿宋" w:cs="仿宋"/>
          <w:sz w:val="24"/>
          <w:szCs w:val="24"/>
        </w:rPr>
        <w:t>立项依据</w:t>
      </w:r>
      <w:r>
        <w:rPr>
          <w:rFonts w:hint="eastAsia" w:ascii="仿宋" w:hAnsi="仿宋" w:eastAsia="仿宋" w:cs="仿宋"/>
          <w:sz w:val="24"/>
          <w:szCs w:val="24"/>
          <w:lang w:val="en-US" w:eastAsia="zh-CN"/>
        </w:rPr>
        <w:t>不太</w:t>
      </w:r>
      <w:r>
        <w:rPr>
          <w:rFonts w:hint="eastAsia" w:ascii="仿宋" w:hAnsi="仿宋" w:eastAsia="仿宋" w:cs="仿宋"/>
          <w:sz w:val="24"/>
          <w:szCs w:val="24"/>
        </w:rPr>
        <w:t>充分，立项程序规范，绩效目标设置</w:t>
      </w:r>
      <w:r>
        <w:rPr>
          <w:rFonts w:hint="eastAsia" w:ascii="仿宋" w:hAnsi="仿宋" w:eastAsia="仿宋" w:cs="仿宋"/>
          <w:sz w:val="24"/>
          <w:szCs w:val="24"/>
          <w:lang w:val="en-US" w:eastAsia="zh-CN"/>
        </w:rPr>
        <w:t>不尽</w:t>
      </w:r>
      <w:r>
        <w:rPr>
          <w:rFonts w:hint="eastAsia" w:ascii="仿宋" w:hAnsi="仿宋" w:eastAsia="仿宋" w:cs="仿宋"/>
          <w:sz w:val="24"/>
          <w:szCs w:val="24"/>
        </w:rPr>
        <w:t>合理，资金到位及时、</w:t>
      </w:r>
      <w:r>
        <w:rPr>
          <w:rFonts w:hint="eastAsia" w:ascii="仿宋" w:hAnsi="仿宋" w:eastAsia="仿宋" w:cs="仿宋"/>
          <w:sz w:val="24"/>
          <w:szCs w:val="24"/>
          <w:lang w:val="en-US" w:eastAsia="zh-CN"/>
        </w:rPr>
        <w:t>拨付不及时，</w:t>
      </w:r>
      <w:r>
        <w:rPr>
          <w:rFonts w:hint="eastAsia" w:ascii="仿宋" w:hAnsi="仿宋" w:eastAsia="仿宋" w:cs="仿宋"/>
          <w:sz w:val="24"/>
          <w:szCs w:val="24"/>
        </w:rPr>
        <w:t>使用</w:t>
      </w:r>
      <w:r>
        <w:rPr>
          <w:rFonts w:hint="eastAsia" w:ascii="仿宋" w:hAnsi="仿宋" w:eastAsia="仿宋" w:cs="仿宋"/>
          <w:sz w:val="24"/>
          <w:szCs w:val="24"/>
          <w:lang w:val="en-US" w:eastAsia="zh-CN"/>
        </w:rPr>
        <w:t>未完全按</w:t>
      </w:r>
      <w:r>
        <w:rPr>
          <w:rFonts w:hint="eastAsia" w:ascii="仿宋" w:hAnsi="仿宋" w:eastAsia="仿宋" w:cs="仿宋"/>
          <w:sz w:val="24"/>
          <w:szCs w:val="24"/>
        </w:rPr>
        <w:t>合</w:t>
      </w:r>
      <w:r>
        <w:rPr>
          <w:rFonts w:hint="eastAsia" w:ascii="仿宋" w:hAnsi="仿宋" w:eastAsia="仿宋" w:cs="仿宋"/>
          <w:sz w:val="24"/>
          <w:szCs w:val="24"/>
          <w:lang w:val="en-US" w:eastAsia="zh-CN"/>
        </w:rPr>
        <w:t>同执行</w:t>
      </w:r>
      <w:r>
        <w:rPr>
          <w:rFonts w:hint="eastAsia" w:ascii="仿宋" w:hAnsi="仿宋" w:eastAsia="仿宋" w:cs="仿宋"/>
          <w:sz w:val="24"/>
          <w:szCs w:val="24"/>
        </w:rPr>
        <w:t>，管理制度健全，基本得到有效执行，项目产出完成情况</w:t>
      </w:r>
      <w:r>
        <w:rPr>
          <w:rFonts w:hint="eastAsia" w:ascii="仿宋" w:hAnsi="仿宋" w:eastAsia="仿宋" w:cs="仿宋"/>
          <w:sz w:val="24"/>
          <w:szCs w:val="24"/>
          <w:lang w:val="en-US" w:eastAsia="zh-CN"/>
        </w:rPr>
        <w:t>一般，有验收结果但没有竣工</w:t>
      </w:r>
      <w:r>
        <w:rPr>
          <w:rFonts w:hint="eastAsia" w:ascii="仿宋" w:hAnsi="仿宋" w:eastAsia="仿宋" w:cs="仿宋"/>
          <w:sz w:val="24"/>
          <w:szCs w:val="24"/>
        </w:rPr>
        <w:t>，取得了</w:t>
      </w:r>
      <w:r>
        <w:rPr>
          <w:rFonts w:hint="eastAsia" w:ascii="仿宋" w:hAnsi="仿宋" w:eastAsia="仿宋" w:cs="仿宋"/>
          <w:sz w:val="24"/>
          <w:szCs w:val="24"/>
          <w:lang w:val="en-US" w:eastAsia="zh-CN"/>
        </w:rPr>
        <w:t>一定</w:t>
      </w:r>
      <w:r>
        <w:rPr>
          <w:rFonts w:hint="eastAsia" w:ascii="仿宋" w:hAnsi="仿宋" w:eastAsia="仿宋" w:cs="仿宋"/>
          <w:sz w:val="24"/>
          <w:szCs w:val="24"/>
        </w:rPr>
        <w:t>的社会、经济和生态效益，服务对象满意度</w:t>
      </w:r>
      <w:r>
        <w:rPr>
          <w:rFonts w:hint="eastAsia" w:ascii="仿宋" w:hAnsi="仿宋" w:eastAsia="仿宋" w:cs="仿宋"/>
          <w:sz w:val="24"/>
          <w:szCs w:val="24"/>
          <w:lang w:val="en-US" w:eastAsia="zh-CN"/>
        </w:rPr>
        <w:t>一般</w:t>
      </w: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 </w:t>
      </w:r>
    </w:p>
    <w:p>
      <w:pPr>
        <w:spacing w:line="560" w:lineRule="exact"/>
        <w:ind w:firstLine="480" w:firstLineChars="200"/>
        <w:outlineLvl w:val="1"/>
        <w:rPr>
          <w:rFonts w:hint="eastAsia" w:ascii="仿宋" w:hAnsi="仿宋" w:eastAsia="仿宋" w:cs="仿宋"/>
          <w:sz w:val="24"/>
          <w:szCs w:val="24"/>
        </w:rPr>
      </w:pPr>
      <w:r>
        <w:rPr>
          <w:rFonts w:hint="eastAsia" w:ascii="仿宋" w:hAnsi="仿宋" w:eastAsia="仿宋" w:cs="仿宋"/>
          <w:sz w:val="24"/>
          <w:szCs w:val="24"/>
        </w:rPr>
        <w:t>（二）评价结论</w:t>
      </w:r>
    </w:p>
    <w:tbl>
      <w:tblPr>
        <w:tblStyle w:val="8"/>
        <w:tblpPr w:leftFromText="180" w:rightFromText="180" w:vertAnchor="text" w:horzAnchor="page" w:tblpX="2022" w:tblpY="1089"/>
        <w:tblOverlap w:val="never"/>
        <w:tblW w:w="8520" w:type="dxa"/>
        <w:tblInd w:w="0" w:type="dxa"/>
        <w:tblLayout w:type="autofit"/>
        <w:tblCellMar>
          <w:top w:w="0" w:type="dxa"/>
          <w:left w:w="0" w:type="dxa"/>
          <w:bottom w:w="0" w:type="dxa"/>
          <w:right w:w="0" w:type="dxa"/>
        </w:tblCellMar>
      </w:tblPr>
      <w:tblGrid>
        <w:gridCol w:w="1385"/>
        <w:gridCol w:w="1282"/>
        <w:gridCol w:w="1543"/>
        <w:gridCol w:w="1626"/>
        <w:gridCol w:w="1220"/>
        <w:gridCol w:w="1464"/>
      </w:tblGrid>
      <w:tr>
        <w:tblPrEx>
          <w:tblCellMar>
            <w:top w:w="0" w:type="dxa"/>
            <w:left w:w="0" w:type="dxa"/>
            <w:bottom w:w="0" w:type="dxa"/>
            <w:right w:w="0" w:type="dxa"/>
          </w:tblCellMar>
        </w:tblPrEx>
        <w:trPr>
          <w:trHeight w:val="90" w:hRule="atLeast"/>
        </w:trPr>
        <w:tc>
          <w:tcPr>
            <w:tcW w:w="138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评价指标</w:t>
            </w:r>
          </w:p>
        </w:tc>
        <w:tc>
          <w:tcPr>
            <w:tcW w:w="128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权重</w:t>
            </w:r>
          </w:p>
        </w:tc>
        <w:tc>
          <w:tcPr>
            <w:tcW w:w="154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评级分值</w:t>
            </w:r>
          </w:p>
        </w:tc>
        <w:tc>
          <w:tcPr>
            <w:tcW w:w="1626"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本项目得分</w:t>
            </w:r>
          </w:p>
        </w:tc>
        <w:tc>
          <w:tcPr>
            <w:tcW w:w="122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widowControl/>
              <w:spacing w:line="56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得分率</w:t>
            </w:r>
          </w:p>
        </w:tc>
        <w:tc>
          <w:tcPr>
            <w:tcW w:w="1464"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绩效评价</w:t>
            </w:r>
          </w:p>
        </w:tc>
      </w:tr>
      <w:tr>
        <w:tblPrEx>
          <w:tblCellMar>
            <w:top w:w="0" w:type="dxa"/>
            <w:left w:w="0" w:type="dxa"/>
            <w:bottom w:w="0" w:type="dxa"/>
            <w:right w:w="0" w:type="dxa"/>
          </w:tblCellMar>
        </w:tblPrEx>
        <w:trPr>
          <w:trHeight w:val="354" w:hRule="atLeast"/>
        </w:trPr>
        <w:tc>
          <w:tcPr>
            <w:tcW w:w="138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决策</w:t>
            </w:r>
          </w:p>
        </w:tc>
        <w:tc>
          <w:tcPr>
            <w:tcW w:w="1282"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30%</w:t>
            </w:r>
          </w:p>
        </w:tc>
        <w:tc>
          <w:tcPr>
            <w:tcW w:w="154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ind w:firstLine="480" w:firstLineChars="200"/>
              <w:jc w:val="both"/>
              <w:rPr>
                <w:rFonts w:hint="eastAsia" w:ascii="仿宋" w:hAnsi="仿宋" w:eastAsia="仿宋" w:cs="仿宋"/>
                <w:kern w:val="0"/>
                <w:sz w:val="24"/>
                <w:szCs w:val="24"/>
              </w:rPr>
            </w:pPr>
            <w:r>
              <w:rPr>
                <w:rFonts w:hint="eastAsia" w:ascii="仿宋" w:hAnsi="仿宋" w:eastAsia="仿宋" w:cs="仿宋"/>
                <w:kern w:val="0"/>
                <w:sz w:val="24"/>
                <w:szCs w:val="24"/>
              </w:rPr>
              <w:t>30</w:t>
            </w:r>
          </w:p>
        </w:tc>
        <w:tc>
          <w:tcPr>
            <w:tcW w:w="162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18</w:t>
            </w:r>
          </w:p>
        </w:tc>
        <w:tc>
          <w:tcPr>
            <w:tcW w:w="122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60%</w:t>
            </w:r>
          </w:p>
        </w:tc>
        <w:tc>
          <w:tcPr>
            <w:tcW w:w="1464"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合规可行</w:t>
            </w:r>
          </w:p>
        </w:tc>
      </w:tr>
      <w:tr>
        <w:tblPrEx>
          <w:tblCellMar>
            <w:top w:w="0" w:type="dxa"/>
            <w:left w:w="0" w:type="dxa"/>
            <w:bottom w:w="0" w:type="dxa"/>
            <w:right w:w="0" w:type="dxa"/>
          </w:tblCellMar>
        </w:tblPrEx>
        <w:trPr>
          <w:trHeight w:val="556" w:hRule="atLeast"/>
        </w:trPr>
        <w:tc>
          <w:tcPr>
            <w:tcW w:w="138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9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过程</w:t>
            </w:r>
          </w:p>
        </w:tc>
        <w:tc>
          <w:tcPr>
            <w:tcW w:w="1282"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9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2</w:t>
            </w:r>
            <w:r>
              <w:rPr>
                <w:rFonts w:hint="eastAsia" w:ascii="仿宋" w:hAnsi="仿宋" w:eastAsia="仿宋" w:cs="仿宋"/>
                <w:kern w:val="0"/>
                <w:sz w:val="24"/>
                <w:szCs w:val="24"/>
                <w:lang w:val="en-US" w:eastAsia="zh-CN"/>
              </w:rPr>
              <w:t>8</w:t>
            </w:r>
            <w:r>
              <w:rPr>
                <w:rFonts w:hint="eastAsia" w:ascii="仿宋" w:hAnsi="仿宋" w:eastAsia="仿宋" w:cs="仿宋"/>
                <w:kern w:val="0"/>
                <w:sz w:val="24"/>
                <w:szCs w:val="24"/>
              </w:rPr>
              <w:t>%</w:t>
            </w:r>
          </w:p>
        </w:tc>
        <w:tc>
          <w:tcPr>
            <w:tcW w:w="154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90" w:lineRule="atLeast"/>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2</w:t>
            </w:r>
            <w:r>
              <w:rPr>
                <w:rFonts w:hint="eastAsia" w:ascii="仿宋" w:hAnsi="仿宋" w:eastAsia="仿宋" w:cs="仿宋"/>
                <w:kern w:val="0"/>
                <w:sz w:val="24"/>
                <w:szCs w:val="24"/>
                <w:lang w:val="en-US" w:eastAsia="zh-CN"/>
              </w:rPr>
              <w:t>8</w:t>
            </w:r>
          </w:p>
        </w:tc>
        <w:tc>
          <w:tcPr>
            <w:tcW w:w="162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9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15</w:t>
            </w:r>
          </w:p>
        </w:tc>
        <w:tc>
          <w:tcPr>
            <w:tcW w:w="122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9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53.57%</w:t>
            </w:r>
          </w:p>
        </w:tc>
        <w:tc>
          <w:tcPr>
            <w:tcW w:w="1464"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90" w:lineRule="atLeast"/>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管理</w:t>
            </w:r>
            <w:r>
              <w:rPr>
                <w:rFonts w:hint="eastAsia" w:ascii="仿宋" w:hAnsi="仿宋" w:eastAsia="仿宋" w:cs="仿宋"/>
                <w:kern w:val="0"/>
                <w:sz w:val="24"/>
                <w:szCs w:val="24"/>
                <w:lang w:val="en-US" w:eastAsia="zh-CN"/>
              </w:rPr>
              <w:t>一般</w:t>
            </w:r>
          </w:p>
        </w:tc>
      </w:tr>
      <w:tr>
        <w:tblPrEx>
          <w:tblCellMar>
            <w:top w:w="0" w:type="dxa"/>
            <w:left w:w="0" w:type="dxa"/>
            <w:bottom w:w="0" w:type="dxa"/>
            <w:right w:w="0" w:type="dxa"/>
          </w:tblCellMar>
        </w:tblPrEx>
        <w:trPr>
          <w:trHeight w:val="565" w:hRule="atLeast"/>
        </w:trPr>
        <w:tc>
          <w:tcPr>
            <w:tcW w:w="138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产出</w:t>
            </w:r>
          </w:p>
        </w:tc>
        <w:tc>
          <w:tcPr>
            <w:tcW w:w="1282"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22</w:t>
            </w:r>
            <w:r>
              <w:rPr>
                <w:rFonts w:hint="eastAsia" w:ascii="仿宋" w:hAnsi="仿宋" w:eastAsia="仿宋" w:cs="仿宋"/>
                <w:kern w:val="0"/>
                <w:sz w:val="24"/>
                <w:szCs w:val="24"/>
              </w:rPr>
              <w:t>%</w:t>
            </w:r>
          </w:p>
        </w:tc>
        <w:tc>
          <w:tcPr>
            <w:tcW w:w="154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22</w:t>
            </w:r>
          </w:p>
        </w:tc>
        <w:tc>
          <w:tcPr>
            <w:tcW w:w="162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15</w:t>
            </w:r>
          </w:p>
        </w:tc>
        <w:tc>
          <w:tcPr>
            <w:tcW w:w="122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68.18%</w:t>
            </w:r>
          </w:p>
        </w:tc>
        <w:tc>
          <w:tcPr>
            <w:tcW w:w="1464"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rPr>
              <w:t>产出</w:t>
            </w:r>
            <w:r>
              <w:rPr>
                <w:rFonts w:hint="eastAsia" w:ascii="仿宋" w:hAnsi="仿宋" w:eastAsia="仿宋" w:cs="仿宋"/>
                <w:kern w:val="0"/>
                <w:sz w:val="24"/>
                <w:szCs w:val="24"/>
                <w:lang w:val="en-US" w:eastAsia="zh-CN"/>
              </w:rPr>
              <w:t>一般</w:t>
            </w:r>
          </w:p>
        </w:tc>
      </w:tr>
      <w:tr>
        <w:tblPrEx>
          <w:tblCellMar>
            <w:top w:w="0" w:type="dxa"/>
            <w:left w:w="0" w:type="dxa"/>
            <w:bottom w:w="0" w:type="dxa"/>
            <w:right w:w="0" w:type="dxa"/>
          </w:tblCellMar>
        </w:tblPrEx>
        <w:tc>
          <w:tcPr>
            <w:tcW w:w="138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效益</w:t>
            </w:r>
          </w:p>
        </w:tc>
        <w:tc>
          <w:tcPr>
            <w:tcW w:w="1282"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154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162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w:t>
            </w:r>
          </w:p>
        </w:tc>
        <w:tc>
          <w:tcPr>
            <w:tcW w:w="122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50%</w:t>
            </w:r>
          </w:p>
        </w:tc>
        <w:tc>
          <w:tcPr>
            <w:tcW w:w="1464"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rPr>
              <w:t>效果</w:t>
            </w:r>
            <w:r>
              <w:rPr>
                <w:rFonts w:hint="eastAsia" w:ascii="仿宋" w:hAnsi="仿宋" w:eastAsia="仿宋" w:cs="仿宋"/>
                <w:kern w:val="0"/>
                <w:sz w:val="24"/>
                <w:szCs w:val="24"/>
                <w:lang w:val="en-US" w:eastAsia="zh-CN"/>
              </w:rPr>
              <w:t>一般</w:t>
            </w:r>
          </w:p>
        </w:tc>
      </w:tr>
      <w:tr>
        <w:tblPrEx>
          <w:tblCellMar>
            <w:top w:w="0" w:type="dxa"/>
            <w:left w:w="0" w:type="dxa"/>
            <w:bottom w:w="0" w:type="dxa"/>
            <w:right w:w="0" w:type="dxa"/>
          </w:tblCellMar>
        </w:tblPrEx>
        <w:tc>
          <w:tcPr>
            <w:tcW w:w="138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合计</w:t>
            </w:r>
          </w:p>
        </w:tc>
        <w:tc>
          <w:tcPr>
            <w:tcW w:w="1282"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100%</w:t>
            </w:r>
          </w:p>
        </w:tc>
        <w:tc>
          <w:tcPr>
            <w:tcW w:w="154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eastAsia" w:ascii="仿宋" w:hAnsi="仿宋" w:eastAsia="仿宋" w:cs="仿宋"/>
                <w:kern w:val="0"/>
                <w:sz w:val="24"/>
                <w:szCs w:val="24"/>
              </w:rPr>
            </w:pPr>
            <w:r>
              <w:rPr>
                <w:rFonts w:hint="eastAsia" w:ascii="仿宋" w:hAnsi="仿宋" w:eastAsia="仿宋" w:cs="仿宋"/>
                <w:kern w:val="0"/>
                <w:sz w:val="24"/>
                <w:szCs w:val="24"/>
              </w:rPr>
              <w:t>100</w:t>
            </w:r>
          </w:p>
        </w:tc>
        <w:tc>
          <w:tcPr>
            <w:tcW w:w="162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58</w:t>
            </w:r>
          </w:p>
        </w:tc>
        <w:tc>
          <w:tcPr>
            <w:tcW w:w="122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58%</w:t>
            </w:r>
          </w:p>
        </w:tc>
        <w:tc>
          <w:tcPr>
            <w:tcW w:w="1464"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56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差</w:t>
            </w:r>
          </w:p>
        </w:tc>
      </w:tr>
    </w:tbl>
    <w:p>
      <w:pPr>
        <w:spacing w:line="560" w:lineRule="exact"/>
        <w:ind w:left="239" w:leftChars="114" w:firstLine="480"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根据评价指标体系对本项目的绩效进行评价，本项目综合评价得分</w:t>
      </w:r>
      <w:r>
        <w:rPr>
          <w:rFonts w:hint="eastAsia" w:ascii="仿宋_GB2312" w:eastAsia="仿宋_GB2312" w:cs="Times New Roman"/>
          <w:sz w:val="24"/>
          <w:szCs w:val="24"/>
          <w:lang w:val="en-US" w:eastAsia="zh-CN"/>
        </w:rPr>
        <w:t>58</w:t>
      </w:r>
      <w:r>
        <w:rPr>
          <w:rFonts w:hint="eastAsia" w:ascii="仿宋_GB2312" w:hAnsi="Times New Roman" w:eastAsia="仿宋_GB2312" w:cs="Times New Roman"/>
          <w:sz w:val="24"/>
          <w:szCs w:val="24"/>
        </w:rPr>
        <w:t>分，</w:t>
      </w:r>
      <w:r>
        <w:rPr>
          <w:rFonts w:hint="eastAsia" w:ascii="仿宋" w:hAnsi="仿宋" w:eastAsia="仿宋" w:cs="仿宋"/>
          <w:sz w:val="24"/>
          <w:szCs w:val="24"/>
        </w:rPr>
        <w:t>评价等级为“</w:t>
      </w:r>
      <w:r>
        <w:rPr>
          <w:rFonts w:hint="eastAsia" w:ascii="仿宋" w:hAnsi="仿宋" w:eastAsia="仿宋" w:cs="仿宋"/>
          <w:sz w:val="24"/>
          <w:szCs w:val="24"/>
          <w:lang w:val="en-US" w:eastAsia="zh-CN"/>
        </w:rPr>
        <w:t>差</w:t>
      </w:r>
      <w:r>
        <w:rPr>
          <w:rFonts w:hint="eastAsia" w:ascii="仿宋" w:hAnsi="仿宋" w:eastAsia="仿宋" w:cs="仿宋"/>
          <w:sz w:val="24"/>
          <w:szCs w:val="24"/>
        </w:rPr>
        <w:t>”。</w:t>
      </w:r>
    </w:p>
    <w:p>
      <w:pPr>
        <w:spacing w:line="560" w:lineRule="exact"/>
        <w:ind w:firstLine="482" w:firstLineChars="200"/>
        <w:outlineLvl w:val="0"/>
        <w:rPr>
          <w:rFonts w:ascii="黑体" w:hAnsi="黑体" w:eastAsia="黑体" w:cs="Times New Roman"/>
          <w:b/>
          <w:bCs/>
          <w:sz w:val="24"/>
          <w:szCs w:val="24"/>
        </w:rPr>
      </w:pPr>
      <w:r>
        <w:rPr>
          <w:rFonts w:hint="eastAsia" w:ascii="黑体" w:hAnsi="黑体" w:eastAsia="黑体" w:cs="Times New Roman"/>
          <w:b/>
          <w:bCs/>
          <w:sz w:val="24"/>
          <w:szCs w:val="24"/>
        </w:rPr>
        <w:t>四、绩效评价指标分析</w:t>
      </w:r>
    </w:p>
    <w:p>
      <w:pPr>
        <w:widowControl/>
        <w:shd w:val="clear" w:color="auto" w:fill="FFFFFF"/>
        <w:spacing w:line="560" w:lineRule="atLeast"/>
        <w:ind w:firstLine="240" w:firstLineChars="100"/>
        <w:jc w:val="left"/>
        <w:rPr>
          <w:rFonts w:hint="eastAsia" w:ascii="仿宋" w:hAnsi="仿宋" w:eastAsia="仿宋" w:cs="仿宋"/>
          <w:color w:val="333333"/>
          <w:kern w:val="0"/>
          <w:sz w:val="28"/>
          <w:szCs w:val="28"/>
        </w:rPr>
      </w:pPr>
      <w:r>
        <w:rPr>
          <w:rFonts w:hint="eastAsia" w:ascii="仿宋" w:hAnsi="仿宋" w:eastAsia="仿宋" w:cs="仿宋"/>
          <w:sz w:val="24"/>
          <w:szCs w:val="24"/>
        </w:rPr>
        <w:t>（一）项目决策情况</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满分30分，实得18分</w:t>
      </w:r>
      <w:r>
        <w:rPr>
          <w:rFonts w:hint="eastAsia" w:ascii="仿宋" w:hAnsi="仿宋" w:eastAsia="仿宋" w:cs="仿宋"/>
          <w:sz w:val="24"/>
          <w:szCs w:val="24"/>
          <w:lang w:eastAsia="zh-CN"/>
        </w:rPr>
        <w:t>）</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项目决策的评价指标包括项目立项、绩效目标、资金投入三项二级指标，共涉及项目立项充分性、立项程序规范性、绩效目标合理性、绩效指标明确性、预算编制科学性、资金分配合理性6个三级指标。“项目决策”总分</w:t>
      </w:r>
      <w:r>
        <w:rPr>
          <w:rFonts w:hint="eastAsia" w:ascii="仿宋" w:hAnsi="仿宋" w:eastAsia="仿宋" w:cs="仿宋"/>
          <w:sz w:val="24"/>
          <w:szCs w:val="24"/>
          <w:lang w:val="en-US" w:eastAsia="zh-CN"/>
        </w:rPr>
        <w:t>30</w:t>
      </w:r>
      <w:r>
        <w:rPr>
          <w:rFonts w:hint="eastAsia" w:ascii="仿宋" w:hAnsi="仿宋" w:eastAsia="仿宋" w:cs="仿宋"/>
          <w:sz w:val="24"/>
          <w:szCs w:val="24"/>
        </w:rPr>
        <w:t>分，得分</w:t>
      </w:r>
      <w:r>
        <w:rPr>
          <w:rFonts w:hint="eastAsia" w:ascii="仿宋" w:hAnsi="仿宋" w:eastAsia="仿宋" w:cs="仿宋"/>
          <w:sz w:val="24"/>
          <w:szCs w:val="24"/>
          <w:lang w:val="en-US" w:eastAsia="zh-CN"/>
        </w:rPr>
        <w:t>18</w:t>
      </w:r>
      <w:r>
        <w:rPr>
          <w:rFonts w:hint="eastAsia" w:ascii="仿宋" w:hAnsi="仿宋" w:eastAsia="仿宋" w:cs="仿宋"/>
          <w:sz w:val="24"/>
          <w:szCs w:val="24"/>
        </w:rPr>
        <w:t>分，得分率</w:t>
      </w:r>
      <w:r>
        <w:rPr>
          <w:rFonts w:hint="eastAsia" w:ascii="仿宋" w:hAnsi="仿宋" w:eastAsia="仿宋" w:cs="仿宋"/>
          <w:sz w:val="24"/>
          <w:szCs w:val="24"/>
          <w:lang w:val="en-US" w:eastAsia="zh-CN"/>
        </w:rPr>
        <w:t>60</w:t>
      </w:r>
      <w:r>
        <w:rPr>
          <w:rFonts w:hint="eastAsia" w:ascii="仿宋" w:hAnsi="仿宋" w:eastAsia="仿宋" w:cs="仿宋"/>
          <w:sz w:val="24"/>
          <w:szCs w:val="24"/>
        </w:rPr>
        <w:t xml:space="preserve"> %。主要问题在</w:t>
      </w:r>
      <w:r>
        <w:rPr>
          <w:rFonts w:hint="eastAsia" w:ascii="仿宋" w:hAnsi="仿宋" w:eastAsia="仿宋" w:cs="仿宋"/>
          <w:sz w:val="24"/>
          <w:szCs w:val="24"/>
          <w:lang w:val="en-US" w:eastAsia="zh-CN"/>
        </w:rPr>
        <w:t>立项依据不太充分，使用的设计报告单位资质过期，</w:t>
      </w:r>
      <w:r>
        <w:rPr>
          <w:rFonts w:hint="eastAsia" w:ascii="仿宋" w:hAnsi="仿宋" w:eastAsia="仿宋" w:cs="仿宋"/>
          <w:sz w:val="24"/>
          <w:szCs w:val="24"/>
        </w:rPr>
        <w:t>设定的</w:t>
      </w:r>
      <w:r>
        <w:rPr>
          <w:rFonts w:hint="eastAsia" w:ascii="仿宋" w:hAnsi="仿宋" w:eastAsia="仿宋" w:cs="仿宋"/>
          <w:sz w:val="24"/>
          <w:szCs w:val="24"/>
          <w:lang w:eastAsia="zh-CN"/>
        </w:rPr>
        <w:t>部分</w:t>
      </w:r>
      <w:r>
        <w:rPr>
          <w:rFonts w:hint="eastAsia" w:ascii="仿宋" w:hAnsi="仿宋" w:eastAsia="仿宋" w:cs="仿宋"/>
          <w:sz w:val="24"/>
          <w:szCs w:val="24"/>
        </w:rPr>
        <w:t>绩效目标较为简单、笼统，未根据项目实际对产出和效益进行量化、细化，多数为泛化的定性指标，评价依据不清，标准不明确，缺少科学合理的衡量标准</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预算金额依据不充分，资金分配未能按照合同规定执行</w:t>
      </w:r>
      <w:r>
        <w:rPr>
          <w:rFonts w:hint="eastAsia" w:ascii="仿宋" w:hAnsi="仿宋" w:eastAsia="仿宋" w:cs="仿宋"/>
          <w:sz w:val="24"/>
          <w:szCs w:val="24"/>
        </w:rPr>
        <w:t>：</w:t>
      </w:r>
    </w:p>
    <w:p>
      <w:pPr>
        <w:pStyle w:val="2"/>
        <w:ind w:firstLine="2168" w:firstLineChars="900"/>
        <w:rPr>
          <w:rFonts w:hint="eastAsia"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决策类指标评分情况</w:t>
      </w:r>
    </w:p>
    <w:tbl>
      <w:tblPr>
        <w:tblStyle w:val="8"/>
        <w:tblW w:w="5099" w:type="pct"/>
        <w:jc w:val="center"/>
        <w:tblLayout w:type="autofit"/>
        <w:tblCellMar>
          <w:top w:w="0" w:type="dxa"/>
          <w:left w:w="0" w:type="dxa"/>
          <w:bottom w:w="0" w:type="dxa"/>
          <w:right w:w="0" w:type="dxa"/>
        </w:tblCellMar>
      </w:tblPr>
      <w:tblGrid>
        <w:gridCol w:w="728"/>
        <w:gridCol w:w="826"/>
        <w:gridCol w:w="1207"/>
        <w:gridCol w:w="2844"/>
        <w:gridCol w:w="2385"/>
        <w:gridCol w:w="701"/>
      </w:tblGrid>
      <w:tr>
        <w:tblPrEx>
          <w:tblCellMar>
            <w:top w:w="0" w:type="dxa"/>
            <w:left w:w="0" w:type="dxa"/>
            <w:bottom w:w="0" w:type="dxa"/>
            <w:right w:w="0" w:type="dxa"/>
          </w:tblCellMar>
        </w:tblPrEx>
        <w:trPr>
          <w:trHeight w:val="692" w:hRule="atLeast"/>
          <w:jc w:val="center"/>
        </w:trPr>
        <w:tc>
          <w:tcPr>
            <w:tcW w:w="419" w:type="pct"/>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级指标</w:t>
            </w:r>
          </w:p>
        </w:tc>
        <w:tc>
          <w:tcPr>
            <w:tcW w:w="475"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二级指标</w:t>
            </w:r>
          </w:p>
        </w:tc>
        <w:tc>
          <w:tcPr>
            <w:tcW w:w="694"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三级指标</w:t>
            </w:r>
          </w:p>
        </w:tc>
        <w:tc>
          <w:tcPr>
            <w:tcW w:w="1636"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指标内容</w:t>
            </w:r>
          </w:p>
        </w:tc>
        <w:tc>
          <w:tcPr>
            <w:tcW w:w="1371"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b/>
                <w:bCs/>
                <w:color w:val="000000"/>
                <w:kern w:val="0"/>
                <w:sz w:val="24"/>
                <w:szCs w:val="24"/>
                <w:lang w:val="en-US" w:eastAsia="zh-CN"/>
              </w:rPr>
              <w:t>评价情况</w:t>
            </w:r>
          </w:p>
        </w:tc>
        <w:tc>
          <w:tcPr>
            <w:tcW w:w="403"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分值</w:t>
            </w:r>
          </w:p>
        </w:tc>
      </w:tr>
      <w:tr>
        <w:tblPrEx>
          <w:tblCellMar>
            <w:top w:w="0" w:type="dxa"/>
            <w:left w:w="0" w:type="dxa"/>
            <w:bottom w:w="0" w:type="dxa"/>
            <w:right w:w="0" w:type="dxa"/>
          </w:tblCellMar>
        </w:tblPrEx>
        <w:trPr>
          <w:trHeight w:val="2540" w:hRule="atLeast"/>
          <w:jc w:val="center"/>
        </w:trPr>
        <w:tc>
          <w:tcPr>
            <w:tcW w:w="419" w:type="pct"/>
            <w:vMerge w:val="restart"/>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决策　</w:t>
            </w:r>
          </w:p>
          <w:p>
            <w:pPr>
              <w:widowControl/>
              <w:spacing w:line="320" w:lineRule="atLeast"/>
              <w:jc w:val="center"/>
              <w:rPr>
                <w:rFonts w:hint="eastAsia"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（30分）</w:t>
            </w:r>
          </w:p>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　</w:t>
            </w:r>
          </w:p>
        </w:tc>
        <w:tc>
          <w:tcPr>
            <w:tcW w:w="475" w:type="pct"/>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项目立项　</w:t>
            </w:r>
          </w:p>
        </w:tc>
        <w:tc>
          <w:tcPr>
            <w:tcW w:w="694"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立项依据</w:t>
            </w:r>
          </w:p>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充分性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63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both"/>
              <w:rPr>
                <w:rFonts w:hint="eastAsia" w:ascii="仿宋" w:hAnsi="仿宋" w:eastAsia="仿宋" w:cs="仿宋"/>
                <w:kern w:val="0"/>
                <w:sz w:val="24"/>
                <w:szCs w:val="24"/>
              </w:rPr>
            </w:pPr>
            <w:r>
              <w:rPr>
                <w:rFonts w:hint="eastAsia" w:ascii="仿宋" w:hAnsi="仿宋" w:eastAsia="仿宋" w:cs="仿宋"/>
                <w:color w:val="000000"/>
                <w:kern w:val="0"/>
                <w:sz w:val="24"/>
                <w:szCs w:val="24"/>
              </w:rPr>
              <w:t>项目立项（主体是指项目主管部门，下同）是否符合法律法规、相关政策、发展规划以及部门职责，用以反映和考核项目立项依据情况。</w:t>
            </w:r>
          </w:p>
        </w:tc>
        <w:tc>
          <w:tcPr>
            <w:tcW w:w="137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val="0"/>
                <w:bCs w:val="0"/>
                <w:sz w:val="24"/>
                <w:szCs w:val="24"/>
                <w:vertAlign w:val="baseline"/>
                <w:lang w:val="en-US" w:eastAsia="zh-CN"/>
              </w:rPr>
              <w:t>该指标得分率为100%，项目立项依据不太充分，设计单位提供的设计报告资质过期，部门职能紧密相关，立项程序规范，资料齐全，依据评分标准得2分。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r>
      <w:tr>
        <w:tblPrEx>
          <w:tblCellMar>
            <w:top w:w="0" w:type="dxa"/>
            <w:left w:w="0" w:type="dxa"/>
            <w:bottom w:w="0" w:type="dxa"/>
            <w:right w:w="0" w:type="dxa"/>
          </w:tblCellMar>
        </w:tblPrEx>
        <w:trPr>
          <w:trHeight w:val="1016" w:hRule="atLeast"/>
          <w:jc w:val="center"/>
        </w:trPr>
        <w:tc>
          <w:tcPr>
            <w:tcW w:w="419"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475" w:type="pct"/>
            <w:vMerge w:val="continue"/>
            <w:tcBorders>
              <w:top w:val="nil"/>
              <w:left w:val="nil"/>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694"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立项程序</w:t>
            </w:r>
          </w:p>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规范性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63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eastAsia" w:ascii="仿宋" w:hAnsi="仿宋" w:eastAsia="仿宋" w:cs="仿宋"/>
                <w:kern w:val="0"/>
                <w:sz w:val="24"/>
                <w:szCs w:val="24"/>
              </w:rPr>
            </w:pPr>
            <w:r>
              <w:rPr>
                <w:rFonts w:hint="eastAsia" w:ascii="仿宋" w:hAnsi="仿宋" w:eastAsia="仿宋" w:cs="仿宋"/>
                <w:color w:val="000000"/>
                <w:kern w:val="0"/>
                <w:sz w:val="24"/>
                <w:szCs w:val="24"/>
              </w:rPr>
              <w:t>项目申请、设立过程是否符合相关要求，用以反映和考核项目立项的规范情况。</w:t>
            </w:r>
          </w:p>
        </w:tc>
        <w:tc>
          <w:tcPr>
            <w:tcW w:w="137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立项</w:t>
            </w:r>
            <w:r>
              <w:rPr>
                <w:rFonts w:hint="eastAsia" w:ascii="仿宋" w:hAnsi="仿宋" w:eastAsia="仿宋" w:cs="仿宋"/>
                <w:color w:val="000000"/>
                <w:kern w:val="0"/>
                <w:sz w:val="24"/>
                <w:szCs w:val="24"/>
                <w:lang w:val="en-US" w:eastAsia="zh-CN"/>
              </w:rPr>
              <w:t>申请</w:t>
            </w:r>
            <w:r>
              <w:rPr>
                <w:rFonts w:hint="eastAsia" w:ascii="仿宋" w:hAnsi="仿宋" w:eastAsia="仿宋" w:cs="仿宋"/>
                <w:color w:val="000000"/>
                <w:kern w:val="0"/>
                <w:sz w:val="24"/>
                <w:szCs w:val="24"/>
              </w:rPr>
              <w:t>、过程符合相关要求，</w:t>
            </w:r>
            <w:r>
              <w:rPr>
                <w:rFonts w:hint="eastAsia" w:ascii="仿宋" w:hAnsi="仿宋" w:eastAsia="仿宋" w:cs="仿宋"/>
                <w:color w:val="000000"/>
                <w:kern w:val="0"/>
                <w:sz w:val="24"/>
                <w:szCs w:val="24"/>
                <w:lang w:val="en-US" w:eastAsia="zh-CN"/>
              </w:rPr>
              <w:t>程序</w:t>
            </w:r>
            <w:r>
              <w:rPr>
                <w:rFonts w:hint="eastAsia" w:ascii="仿宋" w:hAnsi="仿宋" w:eastAsia="仿宋" w:cs="仿宋"/>
                <w:color w:val="000000"/>
                <w:kern w:val="0"/>
                <w:sz w:val="24"/>
                <w:szCs w:val="24"/>
              </w:rPr>
              <w:t>规范，指标评价实际得分</w:t>
            </w:r>
            <w:r>
              <w:rPr>
                <w:rFonts w:hint="eastAsia" w:ascii="仿宋" w:hAnsi="仿宋" w:eastAsia="仿宋" w:cs="仿宋"/>
                <w:color w:val="000000"/>
                <w:kern w:val="0"/>
                <w:sz w:val="24"/>
                <w:szCs w:val="24"/>
                <w:lang w:val="en-US" w:eastAsia="zh-CN"/>
              </w:rPr>
              <w:t>5</w:t>
            </w:r>
            <w:r>
              <w:rPr>
                <w:rFonts w:hint="eastAsia" w:ascii="仿宋" w:hAnsi="仿宋" w:eastAsia="仿宋" w:cs="仿宋"/>
                <w:color w:val="000000"/>
                <w:kern w:val="0"/>
                <w:sz w:val="24"/>
                <w:szCs w:val="24"/>
              </w:rPr>
              <w:t>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5</w:t>
            </w:r>
          </w:p>
        </w:tc>
      </w:tr>
      <w:tr>
        <w:tblPrEx>
          <w:tblCellMar>
            <w:top w:w="0" w:type="dxa"/>
            <w:left w:w="0" w:type="dxa"/>
            <w:bottom w:w="0" w:type="dxa"/>
            <w:right w:w="0" w:type="dxa"/>
          </w:tblCellMar>
        </w:tblPrEx>
        <w:trPr>
          <w:trHeight w:val="1190" w:hRule="atLeast"/>
          <w:jc w:val="center"/>
        </w:trPr>
        <w:tc>
          <w:tcPr>
            <w:tcW w:w="419"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475" w:type="pct"/>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绩效目标　</w:t>
            </w:r>
          </w:p>
        </w:tc>
        <w:tc>
          <w:tcPr>
            <w:tcW w:w="694"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绩效目标</w:t>
            </w:r>
          </w:p>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合理性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63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eastAsia" w:ascii="仿宋" w:hAnsi="仿宋" w:eastAsia="仿宋" w:cs="仿宋"/>
                <w:kern w:val="0"/>
                <w:sz w:val="24"/>
                <w:szCs w:val="24"/>
              </w:rPr>
            </w:pPr>
            <w:r>
              <w:rPr>
                <w:rFonts w:hint="eastAsia" w:ascii="仿宋" w:hAnsi="仿宋" w:eastAsia="仿宋" w:cs="仿宋"/>
                <w:color w:val="000000"/>
                <w:kern w:val="0"/>
                <w:sz w:val="24"/>
                <w:szCs w:val="24"/>
              </w:rPr>
              <w:t>项目所设定的绩效目标是否依据充分，是否符合客观实际，用以反映和考核项目绩效目标与项目实施的相符情况。</w:t>
            </w:r>
          </w:p>
        </w:tc>
        <w:tc>
          <w:tcPr>
            <w:tcW w:w="137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val="0"/>
                <w:bCs w:val="0"/>
                <w:sz w:val="24"/>
                <w:szCs w:val="24"/>
                <w:vertAlign w:val="baseline"/>
                <w:lang w:val="en-US" w:eastAsia="zh-CN"/>
              </w:rPr>
              <w:t>在初步设计书里设置绩效目标，设置太简单，职能部门没有制定具体的绩效目标，依据评分标准得2分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2</w:t>
            </w:r>
          </w:p>
        </w:tc>
      </w:tr>
      <w:tr>
        <w:tblPrEx>
          <w:tblCellMar>
            <w:top w:w="0" w:type="dxa"/>
            <w:left w:w="0" w:type="dxa"/>
            <w:bottom w:w="0" w:type="dxa"/>
            <w:right w:w="0" w:type="dxa"/>
          </w:tblCellMar>
        </w:tblPrEx>
        <w:trPr>
          <w:trHeight w:val="844" w:hRule="atLeast"/>
          <w:jc w:val="center"/>
        </w:trPr>
        <w:tc>
          <w:tcPr>
            <w:tcW w:w="419"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475" w:type="pct"/>
            <w:vMerge w:val="continue"/>
            <w:tcBorders>
              <w:top w:val="nil"/>
              <w:left w:val="nil"/>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694"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绩效指标</w:t>
            </w:r>
          </w:p>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明确性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63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eastAsia" w:ascii="仿宋" w:hAnsi="仿宋" w:eastAsia="仿宋" w:cs="仿宋"/>
                <w:kern w:val="0"/>
                <w:sz w:val="24"/>
                <w:szCs w:val="24"/>
              </w:rPr>
            </w:pPr>
            <w:r>
              <w:rPr>
                <w:rFonts w:hint="eastAsia" w:ascii="仿宋" w:hAnsi="仿宋" w:eastAsia="仿宋" w:cs="仿宋"/>
                <w:color w:val="000000"/>
                <w:kern w:val="0"/>
                <w:sz w:val="24"/>
                <w:szCs w:val="24"/>
              </w:rPr>
              <w:t>依据绩效目标设定的绩效指标是否清晰、细化、可衡量等，用以反映和考核项目绩效目标的明细化情况。</w:t>
            </w:r>
          </w:p>
        </w:tc>
        <w:tc>
          <w:tcPr>
            <w:tcW w:w="137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val="0"/>
                <w:bCs w:val="0"/>
                <w:sz w:val="24"/>
                <w:szCs w:val="24"/>
                <w:vertAlign w:val="baseline"/>
                <w:lang w:val="en-US" w:eastAsia="zh-CN"/>
              </w:rPr>
              <w:t>在初步设计书里有绩效指标值设置，不够完善，未能做到细化量化，部分指标未能及时调整，依据评分标准得2分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2</w:t>
            </w:r>
          </w:p>
        </w:tc>
      </w:tr>
      <w:tr>
        <w:tblPrEx>
          <w:tblCellMar>
            <w:top w:w="0" w:type="dxa"/>
            <w:left w:w="0" w:type="dxa"/>
            <w:bottom w:w="0" w:type="dxa"/>
            <w:right w:w="0" w:type="dxa"/>
          </w:tblCellMar>
        </w:tblPrEx>
        <w:trPr>
          <w:trHeight w:val="1772" w:hRule="atLeast"/>
          <w:jc w:val="center"/>
        </w:trPr>
        <w:tc>
          <w:tcPr>
            <w:tcW w:w="419"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475" w:type="pct"/>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资金投入</w:t>
            </w:r>
          </w:p>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　</w:t>
            </w:r>
          </w:p>
        </w:tc>
        <w:tc>
          <w:tcPr>
            <w:tcW w:w="694"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预算编制</w:t>
            </w:r>
          </w:p>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科学性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63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eastAsia" w:ascii="仿宋" w:hAnsi="仿宋" w:eastAsia="仿宋" w:cs="仿宋"/>
                <w:kern w:val="0"/>
                <w:sz w:val="24"/>
                <w:szCs w:val="24"/>
              </w:rPr>
            </w:pPr>
            <w:r>
              <w:rPr>
                <w:rFonts w:hint="eastAsia" w:ascii="仿宋" w:hAnsi="仿宋" w:eastAsia="仿宋" w:cs="仿宋"/>
                <w:color w:val="000000"/>
                <w:kern w:val="0"/>
                <w:sz w:val="24"/>
                <w:szCs w:val="24"/>
              </w:rPr>
              <w:t>项目预算编制是否经过科学论证、有明确标准，资金额度与年度目标是否相适应，用以反映和考核项目预算编制的科学性、合理性情况。</w:t>
            </w:r>
          </w:p>
        </w:tc>
        <w:tc>
          <w:tcPr>
            <w:tcW w:w="137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rPr>
            </w:pPr>
            <w:r>
              <w:rPr>
                <w:rFonts w:hint="eastAsia" w:ascii="仿宋" w:hAnsi="仿宋" w:eastAsia="仿宋" w:cs="仿宋"/>
                <w:b w:val="0"/>
                <w:bCs w:val="0"/>
                <w:sz w:val="24"/>
                <w:szCs w:val="24"/>
                <w:vertAlign w:val="baseline"/>
                <w:lang w:val="en-US" w:eastAsia="zh-CN"/>
              </w:rPr>
              <w:t>预算金额能按照标准进行测算，出示测算依据，预算金额充分，得5分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5</w:t>
            </w:r>
          </w:p>
        </w:tc>
      </w:tr>
      <w:tr>
        <w:tblPrEx>
          <w:tblCellMar>
            <w:top w:w="0" w:type="dxa"/>
            <w:left w:w="0" w:type="dxa"/>
            <w:bottom w:w="0" w:type="dxa"/>
            <w:right w:w="0" w:type="dxa"/>
          </w:tblCellMar>
        </w:tblPrEx>
        <w:trPr>
          <w:trHeight w:val="1202" w:hRule="atLeast"/>
          <w:jc w:val="center"/>
        </w:trPr>
        <w:tc>
          <w:tcPr>
            <w:tcW w:w="419"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475" w:type="pct"/>
            <w:vMerge w:val="continue"/>
            <w:tcBorders>
              <w:top w:val="nil"/>
              <w:left w:val="nil"/>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694"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资金分配</w:t>
            </w:r>
          </w:p>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合理性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163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eastAsia" w:ascii="仿宋" w:hAnsi="仿宋" w:eastAsia="仿宋" w:cs="仿宋"/>
                <w:kern w:val="0"/>
                <w:sz w:val="24"/>
                <w:szCs w:val="24"/>
              </w:rPr>
            </w:pPr>
            <w:r>
              <w:rPr>
                <w:rFonts w:hint="eastAsia" w:ascii="仿宋" w:hAnsi="仿宋" w:eastAsia="仿宋" w:cs="仿宋"/>
                <w:color w:val="000000"/>
                <w:kern w:val="0"/>
                <w:sz w:val="24"/>
                <w:szCs w:val="24"/>
              </w:rPr>
              <w:t>项目预算资金分配是否有测算依据，与补助单位或地方实际是否相适应，用以反映和考核项目预算资金分配的科学性、合理性情况。</w:t>
            </w:r>
          </w:p>
        </w:tc>
        <w:tc>
          <w:tcPr>
            <w:tcW w:w="137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rPr>
            </w:pPr>
            <w:r>
              <w:rPr>
                <w:rFonts w:hint="eastAsia" w:ascii="仿宋" w:hAnsi="仿宋" w:eastAsia="仿宋" w:cs="仿宋"/>
                <w:b w:val="0"/>
                <w:bCs w:val="0"/>
                <w:sz w:val="24"/>
                <w:szCs w:val="24"/>
                <w:vertAlign w:val="baseline"/>
                <w:lang w:val="en-US" w:eastAsia="zh-CN"/>
              </w:rPr>
              <w:t>项目预算资金分配根据政府相关文件执行。没见预算批复，转入是2022年7月29日一次性转给施工单位，没能按工程进度分配，得2分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r>
      <w:tr>
        <w:tblPrEx>
          <w:tblCellMar>
            <w:top w:w="0" w:type="dxa"/>
            <w:left w:w="0" w:type="dxa"/>
            <w:bottom w:w="0" w:type="dxa"/>
            <w:right w:w="0" w:type="dxa"/>
          </w:tblCellMar>
        </w:tblPrEx>
        <w:trPr>
          <w:trHeight w:val="520" w:hRule="atLeast"/>
          <w:jc w:val="center"/>
        </w:trPr>
        <w:tc>
          <w:tcPr>
            <w:tcW w:w="4596" w:type="pct"/>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小计</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rPr>
              <w:t> </w:t>
            </w:r>
            <w:r>
              <w:rPr>
                <w:rFonts w:hint="eastAsia" w:ascii="仿宋" w:hAnsi="仿宋" w:eastAsia="仿宋" w:cs="仿宋"/>
                <w:color w:val="000000"/>
                <w:kern w:val="0"/>
                <w:sz w:val="24"/>
                <w:szCs w:val="24"/>
                <w:lang w:val="en-US" w:eastAsia="zh-CN"/>
              </w:rPr>
              <w:t>18</w:t>
            </w:r>
          </w:p>
        </w:tc>
      </w:tr>
    </w:tbl>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1.立项依据充分性</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指标解释：该项指标主要考核项目立项是否符合法律法规、相关政策、发展规划以及部门职责，用以反映和考核项目立项依据情况。</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评分情况：本项目立项符合</w:t>
      </w:r>
      <w:r>
        <w:rPr>
          <w:rFonts w:hint="eastAsia" w:ascii="仿宋" w:hAnsi="仿宋" w:eastAsia="仿宋" w:cs="仿宋"/>
          <w:sz w:val="24"/>
          <w:szCs w:val="24"/>
          <w:lang w:val="en-US" w:eastAsia="zh-CN"/>
        </w:rPr>
        <w:t>根据《安徽省怀远县农村供水保障规划（2021—2026年）修编》及省、市有关文件精神。2022年4月13日怀远县水利局《关于怀远县群众喝上引调水双龙水厂工程初步设计报告的批复》（怀水〔2022〕18号），2021年11月15日怀远县人民政府常务会议纪要（第83次），开会协调，促进县域经济持续健康发展</w:t>
      </w:r>
      <w:r>
        <w:rPr>
          <w:rFonts w:hint="eastAsia" w:ascii="仿宋" w:hAnsi="仿宋" w:eastAsia="仿宋" w:cs="仿宋"/>
          <w:sz w:val="24"/>
          <w:szCs w:val="24"/>
        </w:rPr>
        <w:t>，完善</w:t>
      </w:r>
      <w:r>
        <w:rPr>
          <w:rFonts w:hint="eastAsia" w:ascii="仿宋" w:hAnsi="仿宋" w:eastAsia="仿宋" w:cs="仿宋"/>
          <w:sz w:val="24"/>
          <w:szCs w:val="24"/>
          <w:lang w:val="en-US" w:eastAsia="zh-CN"/>
        </w:rPr>
        <w:t>居民安全用水</w:t>
      </w:r>
      <w:r>
        <w:rPr>
          <w:rFonts w:hint="eastAsia" w:ascii="仿宋" w:hAnsi="仿宋" w:eastAsia="仿宋" w:cs="仿宋"/>
          <w:sz w:val="24"/>
          <w:szCs w:val="24"/>
        </w:rPr>
        <w:t>等文件规定。</w:t>
      </w:r>
      <w:r>
        <w:rPr>
          <w:rFonts w:hint="eastAsia" w:ascii="仿宋" w:hAnsi="仿宋" w:eastAsia="仿宋" w:cs="仿宋"/>
          <w:sz w:val="24"/>
          <w:szCs w:val="24"/>
          <w:lang w:val="en-US" w:eastAsia="zh-CN"/>
        </w:rPr>
        <w:t>但《怀远县群众喝上引调水双龙水厂工程初步设计报告》的单位设计资质过期，不符合要求。</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项目立项符合法律法规及相关政策的规定，</w:t>
      </w:r>
      <w:r>
        <w:rPr>
          <w:rFonts w:hint="eastAsia" w:ascii="仿宋" w:hAnsi="仿宋" w:eastAsia="仿宋" w:cs="仿宋"/>
          <w:sz w:val="24"/>
          <w:szCs w:val="24"/>
          <w:lang w:val="en-US" w:eastAsia="zh-CN"/>
        </w:rPr>
        <w:t>但设计单位资质过期体现</w:t>
      </w:r>
      <w:r>
        <w:rPr>
          <w:rFonts w:hint="eastAsia" w:ascii="仿宋" w:hAnsi="仿宋" w:eastAsia="仿宋" w:cs="仿宋"/>
          <w:sz w:val="24"/>
          <w:szCs w:val="24"/>
        </w:rPr>
        <w:t>立</w:t>
      </w:r>
      <w:r>
        <w:rPr>
          <w:rFonts w:hint="eastAsia" w:ascii="仿宋" w:hAnsi="仿宋" w:eastAsia="仿宋" w:cs="仿宋"/>
          <w:sz w:val="24"/>
          <w:szCs w:val="24"/>
          <w:lang w:val="en-US" w:eastAsia="zh-CN"/>
        </w:rPr>
        <w:t>项</w:t>
      </w:r>
      <w:r>
        <w:rPr>
          <w:rFonts w:hint="eastAsia" w:ascii="仿宋" w:hAnsi="仿宋" w:eastAsia="仿宋" w:cs="仿宋"/>
          <w:sz w:val="24"/>
          <w:szCs w:val="24"/>
        </w:rPr>
        <w:t>依据充分，该项满分</w:t>
      </w:r>
      <w:r>
        <w:rPr>
          <w:rFonts w:hint="eastAsia" w:ascii="仿宋" w:hAnsi="仿宋" w:eastAsia="仿宋" w:cs="仿宋"/>
          <w:sz w:val="24"/>
          <w:szCs w:val="24"/>
          <w:lang w:val="en-US" w:eastAsia="zh-CN"/>
        </w:rPr>
        <w:t>5</w:t>
      </w:r>
      <w:r>
        <w:rPr>
          <w:rFonts w:hint="eastAsia" w:ascii="仿宋" w:hAnsi="仿宋" w:eastAsia="仿宋" w:cs="仿宋"/>
          <w:sz w:val="24"/>
          <w:szCs w:val="24"/>
        </w:rPr>
        <w:t>分，得</w:t>
      </w:r>
      <w:r>
        <w:rPr>
          <w:rFonts w:hint="eastAsia" w:ascii="仿宋" w:hAnsi="仿宋" w:eastAsia="仿宋" w:cs="仿宋"/>
          <w:sz w:val="24"/>
          <w:szCs w:val="24"/>
          <w:lang w:val="en-US" w:eastAsia="zh-CN"/>
        </w:rPr>
        <w:t>2</w:t>
      </w:r>
      <w:r>
        <w:rPr>
          <w:rFonts w:hint="eastAsia" w:ascii="仿宋" w:hAnsi="仿宋" w:eastAsia="仿宋" w:cs="仿宋"/>
          <w:sz w:val="24"/>
          <w:szCs w:val="24"/>
        </w:rPr>
        <w:t>分，得分率</w:t>
      </w:r>
      <w:r>
        <w:rPr>
          <w:rFonts w:hint="eastAsia" w:ascii="仿宋" w:hAnsi="仿宋" w:eastAsia="仿宋" w:cs="仿宋"/>
          <w:sz w:val="24"/>
          <w:szCs w:val="24"/>
          <w:lang w:val="en-US" w:eastAsia="zh-CN"/>
        </w:rPr>
        <w:t>4</w:t>
      </w:r>
      <w:r>
        <w:rPr>
          <w:rFonts w:hint="eastAsia" w:ascii="仿宋" w:hAnsi="仿宋" w:eastAsia="仿宋" w:cs="仿宋"/>
          <w:sz w:val="24"/>
          <w:szCs w:val="24"/>
        </w:rPr>
        <w:t>0.00%。</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2.立项程序规范性</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指标解释：项目申请、设立过程是否符合相关要求，用以反映和考核项目立项的规范情况。</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评分情况：</w:t>
      </w:r>
      <w:r>
        <w:rPr>
          <w:rFonts w:hint="eastAsia" w:ascii="仿宋" w:hAnsi="仿宋" w:eastAsia="仿宋" w:cs="仿宋"/>
          <w:sz w:val="24"/>
          <w:szCs w:val="24"/>
          <w:lang w:val="en-US" w:eastAsia="zh-CN"/>
        </w:rPr>
        <w:t>居民饮用水安全工程款由省级财政补助。</w:t>
      </w:r>
      <w:r>
        <w:rPr>
          <w:rFonts w:hint="eastAsia" w:ascii="仿宋" w:hAnsi="仿宋" w:eastAsia="仿宋" w:cs="仿宋"/>
          <w:sz w:val="24"/>
          <w:szCs w:val="24"/>
        </w:rPr>
        <w:t>县</w:t>
      </w:r>
      <w:r>
        <w:rPr>
          <w:rFonts w:hint="eastAsia" w:ascii="仿宋" w:hAnsi="仿宋" w:eastAsia="仿宋" w:cs="仿宋"/>
          <w:sz w:val="24"/>
          <w:szCs w:val="24"/>
          <w:lang w:val="en-US" w:eastAsia="zh-CN"/>
        </w:rPr>
        <w:t>水利局</w:t>
      </w:r>
      <w:r>
        <w:rPr>
          <w:rFonts w:hint="eastAsia" w:ascii="仿宋" w:hAnsi="仿宋" w:eastAsia="仿宋" w:cs="仿宋"/>
          <w:sz w:val="24"/>
          <w:szCs w:val="24"/>
        </w:rPr>
        <w:t>根据</w:t>
      </w:r>
      <w:r>
        <w:rPr>
          <w:rFonts w:hint="eastAsia" w:ascii="仿宋" w:hAnsi="仿宋" w:eastAsia="仿宋" w:cs="仿宋"/>
          <w:sz w:val="24"/>
          <w:szCs w:val="24"/>
          <w:lang w:val="en-US" w:eastAsia="zh-CN"/>
        </w:rPr>
        <w:t>相关文件规定今年预算经费</w:t>
      </w:r>
      <w:r>
        <w:rPr>
          <w:rFonts w:hint="eastAsia" w:ascii="仿宋" w:hAnsi="仿宋" w:eastAsia="仿宋" w:cs="仿宋"/>
          <w:sz w:val="24"/>
          <w:szCs w:val="24"/>
        </w:rPr>
        <w:t>支出为</w:t>
      </w:r>
      <w:r>
        <w:rPr>
          <w:rFonts w:hint="eastAsia" w:ascii="仿宋" w:hAnsi="仿宋" w:eastAsia="仿宋" w:cs="仿宋"/>
          <w:sz w:val="24"/>
          <w:szCs w:val="24"/>
          <w:lang w:val="en-US" w:eastAsia="zh-CN"/>
        </w:rPr>
        <w:t>200</w:t>
      </w:r>
      <w:r>
        <w:rPr>
          <w:rFonts w:hint="eastAsia" w:ascii="仿宋" w:hAnsi="仿宋" w:eastAsia="仿宋" w:cs="仿宋"/>
          <w:sz w:val="24"/>
          <w:szCs w:val="24"/>
        </w:rPr>
        <w:t>0万</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根据规定居民饮用水工程建设项目由怀投集团所属子公司怀远大禹水务集团有限公司负责建设。为此怀远投资集团向怀远县水利局申请，由省级财政给予皖北财力补助资金6198万元，根据资金分配方案，2000万元用于群众喝上放心水工程。</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本项目按照规定的程序申请设立，取得符合要求的项目立项批复文件，该项满分</w:t>
      </w:r>
      <w:r>
        <w:rPr>
          <w:rFonts w:hint="eastAsia" w:ascii="仿宋" w:hAnsi="仿宋" w:eastAsia="仿宋" w:cs="仿宋"/>
          <w:sz w:val="24"/>
          <w:szCs w:val="24"/>
          <w:lang w:val="en-US" w:eastAsia="zh-CN"/>
        </w:rPr>
        <w:t>5</w:t>
      </w:r>
      <w:r>
        <w:rPr>
          <w:rFonts w:hint="eastAsia" w:ascii="仿宋" w:hAnsi="仿宋" w:eastAsia="仿宋" w:cs="仿宋"/>
          <w:sz w:val="24"/>
          <w:szCs w:val="24"/>
        </w:rPr>
        <w:t>分，得</w:t>
      </w:r>
      <w:r>
        <w:rPr>
          <w:rFonts w:hint="eastAsia" w:ascii="仿宋" w:hAnsi="仿宋" w:eastAsia="仿宋" w:cs="仿宋"/>
          <w:sz w:val="24"/>
          <w:szCs w:val="24"/>
          <w:lang w:val="en-US" w:eastAsia="zh-CN"/>
        </w:rPr>
        <w:t>5</w:t>
      </w:r>
      <w:r>
        <w:rPr>
          <w:rFonts w:hint="eastAsia" w:ascii="仿宋" w:hAnsi="仿宋" w:eastAsia="仿宋" w:cs="仿宋"/>
          <w:sz w:val="24"/>
          <w:szCs w:val="24"/>
        </w:rPr>
        <w:t>分，得分率100.00%。</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3.绩效目标合理性</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指标解释：项目所设定的绩效目标是否依据充分，</w:t>
      </w:r>
      <w:r>
        <w:rPr>
          <w:rFonts w:hint="eastAsia" w:ascii="仿宋" w:hAnsi="仿宋" w:eastAsia="仿宋" w:cs="仿宋"/>
          <w:sz w:val="24"/>
          <w:szCs w:val="24"/>
          <w:lang w:val="en-US" w:eastAsia="zh-CN"/>
        </w:rPr>
        <w:t>是否</w:t>
      </w:r>
      <w:r>
        <w:rPr>
          <w:rFonts w:hint="eastAsia" w:ascii="仿宋" w:hAnsi="仿宋" w:eastAsia="仿宋" w:cs="仿宋"/>
          <w:sz w:val="24"/>
          <w:szCs w:val="24"/>
        </w:rPr>
        <w:t>符合客观实际，用以反映和考核项目绩效目标与项目实施的相符情况。</w:t>
      </w:r>
    </w:p>
    <w:p>
      <w:pPr>
        <w:spacing w:line="560" w:lineRule="exact"/>
        <w:ind w:firstLine="480" w:firstLineChars="200"/>
        <w:rPr>
          <w:rFonts w:hint="eastAsia" w:ascii="仿宋" w:hAnsi="仿宋" w:eastAsia="仿宋" w:cs="仿宋"/>
          <w:sz w:val="24"/>
          <w:szCs w:val="24"/>
          <w:lang w:val="en-US" w:eastAsia="zh-CN"/>
        </w:rPr>
      </w:pPr>
      <w:bookmarkStart w:id="24" w:name="_Hlk79766109"/>
      <w:r>
        <w:rPr>
          <w:rFonts w:hint="eastAsia" w:ascii="仿宋" w:hAnsi="仿宋" w:eastAsia="仿宋" w:cs="仿宋"/>
          <w:sz w:val="24"/>
          <w:szCs w:val="24"/>
        </w:rPr>
        <w:t>评分情况：</w:t>
      </w:r>
      <w:bookmarkEnd w:id="24"/>
      <w:r>
        <w:rPr>
          <w:rFonts w:hint="eastAsia" w:ascii="仿宋" w:hAnsi="仿宋" w:eastAsia="仿宋" w:cs="仿宋"/>
          <w:sz w:val="24"/>
          <w:szCs w:val="24"/>
        </w:rPr>
        <w:t>项目所设定的绩效目标依据</w:t>
      </w:r>
      <w:r>
        <w:rPr>
          <w:rFonts w:hint="eastAsia" w:ascii="仿宋" w:hAnsi="仿宋" w:eastAsia="仿宋" w:cs="仿宋"/>
          <w:sz w:val="24"/>
          <w:szCs w:val="24"/>
          <w:lang w:val="en-US" w:eastAsia="zh-CN"/>
        </w:rPr>
        <w:t>不</w:t>
      </w:r>
      <w:r>
        <w:rPr>
          <w:rFonts w:hint="eastAsia" w:ascii="仿宋" w:hAnsi="仿宋" w:eastAsia="仿宋" w:cs="仿宋"/>
          <w:sz w:val="24"/>
          <w:szCs w:val="24"/>
        </w:rPr>
        <w:t>充分，</w:t>
      </w:r>
      <w:r>
        <w:rPr>
          <w:rFonts w:hint="eastAsia" w:ascii="仿宋" w:hAnsi="仿宋" w:eastAsia="仿宋" w:cs="仿宋"/>
          <w:sz w:val="24"/>
          <w:szCs w:val="24"/>
          <w:lang w:val="en-US" w:eastAsia="zh-CN"/>
        </w:rPr>
        <w:t>基本上</w:t>
      </w:r>
      <w:r>
        <w:rPr>
          <w:rFonts w:hint="eastAsia" w:ascii="仿宋" w:hAnsi="仿宋" w:eastAsia="仿宋" w:cs="仿宋"/>
          <w:sz w:val="24"/>
          <w:szCs w:val="24"/>
        </w:rPr>
        <w:t>符合客观实际，</w:t>
      </w:r>
      <w:r>
        <w:rPr>
          <w:rFonts w:hint="eastAsia" w:ascii="仿宋" w:hAnsi="仿宋" w:eastAsia="仿宋" w:cs="仿宋"/>
          <w:sz w:val="24"/>
          <w:szCs w:val="24"/>
          <w:lang w:val="en-US" w:eastAsia="zh-CN"/>
        </w:rPr>
        <w:t>但验收后没有竣工，</w:t>
      </w:r>
      <w:r>
        <w:rPr>
          <w:rFonts w:hint="eastAsia" w:ascii="仿宋" w:hAnsi="仿宋" w:eastAsia="仿宋" w:cs="仿宋"/>
          <w:sz w:val="24"/>
          <w:szCs w:val="24"/>
        </w:rPr>
        <w:t>与项目实施的</w:t>
      </w:r>
      <w:r>
        <w:rPr>
          <w:rFonts w:hint="eastAsia" w:ascii="仿宋" w:hAnsi="仿宋" w:eastAsia="仿宋" w:cs="仿宋"/>
          <w:sz w:val="24"/>
          <w:szCs w:val="24"/>
          <w:lang w:val="en-US" w:eastAsia="zh-CN"/>
        </w:rPr>
        <w:t>结果不</w:t>
      </w:r>
      <w:r>
        <w:rPr>
          <w:rFonts w:hint="eastAsia" w:ascii="仿宋" w:hAnsi="仿宋" w:eastAsia="仿宋" w:cs="仿宋"/>
          <w:sz w:val="24"/>
          <w:szCs w:val="24"/>
        </w:rPr>
        <w:t>相符。</w:t>
      </w:r>
      <w:r>
        <w:rPr>
          <w:rFonts w:hint="eastAsia" w:ascii="仿宋" w:hAnsi="仿宋" w:eastAsia="仿宋" w:cs="仿宋"/>
          <w:sz w:val="24"/>
          <w:szCs w:val="24"/>
          <w:lang w:eastAsia="zh-CN"/>
        </w:rPr>
        <w:t>该项满分</w:t>
      </w:r>
      <w:r>
        <w:rPr>
          <w:rFonts w:hint="eastAsia" w:ascii="仿宋" w:hAnsi="仿宋" w:eastAsia="仿宋" w:cs="仿宋"/>
          <w:sz w:val="24"/>
          <w:szCs w:val="24"/>
          <w:lang w:val="en-US" w:eastAsia="zh-CN"/>
        </w:rPr>
        <w:t>5分，实际得分2分，得分率40%。</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4.绩效指标明确性</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指标解释：依据绩效目标设定的绩效指标是否清晰、细化、可衡量等，用以反映和考核项目绩效目标的明细化情况。</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评分情况：绩效目标较为简单、笼统，未根据项目实际对产出和效益进行量化、细化，多数为泛化的定性指标，评价依据不清，标准不明确，缺少科学合理的衡量标准，如效益指标</w:t>
      </w:r>
      <w:r>
        <w:rPr>
          <w:rFonts w:hint="eastAsia" w:ascii="仿宋" w:hAnsi="仿宋" w:eastAsia="仿宋" w:cs="仿宋"/>
          <w:sz w:val="24"/>
          <w:szCs w:val="24"/>
          <w:lang w:val="en-US" w:eastAsia="zh-CN"/>
        </w:rPr>
        <w:t>不</w:t>
      </w:r>
      <w:r>
        <w:rPr>
          <w:rFonts w:hint="eastAsia" w:ascii="仿宋" w:hAnsi="仿宋" w:eastAsia="仿宋" w:cs="仿宋"/>
          <w:sz w:val="24"/>
          <w:szCs w:val="24"/>
        </w:rPr>
        <w:t>设置</w:t>
      </w:r>
      <w:r>
        <w:rPr>
          <w:rFonts w:hint="eastAsia" w:ascii="仿宋" w:hAnsi="仿宋" w:eastAsia="仿宋" w:cs="仿宋"/>
          <w:sz w:val="24"/>
          <w:szCs w:val="24"/>
          <w:lang w:val="en-US" w:eastAsia="zh-CN"/>
        </w:rPr>
        <w:t>只为笼统的表达</w:t>
      </w:r>
      <w:r>
        <w:rPr>
          <w:rFonts w:hint="eastAsia" w:ascii="仿宋" w:hAnsi="仿宋" w:eastAsia="仿宋" w:cs="仿宋"/>
          <w:sz w:val="24"/>
          <w:szCs w:val="24"/>
        </w:rPr>
        <w:t>，指标过于宏大，缺乏量化的数据进行支撑。细化的三级指标与二级指标匹配性不高，如质量指标中的“</w:t>
      </w:r>
      <w:r>
        <w:rPr>
          <w:rFonts w:hint="eastAsia" w:ascii="仿宋" w:hAnsi="仿宋" w:eastAsia="仿宋" w:cs="仿宋"/>
          <w:sz w:val="24"/>
          <w:szCs w:val="24"/>
          <w:lang w:val="en-US" w:eastAsia="zh-CN"/>
        </w:rPr>
        <w:t>验收全部合格</w:t>
      </w:r>
      <w:r>
        <w:rPr>
          <w:rFonts w:hint="eastAsia" w:ascii="仿宋" w:hAnsi="仿宋" w:eastAsia="仿宋" w:cs="仿宋"/>
          <w:sz w:val="24"/>
          <w:szCs w:val="24"/>
        </w:rPr>
        <w:t>”。根据评价标准，该项满分</w:t>
      </w:r>
      <w:r>
        <w:rPr>
          <w:rFonts w:hint="eastAsia" w:ascii="仿宋" w:hAnsi="仿宋" w:eastAsia="仿宋" w:cs="仿宋"/>
          <w:sz w:val="24"/>
          <w:szCs w:val="24"/>
          <w:lang w:val="en-US" w:eastAsia="zh-CN"/>
        </w:rPr>
        <w:t>5</w:t>
      </w:r>
      <w:r>
        <w:rPr>
          <w:rFonts w:hint="eastAsia" w:ascii="仿宋" w:hAnsi="仿宋" w:eastAsia="仿宋" w:cs="仿宋"/>
          <w:sz w:val="24"/>
          <w:szCs w:val="24"/>
        </w:rPr>
        <w:t>分，得</w:t>
      </w:r>
      <w:r>
        <w:rPr>
          <w:rFonts w:hint="eastAsia" w:ascii="仿宋" w:hAnsi="仿宋" w:eastAsia="仿宋" w:cs="仿宋"/>
          <w:sz w:val="24"/>
          <w:szCs w:val="24"/>
          <w:lang w:val="en-US" w:eastAsia="zh-CN"/>
        </w:rPr>
        <w:t>2</w:t>
      </w:r>
      <w:r>
        <w:rPr>
          <w:rFonts w:hint="eastAsia" w:ascii="仿宋" w:hAnsi="仿宋" w:eastAsia="仿宋" w:cs="仿宋"/>
          <w:sz w:val="24"/>
          <w:szCs w:val="24"/>
        </w:rPr>
        <w:t>分，得分率为</w:t>
      </w:r>
      <w:r>
        <w:rPr>
          <w:rFonts w:hint="eastAsia" w:ascii="仿宋" w:hAnsi="仿宋" w:eastAsia="仿宋" w:cs="仿宋"/>
          <w:sz w:val="24"/>
          <w:szCs w:val="24"/>
          <w:lang w:val="en-US" w:eastAsia="zh-CN"/>
        </w:rPr>
        <w:t>40</w:t>
      </w:r>
      <w:r>
        <w:rPr>
          <w:rFonts w:hint="eastAsia" w:ascii="仿宋" w:hAnsi="仿宋" w:eastAsia="仿宋" w:cs="仿宋"/>
          <w:sz w:val="24"/>
          <w:szCs w:val="24"/>
        </w:rPr>
        <w:t>%。</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5.预算编制科学性</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指标解释：项目预算编制是否经过科学论证、有明确标准、资金额度与年度目标是否相适应，用以反映和考核项目预算编制的科学性、合理性情况。</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评分情况：县</w:t>
      </w:r>
      <w:r>
        <w:rPr>
          <w:rFonts w:hint="eastAsia" w:ascii="仿宋" w:hAnsi="仿宋" w:eastAsia="仿宋" w:cs="仿宋"/>
          <w:sz w:val="24"/>
          <w:szCs w:val="24"/>
          <w:lang w:val="en-US" w:eastAsia="zh-CN"/>
        </w:rPr>
        <w:t>水利局</w:t>
      </w:r>
      <w:r>
        <w:rPr>
          <w:rFonts w:hint="eastAsia" w:ascii="仿宋" w:hAnsi="仿宋" w:eastAsia="仿宋" w:cs="仿宋"/>
          <w:sz w:val="24"/>
          <w:szCs w:val="24"/>
        </w:rPr>
        <w:t>依据</w:t>
      </w:r>
      <w:r>
        <w:rPr>
          <w:rFonts w:hint="eastAsia" w:ascii="仿宋" w:hAnsi="仿宋" w:eastAsia="仿宋" w:cs="仿宋"/>
          <w:sz w:val="24"/>
          <w:szCs w:val="24"/>
          <w:lang w:val="en-US" w:eastAsia="zh-CN"/>
        </w:rPr>
        <w:t>文件规定补助资金进行预算</w:t>
      </w:r>
      <w:r>
        <w:rPr>
          <w:rFonts w:hint="eastAsia" w:ascii="仿宋" w:hAnsi="仿宋" w:eastAsia="仿宋" w:cs="仿宋"/>
          <w:sz w:val="24"/>
          <w:szCs w:val="24"/>
        </w:rPr>
        <w:t>，预算内容与项目内容匹配，预算</w:t>
      </w:r>
      <w:r>
        <w:rPr>
          <w:rFonts w:hint="eastAsia" w:ascii="仿宋" w:hAnsi="仿宋" w:eastAsia="仿宋" w:cs="仿宋"/>
          <w:sz w:val="24"/>
          <w:szCs w:val="24"/>
          <w:lang w:val="en-US" w:eastAsia="zh-CN"/>
        </w:rPr>
        <w:t>依据，</w:t>
      </w:r>
      <w:r>
        <w:rPr>
          <w:rFonts w:hint="eastAsia" w:ascii="仿宋" w:hAnsi="仿宋" w:eastAsia="仿宋" w:cs="仿宋"/>
          <w:sz w:val="24"/>
          <w:szCs w:val="24"/>
        </w:rPr>
        <w:t>测算依据充分。</w:t>
      </w:r>
      <w:bookmarkStart w:id="25" w:name="_Hlk79831575"/>
      <w:r>
        <w:rPr>
          <w:rFonts w:hint="eastAsia" w:ascii="仿宋" w:hAnsi="仿宋" w:eastAsia="仿宋" w:cs="仿宋"/>
          <w:sz w:val="24"/>
          <w:szCs w:val="24"/>
        </w:rPr>
        <w:t>依据评分标准，该项满分</w:t>
      </w:r>
      <w:r>
        <w:rPr>
          <w:rFonts w:hint="eastAsia" w:ascii="仿宋" w:hAnsi="仿宋" w:eastAsia="仿宋" w:cs="仿宋"/>
          <w:sz w:val="24"/>
          <w:szCs w:val="24"/>
          <w:lang w:val="en-US" w:eastAsia="zh-CN"/>
        </w:rPr>
        <w:t>5</w:t>
      </w:r>
      <w:r>
        <w:rPr>
          <w:rFonts w:hint="eastAsia" w:ascii="仿宋" w:hAnsi="仿宋" w:eastAsia="仿宋" w:cs="仿宋"/>
          <w:sz w:val="24"/>
          <w:szCs w:val="24"/>
        </w:rPr>
        <w:t>分，得</w:t>
      </w:r>
      <w:r>
        <w:rPr>
          <w:rFonts w:hint="eastAsia" w:ascii="仿宋" w:hAnsi="仿宋" w:eastAsia="仿宋" w:cs="仿宋"/>
          <w:sz w:val="24"/>
          <w:szCs w:val="24"/>
          <w:lang w:val="en-US" w:eastAsia="zh-CN"/>
        </w:rPr>
        <w:t>5</w:t>
      </w:r>
      <w:r>
        <w:rPr>
          <w:rFonts w:hint="eastAsia" w:ascii="仿宋" w:hAnsi="仿宋" w:eastAsia="仿宋" w:cs="仿宋"/>
          <w:sz w:val="24"/>
          <w:szCs w:val="24"/>
        </w:rPr>
        <w:t>分，得分率</w:t>
      </w:r>
      <w:r>
        <w:rPr>
          <w:rFonts w:hint="eastAsia" w:ascii="仿宋" w:hAnsi="仿宋" w:eastAsia="仿宋" w:cs="仿宋"/>
          <w:sz w:val="24"/>
          <w:szCs w:val="24"/>
          <w:lang w:val="en-US" w:eastAsia="zh-CN"/>
        </w:rPr>
        <w:t>10</w:t>
      </w:r>
      <w:r>
        <w:rPr>
          <w:rFonts w:hint="eastAsia" w:ascii="仿宋" w:hAnsi="仿宋" w:eastAsia="仿宋" w:cs="仿宋"/>
          <w:sz w:val="24"/>
          <w:szCs w:val="24"/>
        </w:rPr>
        <w:t>0.00%。</w:t>
      </w:r>
    </w:p>
    <w:bookmarkEnd w:id="25"/>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6.资金分配合理性</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指标解释：项目是否有测算依据、</w:t>
      </w:r>
      <w:r>
        <w:rPr>
          <w:rFonts w:hint="eastAsia" w:ascii="仿宋" w:hAnsi="仿宋" w:eastAsia="仿宋" w:cs="仿宋"/>
          <w:sz w:val="24"/>
          <w:szCs w:val="24"/>
          <w:lang w:val="en-US" w:eastAsia="zh-CN"/>
        </w:rPr>
        <w:t>根据与施工</w:t>
      </w:r>
      <w:r>
        <w:rPr>
          <w:rFonts w:hint="eastAsia" w:ascii="仿宋" w:hAnsi="仿宋" w:eastAsia="仿宋" w:cs="仿宋"/>
          <w:sz w:val="24"/>
          <w:szCs w:val="24"/>
        </w:rPr>
        <w:t>单位</w:t>
      </w:r>
      <w:r>
        <w:rPr>
          <w:rFonts w:hint="eastAsia" w:ascii="仿宋" w:hAnsi="仿宋" w:eastAsia="仿宋" w:cs="仿宋"/>
          <w:sz w:val="24"/>
          <w:szCs w:val="24"/>
          <w:lang w:val="en-US" w:eastAsia="zh-CN"/>
        </w:rPr>
        <w:t>所签订的合同执行，合同内容与实际支出</w:t>
      </w:r>
      <w:r>
        <w:rPr>
          <w:rFonts w:hint="eastAsia" w:ascii="仿宋" w:hAnsi="仿宋" w:eastAsia="仿宋" w:cs="仿宋"/>
          <w:sz w:val="24"/>
          <w:szCs w:val="24"/>
        </w:rPr>
        <w:t>是否相适应，用以反映和考核项目预算资金分配的科学性、合理性情况。</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评分情况：</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该项目资金分配有测算依据，</w:t>
      </w:r>
      <w:r>
        <w:rPr>
          <w:rFonts w:hint="eastAsia" w:ascii="仿宋" w:hAnsi="仿宋" w:eastAsia="仿宋" w:cs="仿宋"/>
          <w:sz w:val="24"/>
          <w:szCs w:val="24"/>
          <w:lang w:val="en-US" w:eastAsia="zh-CN"/>
        </w:rPr>
        <w:t>但</w:t>
      </w:r>
      <w:r>
        <w:rPr>
          <w:rFonts w:hint="eastAsia" w:ascii="仿宋" w:hAnsi="仿宋" w:eastAsia="仿宋" w:cs="仿宋"/>
          <w:sz w:val="24"/>
          <w:szCs w:val="24"/>
        </w:rPr>
        <w:t>资金分配</w:t>
      </w:r>
      <w:r>
        <w:rPr>
          <w:rFonts w:hint="eastAsia" w:ascii="仿宋" w:hAnsi="仿宋" w:eastAsia="仿宋" w:cs="仿宋"/>
          <w:sz w:val="24"/>
          <w:szCs w:val="24"/>
          <w:lang w:val="en-US" w:eastAsia="zh-CN"/>
        </w:rPr>
        <w:t>不尽</w:t>
      </w:r>
      <w:r>
        <w:rPr>
          <w:rFonts w:hint="eastAsia" w:ascii="仿宋" w:hAnsi="仿宋" w:eastAsia="仿宋" w:cs="仿宋"/>
          <w:sz w:val="24"/>
          <w:szCs w:val="24"/>
        </w:rPr>
        <w:t>合理</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没有根据工程进度付款</w:t>
      </w:r>
      <w:r>
        <w:rPr>
          <w:rFonts w:hint="eastAsia" w:ascii="仿宋" w:hAnsi="仿宋" w:eastAsia="仿宋" w:cs="仿宋"/>
          <w:sz w:val="24"/>
          <w:szCs w:val="24"/>
        </w:rPr>
        <w:t>。依据评分标准，该项满分</w:t>
      </w:r>
      <w:r>
        <w:rPr>
          <w:rFonts w:hint="eastAsia" w:ascii="仿宋" w:hAnsi="仿宋" w:eastAsia="仿宋" w:cs="仿宋"/>
          <w:sz w:val="24"/>
          <w:szCs w:val="24"/>
          <w:lang w:val="en-US" w:eastAsia="zh-CN"/>
        </w:rPr>
        <w:t>5</w:t>
      </w:r>
      <w:r>
        <w:rPr>
          <w:rFonts w:hint="eastAsia" w:ascii="仿宋" w:hAnsi="仿宋" w:eastAsia="仿宋" w:cs="仿宋"/>
          <w:sz w:val="24"/>
          <w:szCs w:val="24"/>
        </w:rPr>
        <w:t>分，得</w:t>
      </w:r>
      <w:r>
        <w:rPr>
          <w:rFonts w:hint="eastAsia" w:ascii="仿宋" w:hAnsi="仿宋" w:eastAsia="仿宋" w:cs="仿宋"/>
          <w:sz w:val="24"/>
          <w:szCs w:val="24"/>
          <w:lang w:val="en-US" w:eastAsia="zh-CN"/>
        </w:rPr>
        <w:t>2</w:t>
      </w:r>
      <w:r>
        <w:rPr>
          <w:rFonts w:hint="eastAsia" w:ascii="仿宋" w:hAnsi="仿宋" w:eastAsia="仿宋" w:cs="仿宋"/>
          <w:sz w:val="24"/>
          <w:szCs w:val="24"/>
        </w:rPr>
        <w:t>分，得分率</w:t>
      </w:r>
      <w:r>
        <w:rPr>
          <w:rFonts w:hint="eastAsia" w:ascii="仿宋" w:hAnsi="仿宋" w:eastAsia="仿宋" w:cs="仿宋"/>
          <w:sz w:val="24"/>
          <w:szCs w:val="24"/>
          <w:lang w:val="en-US" w:eastAsia="zh-CN"/>
        </w:rPr>
        <w:t>4</w:t>
      </w:r>
      <w:r>
        <w:rPr>
          <w:rFonts w:hint="eastAsia" w:ascii="仿宋" w:hAnsi="仿宋" w:eastAsia="仿宋" w:cs="仿宋"/>
          <w:sz w:val="24"/>
          <w:szCs w:val="24"/>
        </w:rPr>
        <w:t>0.00%。</w:t>
      </w:r>
    </w:p>
    <w:p>
      <w:pPr>
        <w:widowControl/>
        <w:shd w:val="clear" w:color="auto" w:fill="FFFFFF"/>
        <w:spacing w:line="560" w:lineRule="atLeast"/>
        <w:ind w:firstLine="643"/>
        <w:jc w:val="left"/>
        <w:rPr>
          <w:rFonts w:hint="eastAsia" w:ascii="仿宋" w:hAnsi="仿宋" w:eastAsia="仿宋" w:cs="仿宋"/>
          <w:color w:val="333333"/>
          <w:kern w:val="0"/>
          <w:sz w:val="28"/>
          <w:szCs w:val="28"/>
        </w:rPr>
      </w:pPr>
      <w:bookmarkStart w:id="26" w:name="_Toc31012"/>
      <w:r>
        <w:rPr>
          <w:rFonts w:hint="eastAsia" w:ascii="仿宋" w:hAnsi="仿宋" w:eastAsia="仿宋" w:cs="仿宋"/>
          <w:sz w:val="24"/>
          <w:szCs w:val="24"/>
        </w:rPr>
        <w:t>（二）项目过程情况</w:t>
      </w:r>
      <w:bookmarkEnd w:id="26"/>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满分28分，实得15分</w:t>
      </w:r>
      <w:r>
        <w:rPr>
          <w:rFonts w:hint="eastAsia" w:ascii="仿宋" w:hAnsi="仿宋" w:eastAsia="仿宋" w:cs="仿宋"/>
          <w:sz w:val="24"/>
          <w:szCs w:val="24"/>
          <w:lang w:eastAsia="zh-CN"/>
        </w:rPr>
        <w:t>）</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项目</w:t>
      </w:r>
      <w:r>
        <w:rPr>
          <w:rFonts w:hint="eastAsia" w:ascii="仿宋" w:hAnsi="仿宋" w:eastAsia="仿宋" w:cs="仿宋"/>
          <w:sz w:val="24"/>
          <w:szCs w:val="24"/>
          <w:lang w:val="en-US" w:eastAsia="zh-CN"/>
        </w:rPr>
        <w:t>过程</w:t>
      </w:r>
      <w:r>
        <w:rPr>
          <w:rFonts w:hint="eastAsia" w:ascii="仿宋" w:hAnsi="仿宋" w:eastAsia="仿宋" w:cs="仿宋"/>
          <w:sz w:val="24"/>
          <w:szCs w:val="24"/>
        </w:rPr>
        <w:t>的评价指标包括资金管理、组织实施二项二级指标，共涉及资金到位率、资金拨付及时性、预算执行率、资金使用合规性、绩效自评内容准确完整性、绩效自评结论真实性、管理制度健全性、制度执行有效性8个三级指标。“项目过程”总分28分，得分</w:t>
      </w:r>
      <w:r>
        <w:rPr>
          <w:rFonts w:hint="eastAsia" w:ascii="仿宋" w:hAnsi="仿宋" w:eastAsia="仿宋" w:cs="仿宋"/>
          <w:sz w:val="24"/>
          <w:szCs w:val="24"/>
          <w:lang w:val="en-US" w:eastAsia="zh-CN"/>
        </w:rPr>
        <w:t>15</w:t>
      </w:r>
      <w:r>
        <w:rPr>
          <w:rFonts w:hint="eastAsia" w:ascii="仿宋" w:hAnsi="仿宋" w:eastAsia="仿宋" w:cs="仿宋"/>
          <w:sz w:val="24"/>
          <w:szCs w:val="24"/>
        </w:rPr>
        <w:t>分，得分率</w:t>
      </w:r>
      <w:r>
        <w:rPr>
          <w:rFonts w:hint="eastAsia" w:ascii="仿宋" w:hAnsi="仿宋" w:eastAsia="仿宋" w:cs="仿宋"/>
          <w:sz w:val="24"/>
          <w:szCs w:val="24"/>
          <w:lang w:val="en-US" w:eastAsia="zh-CN"/>
        </w:rPr>
        <w:t>53.57</w:t>
      </w:r>
      <w:r>
        <w:rPr>
          <w:rFonts w:hint="eastAsia" w:ascii="仿宋" w:hAnsi="仿宋" w:eastAsia="仿宋" w:cs="仿宋"/>
          <w:sz w:val="24"/>
          <w:szCs w:val="24"/>
        </w:rPr>
        <w:t>%。主要问题在于绩效指标设置不明确、不规范，绩效自评内容不完整，填写不规范，自评结论不能够真实准确反映项目实际完成情况：</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项目过程设立1个一级指标，2个二级指标和</w:t>
      </w:r>
      <w:r>
        <w:rPr>
          <w:rFonts w:hint="eastAsia" w:ascii="仿宋" w:hAnsi="仿宋" w:eastAsia="仿宋" w:cs="仿宋"/>
          <w:sz w:val="24"/>
          <w:szCs w:val="24"/>
          <w:lang w:val="en-US" w:eastAsia="zh-CN"/>
        </w:rPr>
        <w:t>5</w:t>
      </w:r>
      <w:r>
        <w:rPr>
          <w:rFonts w:hint="eastAsia" w:ascii="仿宋" w:hAnsi="仿宋" w:eastAsia="仿宋" w:cs="仿宋"/>
          <w:sz w:val="24"/>
          <w:szCs w:val="24"/>
        </w:rPr>
        <w:t>个三级指标，具体指标情况如下：</w:t>
      </w:r>
    </w:p>
    <w:p>
      <w:pPr>
        <w:pStyle w:val="2"/>
        <w:rPr>
          <w:rFonts w:hint="eastAsia"/>
        </w:rPr>
      </w:pPr>
    </w:p>
    <w:tbl>
      <w:tblPr>
        <w:tblStyle w:val="8"/>
        <w:tblW w:w="8925" w:type="dxa"/>
        <w:jc w:val="center"/>
        <w:tblLayout w:type="fixed"/>
        <w:tblCellMar>
          <w:top w:w="0" w:type="dxa"/>
          <w:left w:w="0" w:type="dxa"/>
          <w:bottom w:w="0" w:type="dxa"/>
          <w:right w:w="0" w:type="dxa"/>
        </w:tblCellMar>
      </w:tblPr>
      <w:tblGrid>
        <w:gridCol w:w="760"/>
        <w:gridCol w:w="732"/>
        <w:gridCol w:w="1218"/>
        <w:gridCol w:w="2438"/>
        <w:gridCol w:w="2436"/>
        <w:gridCol w:w="1341"/>
      </w:tblGrid>
      <w:tr>
        <w:tblPrEx>
          <w:tblCellMar>
            <w:top w:w="0" w:type="dxa"/>
            <w:left w:w="0" w:type="dxa"/>
            <w:bottom w:w="0" w:type="dxa"/>
            <w:right w:w="0" w:type="dxa"/>
          </w:tblCellMar>
        </w:tblPrEx>
        <w:trPr>
          <w:trHeight w:val="692" w:hRule="atLeast"/>
          <w:jc w:val="center"/>
        </w:trPr>
        <w:tc>
          <w:tcPr>
            <w:tcW w:w="760"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一级指标</w:t>
            </w:r>
          </w:p>
        </w:tc>
        <w:tc>
          <w:tcPr>
            <w:tcW w:w="732"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二级指标</w:t>
            </w:r>
          </w:p>
        </w:tc>
        <w:tc>
          <w:tcPr>
            <w:tcW w:w="1218"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三级指标</w:t>
            </w:r>
          </w:p>
        </w:tc>
        <w:tc>
          <w:tcPr>
            <w:tcW w:w="2438"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指标内容</w:t>
            </w:r>
          </w:p>
        </w:tc>
        <w:tc>
          <w:tcPr>
            <w:tcW w:w="2436"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val="en-US" w:eastAsia="zh-CN"/>
              </w:rPr>
            </w:pPr>
            <w:r>
              <w:rPr>
                <w:rFonts w:hint="eastAsia" w:ascii="仿宋" w:hAnsi="仿宋" w:eastAsia="仿宋" w:cs="仿宋"/>
                <w:b/>
                <w:bCs/>
                <w:color w:val="000000"/>
                <w:kern w:val="0"/>
                <w:sz w:val="24"/>
                <w:szCs w:val="24"/>
                <w:lang w:val="en-US" w:eastAsia="zh-CN"/>
              </w:rPr>
              <w:t>评价情况</w:t>
            </w:r>
          </w:p>
        </w:tc>
        <w:tc>
          <w:tcPr>
            <w:tcW w:w="1341"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分值</w:t>
            </w:r>
          </w:p>
        </w:tc>
      </w:tr>
      <w:tr>
        <w:tblPrEx>
          <w:tblCellMar>
            <w:top w:w="0" w:type="dxa"/>
            <w:left w:w="0" w:type="dxa"/>
            <w:bottom w:w="0" w:type="dxa"/>
            <w:right w:w="0" w:type="dxa"/>
          </w:tblCellMar>
        </w:tblPrEx>
        <w:trPr>
          <w:trHeight w:val="1095" w:hRule="atLeast"/>
          <w:jc w:val="center"/>
        </w:trPr>
        <w:tc>
          <w:tcPr>
            <w:tcW w:w="760" w:type="dxa"/>
            <w:vMerge w:val="restart"/>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过程</w:t>
            </w:r>
          </w:p>
          <w:p>
            <w:pPr>
              <w:widowControl/>
              <w:spacing w:line="320" w:lineRule="atLeast"/>
              <w:jc w:val="both"/>
              <w:rPr>
                <w:rFonts w:hint="eastAsia" w:ascii="仿宋" w:hAnsi="仿宋" w:eastAsia="仿宋" w:cs="仿宋"/>
                <w:kern w:val="0"/>
                <w:sz w:val="24"/>
                <w:szCs w:val="24"/>
              </w:rPr>
            </w:pPr>
            <w:r>
              <w:rPr>
                <w:rFonts w:hint="eastAsia" w:ascii="仿宋" w:hAnsi="仿宋" w:eastAsia="仿宋" w:cs="仿宋"/>
                <w:color w:val="000000"/>
                <w:kern w:val="0"/>
                <w:sz w:val="24"/>
                <w:szCs w:val="24"/>
                <w:lang w:val="en-US" w:eastAsia="zh-CN"/>
              </w:rPr>
              <w:t>（28分</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　</w:t>
            </w:r>
          </w:p>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　</w:t>
            </w:r>
          </w:p>
        </w:tc>
        <w:tc>
          <w:tcPr>
            <w:tcW w:w="732" w:type="dxa"/>
            <w:vMerge w:val="restart"/>
            <w:tcBorders>
              <w:top w:val="nil"/>
              <w:left w:val="nil"/>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资金管理</w:t>
            </w:r>
          </w:p>
          <w:p>
            <w:pPr>
              <w:widowControl/>
              <w:spacing w:line="320" w:lineRule="atLeast"/>
              <w:jc w:val="both"/>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（24分</w:t>
            </w:r>
            <w:r>
              <w:rPr>
                <w:rFonts w:hint="eastAsia" w:ascii="仿宋" w:hAnsi="仿宋" w:eastAsia="仿宋" w:cs="仿宋"/>
                <w:color w:val="000000"/>
                <w:kern w:val="0"/>
                <w:sz w:val="24"/>
                <w:szCs w:val="24"/>
                <w:lang w:eastAsia="zh-CN"/>
              </w:rPr>
              <w:t>）</w:t>
            </w:r>
          </w:p>
        </w:tc>
        <w:tc>
          <w:tcPr>
            <w:tcW w:w="12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资金到位率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4分</w:t>
            </w:r>
            <w:r>
              <w:rPr>
                <w:rFonts w:hint="eastAsia" w:ascii="仿宋" w:hAnsi="仿宋" w:eastAsia="仿宋" w:cs="仿宋"/>
                <w:color w:val="000000"/>
                <w:kern w:val="0"/>
                <w:sz w:val="24"/>
                <w:szCs w:val="24"/>
                <w:lang w:eastAsia="zh-CN"/>
              </w:rPr>
              <w:t>）</w:t>
            </w:r>
          </w:p>
        </w:tc>
        <w:tc>
          <w:tcPr>
            <w:tcW w:w="2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eastAsia" w:ascii="仿宋" w:hAnsi="仿宋" w:eastAsia="仿宋" w:cs="仿宋"/>
                <w:kern w:val="0"/>
                <w:sz w:val="24"/>
                <w:szCs w:val="24"/>
              </w:rPr>
            </w:pPr>
            <w:r>
              <w:rPr>
                <w:rFonts w:hint="eastAsia" w:ascii="仿宋" w:hAnsi="仿宋" w:eastAsia="仿宋" w:cs="仿宋"/>
                <w:color w:val="000000"/>
                <w:kern w:val="0"/>
                <w:sz w:val="24"/>
                <w:szCs w:val="24"/>
              </w:rPr>
              <w:t>实际到位资金与</w:t>
            </w:r>
            <w:r>
              <w:rPr>
                <w:rFonts w:hint="eastAsia" w:ascii="仿宋" w:hAnsi="仿宋" w:eastAsia="仿宋" w:cs="仿宋"/>
                <w:color w:val="000000"/>
                <w:kern w:val="0"/>
                <w:sz w:val="24"/>
                <w:szCs w:val="24"/>
                <w:lang w:val="en-US" w:eastAsia="zh-CN"/>
              </w:rPr>
              <w:t>申请</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预算</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资金的比率，用以反映和考核资金落实情况对项目实施的总体保障程度。</w:t>
            </w:r>
          </w:p>
        </w:tc>
        <w:tc>
          <w:tcPr>
            <w:tcW w:w="243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default" w:ascii="仿宋" w:hAnsi="仿宋" w:eastAsia="仿宋" w:cs="仿宋"/>
                <w:kern w:val="0"/>
                <w:sz w:val="24"/>
                <w:szCs w:val="24"/>
                <w:lang w:val="en-US" w:eastAsia="zh-CN" w:bidi="ar-SA"/>
              </w:rPr>
            </w:pPr>
            <w:r>
              <w:rPr>
                <w:rFonts w:hint="eastAsia" w:ascii="仿宋" w:hAnsi="仿宋" w:eastAsia="仿宋" w:cs="仿宋"/>
                <w:color w:val="000000"/>
                <w:kern w:val="0"/>
                <w:sz w:val="24"/>
                <w:szCs w:val="24"/>
              </w:rPr>
              <w:t>实际到位资金与预算资金的比率</w:t>
            </w:r>
            <w:r>
              <w:rPr>
                <w:rFonts w:hint="eastAsia" w:ascii="仿宋" w:hAnsi="仿宋" w:eastAsia="仿宋" w:cs="仿宋"/>
                <w:color w:val="000000"/>
                <w:kern w:val="0"/>
                <w:sz w:val="24"/>
                <w:szCs w:val="24"/>
                <w:lang w:val="en-US" w:eastAsia="zh-CN"/>
              </w:rPr>
              <w:t>100%</w:t>
            </w:r>
            <w:r>
              <w:rPr>
                <w:rFonts w:hint="eastAsia" w:ascii="仿宋" w:hAnsi="仿宋" w:eastAsia="仿宋" w:cs="仿宋"/>
                <w:color w:val="000000"/>
                <w:kern w:val="0"/>
                <w:sz w:val="24"/>
                <w:szCs w:val="24"/>
              </w:rPr>
              <w:t>，</w:t>
            </w:r>
            <w:r>
              <w:rPr>
                <w:rFonts w:hint="eastAsia" w:ascii="仿宋" w:hAnsi="仿宋" w:eastAsia="仿宋" w:cs="仿宋"/>
                <w:color w:val="000000"/>
                <w:kern w:val="0"/>
                <w:sz w:val="24"/>
                <w:szCs w:val="24"/>
                <w:lang w:val="en-US" w:eastAsia="zh-CN"/>
              </w:rPr>
              <w:t>能</w:t>
            </w:r>
            <w:r>
              <w:rPr>
                <w:rFonts w:hint="eastAsia" w:ascii="仿宋" w:hAnsi="仿宋" w:eastAsia="仿宋" w:cs="仿宋"/>
                <w:color w:val="000000"/>
                <w:kern w:val="0"/>
                <w:sz w:val="24"/>
                <w:szCs w:val="24"/>
              </w:rPr>
              <w:t>反映和考核资金落实情况</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能</w:t>
            </w:r>
            <w:r>
              <w:rPr>
                <w:rFonts w:hint="eastAsia" w:ascii="仿宋" w:hAnsi="仿宋" w:eastAsia="仿宋" w:cs="仿宋"/>
                <w:color w:val="000000"/>
                <w:kern w:val="0"/>
                <w:sz w:val="24"/>
                <w:szCs w:val="24"/>
              </w:rPr>
              <w:t>对项目实施总体保障。</w:t>
            </w:r>
            <w:r>
              <w:rPr>
                <w:rFonts w:hint="eastAsia" w:ascii="仿宋" w:hAnsi="仿宋" w:eastAsia="仿宋" w:cs="仿宋"/>
                <w:color w:val="000000"/>
                <w:kern w:val="0"/>
                <w:sz w:val="24"/>
                <w:szCs w:val="24"/>
                <w:lang w:val="en-US" w:eastAsia="zh-CN"/>
              </w:rPr>
              <w:t>得4分</w:t>
            </w:r>
          </w:p>
        </w:tc>
        <w:tc>
          <w:tcPr>
            <w:tcW w:w="134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4</w:t>
            </w:r>
          </w:p>
        </w:tc>
      </w:tr>
      <w:tr>
        <w:tblPrEx>
          <w:tblCellMar>
            <w:top w:w="0" w:type="dxa"/>
            <w:left w:w="0" w:type="dxa"/>
            <w:bottom w:w="0" w:type="dxa"/>
            <w:right w:w="0" w:type="dxa"/>
          </w:tblCellMar>
        </w:tblPrEx>
        <w:trPr>
          <w:trHeight w:val="836"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732" w:type="dxa"/>
            <w:vMerge w:val="continue"/>
            <w:tcBorders>
              <w:left w:val="nil"/>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12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资金拨付及时性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4分</w:t>
            </w:r>
            <w:r>
              <w:rPr>
                <w:rFonts w:hint="eastAsia" w:ascii="仿宋" w:hAnsi="仿宋" w:eastAsia="仿宋" w:cs="仿宋"/>
                <w:color w:val="000000"/>
                <w:kern w:val="0"/>
                <w:sz w:val="24"/>
                <w:szCs w:val="24"/>
                <w:lang w:eastAsia="zh-CN"/>
              </w:rPr>
              <w:t>）</w:t>
            </w:r>
          </w:p>
        </w:tc>
        <w:tc>
          <w:tcPr>
            <w:tcW w:w="2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eastAsia" w:ascii="仿宋" w:hAnsi="仿宋" w:eastAsia="仿宋" w:cs="仿宋"/>
                <w:kern w:val="0"/>
                <w:sz w:val="24"/>
                <w:szCs w:val="24"/>
              </w:rPr>
            </w:pPr>
            <w:r>
              <w:rPr>
                <w:rFonts w:hint="eastAsia" w:ascii="仿宋" w:hAnsi="仿宋" w:eastAsia="仿宋" w:cs="仿宋"/>
                <w:color w:val="000000"/>
                <w:kern w:val="0"/>
                <w:sz w:val="24"/>
                <w:szCs w:val="24"/>
              </w:rPr>
              <w:t>项目资金是否按照依法依规及时拨付，用以反映和考核项目资金拨付时效情况。</w:t>
            </w:r>
          </w:p>
        </w:tc>
        <w:tc>
          <w:tcPr>
            <w:tcW w:w="243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在2022-7-29日两批次转给施工单位无法反映及时性，得1分</w:t>
            </w:r>
          </w:p>
        </w:tc>
        <w:tc>
          <w:tcPr>
            <w:tcW w:w="134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1</w:t>
            </w:r>
          </w:p>
        </w:tc>
      </w:tr>
      <w:tr>
        <w:tblPrEx>
          <w:tblCellMar>
            <w:top w:w="0" w:type="dxa"/>
            <w:left w:w="0" w:type="dxa"/>
            <w:bottom w:w="0" w:type="dxa"/>
            <w:right w:w="0" w:type="dxa"/>
          </w:tblCellMar>
        </w:tblPrEx>
        <w:trPr>
          <w:trHeight w:val="792"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732" w:type="dxa"/>
            <w:vMerge w:val="continue"/>
            <w:tcBorders>
              <w:left w:val="nil"/>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12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预算执行率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4分</w:t>
            </w:r>
            <w:r>
              <w:rPr>
                <w:rFonts w:hint="eastAsia" w:ascii="仿宋" w:hAnsi="仿宋" w:eastAsia="仿宋" w:cs="仿宋"/>
                <w:color w:val="000000"/>
                <w:kern w:val="0"/>
                <w:sz w:val="24"/>
                <w:szCs w:val="24"/>
                <w:lang w:eastAsia="zh-CN"/>
              </w:rPr>
              <w:t>）</w:t>
            </w:r>
          </w:p>
        </w:tc>
        <w:tc>
          <w:tcPr>
            <w:tcW w:w="2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eastAsia" w:ascii="仿宋" w:hAnsi="仿宋" w:eastAsia="仿宋" w:cs="仿宋"/>
                <w:kern w:val="0"/>
                <w:sz w:val="24"/>
                <w:szCs w:val="24"/>
              </w:rPr>
            </w:pPr>
            <w:r>
              <w:rPr>
                <w:rFonts w:hint="eastAsia" w:ascii="仿宋" w:hAnsi="仿宋" w:eastAsia="仿宋" w:cs="仿宋"/>
                <w:color w:val="000000"/>
                <w:kern w:val="0"/>
                <w:sz w:val="24"/>
                <w:szCs w:val="24"/>
              </w:rPr>
              <w:t>项目预算资金是否按照计划执行，用以反映或考核项目预算执行情况。</w:t>
            </w:r>
          </w:p>
        </w:tc>
        <w:tc>
          <w:tcPr>
            <w:tcW w:w="243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rPr>
              <w:t>项目预算资金</w:t>
            </w:r>
            <w:r>
              <w:rPr>
                <w:rFonts w:hint="eastAsia" w:ascii="仿宋" w:hAnsi="仿宋" w:eastAsia="仿宋" w:cs="仿宋"/>
                <w:color w:val="000000"/>
                <w:kern w:val="0"/>
                <w:sz w:val="24"/>
                <w:szCs w:val="24"/>
                <w:lang w:val="en-US" w:eastAsia="zh-CN"/>
              </w:rPr>
              <w:t>能反</w:t>
            </w:r>
            <w:r>
              <w:rPr>
                <w:rFonts w:hint="eastAsia" w:ascii="仿宋" w:hAnsi="仿宋" w:eastAsia="仿宋" w:cs="仿宋"/>
                <w:color w:val="000000"/>
                <w:kern w:val="0"/>
                <w:sz w:val="24"/>
                <w:szCs w:val="24"/>
              </w:rPr>
              <w:t>映或考核项目预算执行情况。</w:t>
            </w:r>
            <w:r>
              <w:rPr>
                <w:rFonts w:hint="eastAsia" w:ascii="仿宋" w:hAnsi="仿宋" w:eastAsia="仿宋" w:cs="仿宋"/>
                <w:color w:val="000000"/>
                <w:kern w:val="0"/>
                <w:sz w:val="24"/>
                <w:szCs w:val="24"/>
                <w:lang w:val="en-US" w:eastAsia="zh-CN"/>
              </w:rPr>
              <w:t>得4分</w:t>
            </w:r>
          </w:p>
        </w:tc>
        <w:tc>
          <w:tcPr>
            <w:tcW w:w="134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0" w:type="dxa"/>
            <w:bottom w:w="0" w:type="dxa"/>
            <w:right w:w="0" w:type="dxa"/>
          </w:tblCellMar>
        </w:tblPrEx>
        <w:trPr>
          <w:trHeight w:val="1082"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732" w:type="dxa"/>
            <w:vMerge w:val="continue"/>
            <w:tcBorders>
              <w:left w:val="nil"/>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12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资金使用</w:t>
            </w:r>
          </w:p>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合规性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4分</w:t>
            </w:r>
            <w:r>
              <w:rPr>
                <w:rFonts w:hint="eastAsia" w:ascii="仿宋" w:hAnsi="仿宋" w:eastAsia="仿宋" w:cs="仿宋"/>
                <w:color w:val="000000"/>
                <w:kern w:val="0"/>
                <w:sz w:val="24"/>
                <w:szCs w:val="24"/>
                <w:lang w:eastAsia="zh-CN"/>
              </w:rPr>
              <w:t>）</w:t>
            </w:r>
          </w:p>
        </w:tc>
        <w:tc>
          <w:tcPr>
            <w:tcW w:w="2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eastAsia" w:ascii="仿宋" w:hAnsi="仿宋" w:eastAsia="仿宋" w:cs="仿宋"/>
                <w:kern w:val="0"/>
                <w:sz w:val="24"/>
                <w:szCs w:val="24"/>
              </w:rPr>
            </w:pPr>
            <w:r>
              <w:rPr>
                <w:rFonts w:hint="eastAsia" w:ascii="仿宋" w:hAnsi="仿宋" w:eastAsia="仿宋" w:cs="仿宋"/>
                <w:color w:val="000000"/>
                <w:kern w:val="0"/>
                <w:sz w:val="24"/>
                <w:szCs w:val="24"/>
              </w:rPr>
              <w:t>项目资金使用是否符合相关的财务管理制度规定，用以反映和考核项目资金的规范运行情况。</w:t>
            </w:r>
          </w:p>
        </w:tc>
        <w:tc>
          <w:tcPr>
            <w:tcW w:w="243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提供针对项目资金管理制度，能评价资金规范运行情况，但支付没能完全按合同规定支付。得1分</w:t>
            </w:r>
          </w:p>
        </w:tc>
        <w:tc>
          <w:tcPr>
            <w:tcW w:w="134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1</w:t>
            </w:r>
          </w:p>
        </w:tc>
      </w:tr>
      <w:tr>
        <w:tblPrEx>
          <w:tblCellMar>
            <w:top w:w="0" w:type="dxa"/>
            <w:left w:w="0" w:type="dxa"/>
            <w:bottom w:w="0" w:type="dxa"/>
            <w:right w:w="0" w:type="dxa"/>
          </w:tblCellMar>
        </w:tblPrEx>
        <w:trPr>
          <w:trHeight w:val="1082"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732" w:type="dxa"/>
            <w:vMerge w:val="continue"/>
            <w:tcBorders>
              <w:left w:val="nil"/>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12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绩效自评内容完整性（4分）</w:t>
            </w:r>
          </w:p>
        </w:tc>
        <w:tc>
          <w:tcPr>
            <w:tcW w:w="2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绩效自评是否根据要求进行评价</w:t>
            </w:r>
          </w:p>
        </w:tc>
        <w:tc>
          <w:tcPr>
            <w:tcW w:w="243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绩效自评内容不完整，不细化。得1分</w:t>
            </w:r>
          </w:p>
        </w:tc>
        <w:tc>
          <w:tcPr>
            <w:tcW w:w="134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r>
      <w:tr>
        <w:tblPrEx>
          <w:tblCellMar>
            <w:top w:w="0" w:type="dxa"/>
            <w:left w:w="0" w:type="dxa"/>
            <w:bottom w:w="0" w:type="dxa"/>
            <w:right w:w="0" w:type="dxa"/>
          </w:tblCellMar>
        </w:tblPrEx>
        <w:trPr>
          <w:trHeight w:val="1082"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732" w:type="dxa"/>
            <w:vMerge w:val="continue"/>
            <w:tcBorders>
              <w:left w:val="nil"/>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12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绩效自评结论真实性（4分）</w:t>
            </w:r>
          </w:p>
        </w:tc>
        <w:tc>
          <w:tcPr>
            <w:tcW w:w="2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绩效自评是否与结论一致</w:t>
            </w:r>
          </w:p>
        </w:tc>
        <w:tc>
          <w:tcPr>
            <w:tcW w:w="243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_GB2312" w:cs="仿宋"/>
                <w:color w:val="000000"/>
                <w:kern w:val="0"/>
                <w:sz w:val="24"/>
                <w:szCs w:val="24"/>
                <w:lang w:val="en-US" w:eastAsia="zh-CN"/>
              </w:rPr>
            </w:pPr>
            <w:r>
              <w:rPr>
                <w:rFonts w:hint="eastAsia" w:ascii="仿宋_GB2312" w:hAnsi="Times New Roman" w:eastAsia="仿宋_GB2312" w:cs="Times New Roman"/>
                <w:sz w:val="24"/>
                <w:szCs w:val="24"/>
              </w:rPr>
              <w:t>项目资金投入自评结论与实际数据一致，其他指标设置不明确、不规范，自评结论未能真实准确反映项目实际完成情况</w:t>
            </w:r>
            <w:r>
              <w:rPr>
                <w:rFonts w:hint="eastAsia" w:ascii="仿宋_GB2312" w:eastAsia="仿宋_GB2312" w:cs="Times New Roman"/>
                <w:sz w:val="24"/>
                <w:szCs w:val="24"/>
                <w:lang w:eastAsia="zh-CN"/>
              </w:rPr>
              <w:t>，</w:t>
            </w:r>
            <w:r>
              <w:rPr>
                <w:rFonts w:hint="eastAsia" w:ascii="仿宋_GB2312" w:eastAsia="仿宋_GB2312" w:cs="Times New Roman"/>
                <w:sz w:val="24"/>
                <w:szCs w:val="24"/>
                <w:lang w:val="en-US" w:eastAsia="zh-CN"/>
              </w:rPr>
              <w:t>验收合格但未能竣工上报。得2分</w:t>
            </w:r>
          </w:p>
        </w:tc>
        <w:tc>
          <w:tcPr>
            <w:tcW w:w="134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tblPrEx>
          <w:tblCellMar>
            <w:top w:w="0" w:type="dxa"/>
            <w:left w:w="0" w:type="dxa"/>
            <w:bottom w:w="0" w:type="dxa"/>
            <w:right w:w="0" w:type="dxa"/>
          </w:tblCellMar>
        </w:tblPrEx>
        <w:trPr>
          <w:trHeight w:val="1122"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73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组织实施</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4分</w:t>
            </w:r>
            <w:r>
              <w:rPr>
                <w:rFonts w:hint="eastAsia" w:ascii="仿宋" w:hAnsi="仿宋" w:eastAsia="仿宋" w:cs="仿宋"/>
                <w:color w:val="000000"/>
                <w:kern w:val="0"/>
                <w:sz w:val="24"/>
                <w:szCs w:val="24"/>
                <w:lang w:eastAsia="zh-CN"/>
              </w:rPr>
              <w:t>）</w:t>
            </w:r>
          </w:p>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　</w:t>
            </w:r>
          </w:p>
        </w:tc>
        <w:tc>
          <w:tcPr>
            <w:tcW w:w="12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管理制度</w:t>
            </w:r>
          </w:p>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健全性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4分</w:t>
            </w:r>
            <w:r>
              <w:rPr>
                <w:rFonts w:hint="eastAsia" w:ascii="仿宋" w:hAnsi="仿宋" w:eastAsia="仿宋" w:cs="仿宋"/>
                <w:color w:val="000000"/>
                <w:kern w:val="0"/>
                <w:sz w:val="24"/>
                <w:szCs w:val="24"/>
                <w:lang w:eastAsia="zh-CN"/>
              </w:rPr>
              <w:t>）</w:t>
            </w:r>
          </w:p>
        </w:tc>
        <w:tc>
          <w:tcPr>
            <w:tcW w:w="2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eastAsia" w:ascii="仿宋" w:hAnsi="仿宋" w:eastAsia="仿宋" w:cs="仿宋"/>
                <w:kern w:val="0"/>
                <w:sz w:val="24"/>
                <w:szCs w:val="24"/>
              </w:rPr>
            </w:pPr>
            <w:r>
              <w:rPr>
                <w:rFonts w:hint="eastAsia" w:ascii="仿宋" w:hAnsi="仿宋" w:eastAsia="仿宋" w:cs="仿宋"/>
                <w:color w:val="000000"/>
                <w:kern w:val="0"/>
                <w:sz w:val="24"/>
                <w:szCs w:val="24"/>
              </w:rPr>
              <w:t>项目实施单位的财务和业务管理制度是否健全，用以反映和考核财务和业务管理制度对项目顺利实施的保障情况。</w:t>
            </w:r>
          </w:p>
        </w:tc>
        <w:tc>
          <w:tcPr>
            <w:tcW w:w="243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主管部门提供财务与业务管理制度，只有审批报销单据，没能根据合同约定支付得</w:t>
            </w:r>
          </w:p>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2分</w:t>
            </w:r>
          </w:p>
        </w:tc>
        <w:tc>
          <w:tcPr>
            <w:tcW w:w="134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r>
      <w:tr>
        <w:tblPrEx>
          <w:tblCellMar>
            <w:top w:w="0" w:type="dxa"/>
            <w:left w:w="0" w:type="dxa"/>
            <w:bottom w:w="0" w:type="dxa"/>
            <w:right w:w="0" w:type="dxa"/>
          </w:tblCellMar>
        </w:tblPrEx>
        <w:trPr>
          <w:trHeight w:val="542" w:hRule="atLeast"/>
          <w:jc w:val="center"/>
        </w:trPr>
        <w:tc>
          <w:tcPr>
            <w:tcW w:w="7584" w:type="dxa"/>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小计</w:t>
            </w:r>
          </w:p>
        </w:tc>
        <w:tc>
          <w:tcPr>
            <w:tcW w:w="134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15</w:t>
            </w:r>
          </w:p>
        </w:tc>
      </w:tr>
    </w:tbl>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1.资金到位率</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指标解释：实际到位资金与预算资金的比例，用以反映和考核资金落实情况对项目实施的总体保障程度。</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评分情况：怀远县财政局</w:t>
      </w:r>
      <w:r>
        <w:rPr>
          <w:rFonts w:hint="eastAsia" w:ascii="仿宋" w:hAnsi="仿宋" w:eastAsia="仿宋" w:cs="仿宋"/>
          <w:sz w:val="24"/>
          <w:szCs w:val="24"/>
          <w:lang w:val="en-US" w:eastAsia="zh-CN"/>
        </w:rPr>
        <w:t>根据省级财政</w:t>
      </w:r>
      <w:r>
        <w:rPr>
          <w:rFonts w:hint="eastAsia" w:ascii="仿宋" w:hAnsi="仿宋" w:eastAsia="仿宋" w:cs="仿宋"/>
          <w:sz w:val="24"/>
          <w:szCs w:val="24"/>
        </w:rPr>
        <w:t>批复</w:t>
      </w:r>
      <w:r>
        <w:rPr>
          <w:rFonts w:hint="eastAsia" w:ascii="仿宋" w:hAnsi="仿宋" w:eastAsia="仿宋" w:cs="仿宋"/>
          <w:sz w:val="24"/>
          <w:szCs w:val="24"/>
          <w:lang w:val="en-US" w:eastAsia="zh-CN"/>
        </w:rPr>
        <w:t>补助资金2022</w:t>
      </w:r>
      <w:r>
        <w:rPr>
          <w:rFonts w:hint="eastAsia" w:ascii="仿宋" w:hAnsi="仿宋" w:eastAsia="仿宋" w:cs="仿宋"/>
          <w:sz w:val="24"/>
          <w:szCs w:val="24"/>
        </w:rPr>
        <w:t>年度“</w:t>
      </w:r>
      <w:r>
        <w:rPr>
          <w:rFonts w:hint="eastAsia" w:ascii="仿宋" w:hAnsi="仿宋" w:eastAsia="仿宋" w:cs="仿宋"/>
          <w:sz w:val="24"/>
          <w:szCs w:val="24"/>
          <w:lang w:val="en-US" w:eastAsia="zh-CN"/>
        </w:rPr>
        <w:t>居民安全饮用水</w:t>
      </w:r>
      <w:r>
        <w:rPr>
          <w:rFonts w:hint="eastAsia" w:ascii="仿宋" w:hAnsi="仿宋" w:eastAsia="仿宋" w:cs="仿宋"/>
          <w:sz w:val="24"/>
          <w:szCs w:val="24"/>
        </w:rPr>
        <w:t>”预算金额</w:t>
      </w:r>
      <w:r>
        <w:rPr>
          <w:rFonts w:hint="eastAsia" w:ascii="仿宋" w:hAnsi="仿宋" w:eastAsia="仿宋" w:cs="仿宋"/>
          <w:sz w:val="24"/>
          <w:szCs w:val="24"/>
          <w:lang w:val="en-US" w:eastAsia="zh-CN"/>
        </w:rPr>
        <w:t>200</w:t>
      </w:r>
      <w:r>
        <w:rPr>
          <w:rFonts w:hint="eastAsia" w:ascii="仿宋" w:hAnsi="仿宋" w:eastAsia="仿宋" w:cs="仿宋"/>
          <w:sz w:val="24"/>
          <w:szCs w:val="24"/>
        </w:rPr>
        <w:t>0万元，资金到位率为 100%。根据评价标准，该项满分</w:t>
      </w:r>
      <w:r>
        <w:rPr>
          <w:rFonts w:hint="eastAsia" w:ascii="仿宋" w:hAnsi="仿宋" w:eastAsia="仿宋" w:cs="仿宋"/>
          <w:sz w:val="24"/>
          <w:szCs w:val="24"/>
          <w:lang w:val="en-US" w:eastAsia="zh-CN"/>
        </w:rPr>
        <w:t>4</w:t>
      </w:r>
      <w:r>
        <w:rPr>
          <w:rFonts w:hint="eastAsia" w:ascii="仿宋" w:hAnsi="仿宋" w:eastAsia="仿宋" w:cs="仿宋"/>
          <w:sz w:val="24"/>
          <w:szCs w:val="24"/>
        </w:rPr>
        <w:t>分，得</w:t>
      </w:r>
      <w:r>
        <w:rPr>
          <w:rFonts w:hint="eastAsia" w:ascii="仿宋" w:hAnsi="仿宋" w:eastAsia="仿宋" w:cs="仿宋"/>
          <w:sz w:val="24"/>
          <w:szCs w:val="24"/>
          <w:lang w:val="en-US" w:eastAsia="zh-CN"/>
        </w:rPr>
        <w:t>4</w:t>
      </w:r>
      <w:r>
        <w:rPr>
          <w:rFonts w:hint="eastAsia" w:ascii="仿宋" w:hAnsi="仿宋" w:eastAsia="仿宋" w:cs="仿宋"/>
          <w:sz w:val="24"/>
          <w:szCs w:val="24"/>
        </w:rPr>
        <w:t>分，得分率100.00%。</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2.资金拨付及时性</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指标解释：项目资金是否按照依法依规及时拨付，用以反映和考核项目资金拨付时效情况。</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评分情况：怀远县财政局及时拨付，无滞后现象，</w:t>
      </w:r>
      <w:r>
        <w:rPr>
          <w:rFonts w:hint="eastAsia" w:ascii="仿宋" w:hAnsi="仿宋" w:eastAsia="仿宋" w:cs="仿宋"/>
          <w:sz w:val="24"/>
          <w:szCs w:val="24"/>
          <w:lang w:val="en-US" w:eastAsia="zh-CN"/>
        </w:rPr>
        <w:t>但大禹水务转给建设单位未根据工程进度付款，拨付不及时。</w:t>
      </w:r>
      <w:r>
        <w:rPr>
          <w:rFonts w:hint="eastAsia" w:ascii="仿宋" w:hAnsi="仿宋" w:eastAsia="仿宋" w:cs="仿宋"/>
          <w:sz w:val="24"/>
          <w:szCs w:val="24"/>
        </w:rPr>
        <w:t>根据评价标准，该项满分</w:t>
      </w:r>
      <w:r>
        <w:rPr>
          <w:rFonts w:hint="eastAsia" w:ascii="仿宋" w:hAnsi="仿宋" w:eastAsia="仿宋" w:cs="仿宋"/>
          <w:sz w:val="24"/>
          <w:szCs w:val="24"/>
          <w:lang w:val="en-US" w:eastAsia="zh-CN"/>
        </w:rPr>
        <w:t>4</w:t>
      </w:r>
      <w:r>
        <w:rPr>
          <w:rFonts w:hint="eastAsia" w:ascii="仿宋" w:hAnsi="仿宋" w:eastAsia="仿宋" w:cs="仿宋"/>
          <w:sz w:val="24"/>
          <w:szCs w:val="24"/>
        </w:rPr>
        <w:t>分，得</w:t>
      </w:r>
      <w:r>
        <w:rPr>
          <w:rFonts w:hint="eastAsia" w:ascii="仿宋" w:hAnsi="仿宋" w:eastAsia="仿宋" w:cs="仿宋"/>
          <w:sz w:val="24"/>
          <w:szCs w:val="24"/>
          <w:lang w:val="en-US" w:eastAsia="zh-CN"/>
        </w:rPr>
        <w:t>1</w:t>
      </w:r>
      <w:r>
        <w:rPr>
          <w:rFonts w:hint="eastAsia" w:ascii="仿宋" w:hAnsi="仿宋" w:eastAsia="仿宋" w:cs="仿宋"/>
          <w:sz w:val="24"/>
          <w:szCs w:val="24"/>
        </w:rPr>
        <w:t>分，得分率</w:t>
      </w:r>
      <w:r>
        <w:rPr>
          <w:rFonts w:hint="eastAsia" w:ascii="仿宋" w:hAnsi="仿宋" w:eastAsia="仿宋" w:cs="仿宋"/>
          <w:sz w:val="24"/>
          <w:szCs w:val="24"/>
          <w:lang w:val="en-US" w:eastAsia="zh-CN"/>
        </w:rPr>
        <w:t>25</w:t>
      </w:r>
      <w:r>
        <w:rPr>
          <w:rFonts w:hint="eastAsia" w:ascii="仿宋" w:hAnsi="仿宋" w:eastAsia="仿宋" w:cs="仿宋"/>
          <w:sz w:val="24"/>
          <w:szCs w:val="24"/>
        </w:rPr>
        <w:t>.00%。</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3.预算执行率</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指标解释：项目预算资金是否按照计划执行，用以反映或考核项目预算执行情况。</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评分情况： 县</w:t>
      </w:r>
      <w:r>
        <w:rPr>
          <w:rFonts w:hint="eastAsia" w:ascii="仿宋" w:hAnsi="仿宋" w:eastAsia="仿宋" w:cs="仿宋"/>
          <w:sz w:val="24"/>
          <w:szCs w:val="24"/>
          <w:lang w:val="en-US" w:eastAsia="zh-CN"/>
        </w:rPr>
        <w:t>水利局</w:t>
      </w:r>
      <w:r>
        <w:rPr>
          <w:rFonts w:hint="eastAsia" w:ascii="仿宋" w:hAnsi="仿宋" w:eastAsia="仿宋" w:cs="仿宋"/>
          <w:sz w:val="24"/>
          <w:szCs w:val="24"/>
        </w:rPr>
        <w:t>202</w:t>
      </w:r>
      <w:r>
        <w:rPr>
          <w:rFonts w:hint="eastAsia" w:ascii="仿宋" w:hAnsi="仿宋" w:eastAsia="仿宋" w:cs="仿宋"/>
          <w:sz w:val="24"/>
          <w:szCs w:val="24"/>
          <w:lang w:val="en-US" w:eastAsia="zh-CN"/>
        </w:rPr>
        <w:t>2</w:t>
      </w:r>
      <w:r>
        <w:rPr>
          <w:rFonts w:hint="eastAsia" w:ascii="仿宋" w:hAnsi="仿宋" w:eastAsia="仿宋" w:cs="仿宋"/>
          <w:sz w:val="24"/>
          <w:szCs w:val="24"/>
        </w:rPr>
        <w:t>年度“</w:t>
      </w:r>
      <w:r>
        <w:rPr>
          <w:rFonts w:hint="eastAsia" w:ascii="仿宋" w:hAnsi="仿宋" w:eastAsia="仿宋" w:cs="仿宋"/>
          <w:sz w:val="24"/>
          <w:szCs w:val="24"/>
          <w:lang w:val="en-US" w:eastAsia="zh-CN"/>
        </w:rPr>
        <w:t>居民饮用水安全工程项目支出</w:t>
      </w:r>
      <w:r>
        <w:rPr>
          <w:rFonts w:hint="eastAsia" w:ascii="仿宋" w:hAnsi="仿宋" w:eastAsia="仿宋" w:cs="仿宋"/>
          <w:sz w:val="24"/>
          <w:szCs w:val="24"/>
        </w:rPr>
        <w:t>”预算金额</w:t>
      </w:r>
      <w:r>
        <w:rPr>
          <w:rFonts w:hint="eastAsia" w:ascii="仿宋" w:hAnsi="仿宋" w:eastAsia="仿宋" w:cs="仿宋"/>
          <w:sz w:val="24"/>
          <w:szCs w:val="24"/>
          <w:lang w:val="en-US" w:eastAsia="zh-CN"/>
        </w:rPr>
        <w:t>2000</w:t>
      </w:r>
      <w:r>
        <w:rPr>
          <w:rFonts w:hint="eastAsia" w:ascii="仿宋" w:hAnsi="仿宋" w:eastAsia="仿宋" w:cs="仿宋"/>
          <w:sz w:val="24"/>
          <w:szCs w:val="24"/>
        </w:rPr>
        <w:t>万元，预算执行率100.00%。根据评价标准，该项满分</w:t>
      </w:r>
      <w:r>
        <w:rPr>
          <w:rFonts w:hint="eastAsia" w:ascii="仿宋" w:hAnsi="仿宋" w:eastAsia="仿宋" w:cs="仿宋"/>
          <w:sz w:val="24"/>
          <w:szCs w:val="24"/>
          <w:lang w:val="en-US" w:eastAsia="zh-CN"/>
        </w:rPr>
        <w:t>4</w:t>
      </w:r>
      <w:r>
        <w:rPr>
          <w:rFonts w:hint="eastAsia" w:ascii="仿宋" w:hAnsi="仿宋" w:eastAsia="仿宋" w:cs="仿宋"/>
          <w:sz w:val="24"/>
          <w:szCs w:val="24"/>
        </w:rPr>
        <w:t>分，得</w:t>
      </w:r>
      <w:r>
        <w:rPr>
          <w:rFonts w:hint="eastAsia" w:ascii="仿宋" w:hAnsi="仿宋" w:eastAsia="仿宋" w:cs="仿宋"/>
          <w:sz w:val="24"/>
          <w:szCs w:val="24"/>
          <w:lang w:val="en-US" w:eastAsia="zh-CN"/>
        </w:rPr>
        <w:t>4</w:t>
      </w:r>
      <w:r>
        <w:rPr>
          <w:rFonts w:hint="eastAsia" w:ascii="仿宋" w:hAnsi="仿宋" w:eastAsia="仿宋" w:cs="仿宋"/>
          <w:sz w:val="24"/>
          <w:szCs w:val="24"/>
        </w:rPr>
        <w:t>分，得分率100.00%。</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4.资金使用合规性</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指标解释：项目资金使用是否符合相关的财务管理制度规定，用以反映和考核项目资金的规范运行情况。</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评分情况：资金使用符合相关财务制度的规定，审批程序和手续完整，</w:t>
      </w:r>
      <w:r>
        <w:rPr>
          <w:rFonts w:hint="eastAsia" w:ascii="仿宋" w:hAnsi="仿宋" w:eastAsia="仿宋" w:cs="仿宋"/>
          <w:sz w:val="24"/>
          <w:szCs w:val="24"/>
          <w:lang w:val="en-US" w:eastAsia="zh-CN"/>
        </w:rPr>
        <w:t>但没收集到财政拨款给怀投或大禹水务，只见到大禹水务转款给建筑公司，无法判断是否</w:t>
      </w:r>
      <w:r>
        <w:rPr>
          <w:rFonts w:hint="eastAsia" w:ascii="仿宋" w:hAnsi="仿宋" w:eastAsia="仿宋" w:cs="仿宋"/>
          <w:sz w:val="24"/>
          <w:szCs w:val="24"/>
        </w:rPr>
        <w:t>做到专款专用，</w:t>
      </w:r>
      <w:r>
        <w:rPr>
          <w:rFonts w:hint="eastAsia" w:ascii="仿宋" w:hAnsi="仿宋" w:eastAsia="仿宋" w:cs="仿宋"/>
          <w:sz w:val="24"/>
          <w:szCs w:val="24"/>
          <w:lang w:val="en-US" w:eastAsia="zh-CN"/>
        </w:rPr>
        <w:t>无法分析是否出</w:t>
      </w:r>
      <w:r>
        <w:rPr>
          <w:rFonts w:hint="eastAsia" w:ascii="仿宋" w:hAnsi="仿宋" w:eastAsia="仿宋" w:cs="仿宋"/>
          <w:sz w:val="24"/>
          <w:szCs w:val="24"/>
        </w:rPr>
        <w:t>现截留、挤占、挪用、虚列开支等情况。</w:t>
      </w:r>
      <w:r>
        <w:rPr>
          <w:rFonts w:hint="eastAsia" w:ascii="仿宋" w:hAnsi="仿宋" w:eastAsia="仿宋" w:cs="仿宋"/>
          <w:sz w:val="24"/>
          <w:szCs w:val="24"/>
          <w:lang w:val="en-US" w:eastAsia="zh-CN"/>
        </w:rPr>
        <w:t>但支付没能根据合同规定支付，</w:t>
      </w:r>
      <w:r>
        <w:rPr>
          <w:rFonts w:hint="eastAsia" w:ascii="仿宋" w:hAnsi="仿宋" w:eastAsia="仿宋" w:cs="仿宋"/>
          <w:sz w:val="24"/>
          <w:szCs w:val="24"/>
        </w:rPr>
        <w:t>该项指标满分4分，得</w:t>
      </w:r>
      <w:r>
        <w:rPr>
          <w:rFonts w:hint="eastAsia" w:ascii="仿宋" w:hAnsi="仿宋" w:eastAsia="仿宋" w:cs="仿宋"/>
          <w:sz w:val="24"/>
          <w:szCs w:val="24"/>
          <w:lang w:val="en-US" w:eastAsia="zh-CN"/>
        </w:rPr>
        <w:t>1</w:t>
      </w:r>
      <w:r>
        <w:rPr>
          <w:rFonts w:hint="eastAsia" w:ascii="仿宋" w:hAnsi="仿宋" w:eastAsia="仿宋" w:cs="仿宋"/>
          <w:sz w:val="24"/>
          <w:szCs w:val="24"/>
        </w:rPr>
        <w:t>分，得分率</w:t>
      </w:r>
      <w:r>
        <w:rPr>
          <w:rFonts w:hint="eastAsia" w:ascii="仿宋" w:hAnsi="仿宋" w:eastAsia="仿宋" w:cs="仿宋"/>
          <w:sz w:val="24"/>
          <w:szCs w:val="24"/>
          <w:lang w:val="en-US" w:eastAsia="zh-CN"/>
        </w:rPr>
        <w:t>25</w:t>
      </w:r>
      <w:r>
        <w:rPr>
          <w:rFonts w:hint="eastAsia" w:ascii="仿宋" w:hAnsi="仿宋" w:eastAsia="仿宋" w:cs="仿宋"/>
          <w:sz w:val="24"/>
          <w:szCs w:val="24"/>
        </w:rPr>
        <w:t>%。</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5.绩效自评内容完整性</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指标解释：是否对设定的绩效目标指标值均进行了绩效自评，相关数据填写是否规范</w:t>
      </w:r>
      <w:r>
        <w:rPr>
          <w:rFonts w:hint="eastAsia" w:ascii="仿宋" w:hAnsi="仿宋" w:eastAsia="仿宋" w:cs="仿宋"/>
          <w:sz w:val="24"/>
          <w:szCs w:val="24"/>
          <w:lang w:val="en-US" w:eastAsia="zh-CN"/>
        </w:rPr>
        <w:t>是否完整</w:t>
      </w:r>
      <w:r>
        <w:rPr>
          <w:rFonts w:hint="eastAsia" w:ascii="仿宋" w:hAnsi="仿宋" w:eastAsia="仿宋" w:cs="仿宋"/>
          <w:sz w:val="24"/>
          <w:szCs w:val="24"/>
        </w:rPr>
        <w:t>。</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评分情况：县</w:t>
      </w:r>
      <w:r>
        <w:rPr>
          <w:rFonts w:hint="eastAsia" w:ascii="仿宋" w:hAnsi="仿宋" w:eastAsia="仿宋" w:cs="仿宋"/>
          <w:sz w:val="24"/>
          <w:szCs w:val="24"/>
          <w:lang w:val="en-US" w:eastAsia="zh-CN"/>
        </w:rPr>
        <w:t>水利局</w:t>
      </w:r>
      <w:r>
        <w:rPr>
          <w:rFonts w:hint="eastAsia" w:ascii="仿宋" w:hAnsi="仿宋" w:eastAsia="仿宋" w:cs="仿宋"/>
          <w:sz w:val="24"/>
          <w:szCs w:val="24"/>
        </w:rPr>
        <w:t>根据设定的绩效目标进行了绩效自评，但由于指标设定不完整，细化、量化程度不高，实际完成</w:t>
      </w:r>
      <w:r>
        <w:rPr>
          <w:rFonts w:hint="eastAsia" w:ascii="仿宋" w:hAnsi="仿宋" w:eastAsia="仿宋" w:cs="仿宋"/>
          <w:sz w:val="24"/>
          <w:szCs w:val="24"/>
          <w:lang w:val="en-US" w:eastAsia="zh-CN"/>
        </w:rPr>
        <w:t>内容</w:t>
      </w:r>
      <w:r>
        <w:rPr>
          <w:rFonts w:hint="eastAsia" w:ascii="仿宋" w:hAnsi="仿宋" w:eastAsia="仿宋" w:cs="仿宋"/>
          <w:sz w:val="24"/>
          <w:szCs w:val="24"/>
        </w:rPr>
        <w:t>填写不规范，笼统地写为“效果显著”。该项指标满分</w:t>
      </w:r>
      <w:r>
        <w:rPr>
          <w:rFonts w:hint="eastAsia" w:ascii="仿宋" w:hAnsi="仿宋" w:eastAsia="仿宋" w:cs="仿宋"/>
          <w:sz w:val="24"/>
          <w:szCs w:val="24"/>
          <w:lang w:val="en-US" w:eastAsia="zh-CN"/>
        </w:rPr>
        <w:t>4</w:t>
      </w:r>
      <w:r>
        <w:rPr>
          <w:rFonts w:hint="eastAsia" w:ascii="仿宋" w:hAnsi="仿宋" w:eastAsia="仿宋" w:cs="仿宋"/>
          <w:sz w:val="24"/>
          <w:szCs w:val="24"/>
        </w:rPr>
        <w:t>分，得</w:t>
      </w:r>
      <w:r>
        <w:rPr>
          <w:rFonts w:hint="eastAsia" w:ascii="仿宋" w:hAnsi="仿宋" w:eastAsia="仿宋" w:cs="仿宋"/>
          <w:sz w:val="24"/>
          <w:szCs w:val="24"/>
          <w:lang w:val="en-US" w:eastAsia="zh-CN"/>
        </w:rPr>
        <w:t>1</w:t>
      </w:r>
      <w:r>
        <w:rPr>
          <w:rFonts w:hint="eastAsia" w:ascii="仿宋" w:hAnsi="仿宋" w:eastAsia="仿宋" w:cs="仿宋"/>
          <w:sz w:val="24"/>
          <w:szCs w:val="24"/>
        </w:rPr>
        <w:t>分，得分率</w:t>
      </w:r>
      <w:r>
        <w:rPr>
          <w:rFonts w:hint="eastAsia" w:ascii="仿宋" w:hAnsi="仿宋" w:eastAsia="仿宋" w:cs="仿宋"/>
          <w:sz w:val="24"/>
          <w:szCs w:val="24"/>
          <w:lang w:val="en-US" w:eastAsia="zh-CN"/>
        </w:rPr>
        <w:t>25</w:t>
      </w:r>
      <w:r>
        <w:rPr>
          <w:rFonts w:hint="eastAsia" w:ascii="仿宋" w:hAnsi="仿宋" w:eastAsia="仿宋" w:cs="仿宋"/>
          <w:sz w:val="24"/>
          <w:szCs w:val="24"/>
        </w:rPr>
        <w:t>.00%。</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6.绩效自评结论真实性</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指标解释：绩效自评结论是否与实际数据一致。</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评分情况：项目资金投入自评结论与实际数据一致，其他指标设置不明确、</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不规范，自评结论未能真实准确反映项目实际完成情况。</w:t>
      </w:r>
      <w:r>
        <w:rPr>
          <w:rFonts w:hint="eastAsia" w:ascii="仿宋" w:hAnsi="仿宋" w:eastAsia="仿宋" w:cs="仿宋"/>
          <w:sz w:val="24"/>
          <w:szCs w:val="24"/>
          <w:lang w:val="en-US" w:eastAsia="zh-CN"/>
        </w:rPr>
        <w:t>验收合格但没提到是否竣工。</w:t>
      </w:r>
      <w:r>
        <w:rPr>
          <w:rFonts w:hint="eastAsia" w:ascii="仿宋" w:hAnsi="仿宋" w:eastAsia="仿宋" w:cs="仿宋"/>
          <w:sz w:val="24"/>
          <w:szCs w:val="24"/>
        </w:rPr>
        <w:t>该项指标满分</w:t>
      </w:r>
      <w:r>
        <w:rPr>
          <w:rFonts w:hint="eastAsia" w:ascii="仿宋" w:hAnsi="仿宋" w:eastAsia="仿宋" w:cs="仿宋"/>
          <w:sz w:val="24"/>
          <w:szCs w:val="24"/>
          <w:lang w:val="en-US" w:eastAsia="zh-CN"/>
        </w:rPr>
        <w:t>4</w:t>
      </w:r>
      <w:r>
        <w:rPr>
          <w:rFonts w:hint="eastAsia" w:ascii="仿宋" w:hAnsi="仿宋" w:eastAsia="仿宋" w:cs="仿宋"/>
          <w:sz w:val="24"/>
          <w:szCs w:val="24"/>
        </w:rPr>
        <w:t>分，得</w:t>
      </w:r>
      <w:r>
        <w:rPr>
          <w:rFonts w:hint="eastAsia" w:ascii="仿宋" w:hAnsi="仿宋" w:eastAsia="仿宋" w:cs="仿宋"/>
          <w:sz w:val="24"/>
          <w:szCs w:val="24"/>
          <w:lang w:val="en-US" w:eastAsia="zh-CN"/>
        </w:rPr>
        <w:t>2</w:t>
      </w:r>
      <w:r>
        <w:rPr>
          <w:rFonts w:hint="eastAsia" w:ascii="仿宋" w:hAnsi="仿宋" w:eastAsia="仿宋" w:cs="仿宋"/>
          <w:sz w:val="24"/>
          <w:szCs w:val="24"/>
        </w:rPr>
        <w:t>分，得分率</w:t>
      </w:r>
      <w:r>
        <w:rPr>
          <w:rFonts w:hint="eastAsia" w:ascii="仿宋" w:hAnsi="仿宋" w:eastAsia="仿宋" w:cs="仿宋"/>
          <w:sz w:val="24"/>
          <w:szCs w:val="24"/>
          <w:lang w:val="en-US" w:eastAsia="zh-CN"/>
        </w:rPr>
        <w:t>5</w:t>
      </w:r>
      <w:r>
        <w:rPr>
          <w:rFonts w:hint="eastAsia" w:ascii="仿宋" w:hAnsi="仿宋" w:eastAsia="仿宋" w:cs="仿宋"/>
          <w:sz w:val="24"/>
          <w:szCs w:val="24"/>
        </w:rPr>
        <w:t>0.00%。</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7.管理制度健全性</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指标解释：项目实施单位的财务和业务管理制度是否健全，用以反映和考核财务和业务管理制度对项目顺利实施的保障情况。</w:t>
      </w:r>
    </w:p>
    <w:p>
      <w:pPr>
        <w:spacing w:line="560" w:lineRule="exact"/>
        <w:ind w:firstLine="480" w:firstLineChars="200"/>
        <w:rPr>
          <w:rFonts w:hint="eastAsia" w:ascii="仿宋" w:hAnsi="仿宋" w:eastAsia="仿宋" w:cs="仿宋"/>
          <w:sz w:val="24"/>
          <w:szCs w:val="24"/>
          <w:highlight w:val="yellow"/>
        </w:rPr>
      </w:pPr>
      <w:r>
        <w:rPr>
          <w:rFonts w:hint="eastAsia" w:ascii="仿宋" w:hAnsi="仿宋" w:eastAsia="仿宋" w:cs="仿宋"/>
          <w:sz w:val="24"/>
          <w:szCs w:val="24"/>
        </w:rPr>
        <w:t>评分情况：管理制度健全，有完善的内控制度、收支业务管理制度、合同管理办法、预算管理制度。</w:t>
      </w:r>
      <w:r>
        <w:rPr>
          <w:rFonts w:hint="eastAsia" w:ascii="仿宋" w:hAnsi="仿宋" w:eastAsia="仿宋" w:cs="仿宋"/>
          <w:sz w:val="24"/>
          <w:szCs w:val="24"/>
          <w:lang w:val="en-US" w:eastAsia="zh-CN"/>
        </w:rPr>
        <w:t>但在实际开展业务时未做到按管理制度执行。</w:t>
      </w:r>
      <w:r>
        <w:rPr>
          <w:rFonts w:hint="eastAsia" w:ascii="仿宋" w:hAnsi="仿宋" w:eastAsia="仿宋" w:cs="仿宋"/>
          <w:sz w:val="24"/>
          <w:szCs w:val="24"/>
        </w:rPr>
        <w:t>该项指标满分4分，得</w:t>
      </w:r>
      <w:r>
        <w:rPr>
          <w:rFonts w:hint="eastAsia" w:ascii="仿宋" w:hAnsi="仿宋" w:eastAsia="仿宋" w:cs="仿宋"/>
          <w:sz w:val="24"/>
          <w:szCs w:val="24"/>
          <w:lang w:val="en-US" w:eastAsia="zh-CN"/>
        </w:rPr>
        <w:t>2</w:t>
      </w:r>
      <w:r>
        <w:rPr>
          <w:rFonts w:hint="eastAsia" w:ascii="仿宋" w:hAnsi="仿宋" w:eastAsia="仿宋" w:cs="仿宋"/>
          <w:sz w:val="24"/>
          <w:szCs w:val="24"/>
        </w:rPr>
        <w:t>分，得分率</w:t>
      </w:r>
      <w:r>
        <w:rPr>
          <w:rFonts w:hint="eastAsia" w:ascii="仿宋" w:hAnsi="仿宋" w:eastAsia="仿宋" w:cs="仿宋"/>
          <w:sz w:val="24"/>
          <w:szCs w:val="24"/>
          <w:lang w:val="en-US" w:eastAsia="zh-CN"/>
        </w:rPr>
        <w:t>5</w:t>
      </w:r>
      <w:r>
        <w:rPr>
          <w:rFonts w:hint="eastAsia" w:ascii="仿宋" w:hAnsi="仿宋" w:eastAsia="仿宋" w:cs="仿宋"/>
          <w:sz w:val="24"/>
          <w:szCs w:val="24"/>
        </w:rPr>
        <w:t>0.00%。</w:t>
      </w:r>
    </w:p>
    <w:p>
      <w:pPr>
        <w:spacing w:line="560" w:lineRule="exact"/>
        <w:ind w:firstLine="240" w:firstLineChars="100"/>
        <w:outlineLvl w:val="1"/>
        <w:rPr>
          <w:rFonts w:hint="eastAsia" w:ascii="仿宋" w:hAnsi="仿宋" w:eastAsia="仿宋" w:cs="仿宋"/>
          <w:sz w:val="24"/>
          <w:szCs w:val="24"/>
        </w:rPr>
      </w:pPr>
      <w:bookmarkStart w:id="27" w:name="_Toc14450"/>
      <w:r>
        <w:rPr>
          <w:rFonts w:hint="eastAsia" w:ascii="仿宋" w:hAnsi="仿宋" w:eastAsia="仿宋" w:cs="仿宋"/>
          <w:sz w:val="24"/>
          <w:szCs w:val="24"/>
        </w:rPr>
        <w:t>（三）项目产出情况</w:t>
      </w:r>
      <w:bookmarkEnd w:id="27"/>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满分22分，实得15分</w:t>
      </w:r>
      <w:r>
        <w:rPr>
          <w:rFonts w:hint="eastAsia" w:ascii="仿宋" w:hAnsi="仿宋" w:eastAsia="仿宋" w:cs="仿宋"/>
          <w:sz w:val="24"/>
          <w:szCs w:val="24"/>
          <w:lang w:eastAsia="zh-CN"/>
        </w:rPr>
        <w:t>）</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项目产出的评价指标包括产出数量、产出质量、产出时效、产出成本四项二级指标，共涉及</w:t>
      </w:r>
      <w:r>
        <w:rPr>
          <w:rFonts w:hint="eastAsia" w:ascii="仿宋" w:hAnsi="仿宋" w:eastAsia="仿宋" w:cs="仿宋"/>
          <w:sz w:val="24"/>
          <w:szCs w:val="24"/>
          <w:lang w:val="en-US" w:eastAsia="zh-CN"/>
        </w:rPr>
        <w:t>工程数量、工程是否按投标合同进行、工程款支付及</w:t>
      </w:r>
      <w:r>
        <w:rPr>
          <w:rFonts w:hint="eastAsia" w:ascii="仿宋" w:hAnsi="仿宋" w:eastAsia="仿宋" w:cs="仿宋"/>
          <w:sz w:val="24"/>
          <w:szCs w:val="24"/>
        </w:rPr>
        <w:t>时性、预算</w:t>
      </w:r>
      <w:r>
        <w:rPr>
          <w:rFonts w:hint="eastAsia" w:ascii="仿宋" w:hAnsi="仿宋" w:eastAsia="仿宋" w:cs="仿宋"/>
          <w:sz w:val="24"/>
          <w:szCs w:val="24"/>
          <w:lang w:eastAsia="zh-CN"/>
        </w:rPr>
        <w:t>控制</w:t>
      </w:r>
      <w:r>
        <w:rPr>
          <w:rFonts w:hint="eastAsia" w:ascii="仿宋" w:hAnsi="仿宋" w:eastAsia="仿宋" w:cs="仿宋"/>
          <w:sz w:val="24"/>
          <w:szCs w:val="24"/>
        </w:rPr>
        <w:t>率4个三级指标。“项目产出”总分2</w:t>
      </w:r>
      <w:r>
        <w:rPr>
          <w:rFonts w:hint="eastAsia" w:ascii="仿宋" w:hAnsi="仿宋" w:eastAsia="仿宋" w:cs="仿宋"/>
          <w:sz w:val="24"/>
          <w:szCs w:val="24"/>
          <w:lang w:val="en-US" w:eastAsia="zh-CN"/>
        </w:rPr>
        <w:t>2</w:t>
      </w:r>
      <w:r>
        <w:rPr>
          <w:rFonts w:hint="eastAsia" w:ascii="仿宋" w:hAnsi="仿宋" w:eastAsia="仿宋" w:cs="仿宋"/>
          <w:sz w:val="24"/>
          <w:szCs w:val="24"/>
        </w:rPr>
        <w:t>分，得分</w:t>
      </w:r>
      <w:r>
        <w:rPr>
          <w:rFonts w:hint="eastAsia" w:ascii="仿宋" w:hAnsi="仿宋" w:eastAsia="仿宋" w:cs="仿宋"/>
          <w:sz w:val="24"/>
          <w:szCs w:val="24"/>
          <w:lang w:val="en-US" w:eastAsia="zh-CN"/>
        </w:rPr>
        <w:t>15</w:t>
      </w:r>
      <w:r>
        <w:rPr>
          <w:rFonts w:hint="eastAsia" w:ascii="仿宋" w:hAnsi="仿宋" w:eastAsia="仿宋" w:cs="仿宋"/>
          <w:sz w:val="24"/>
          <w:szCs w:val="24"/>
        </w:rPr>
        <w:t>分，得分率</w:t>
      </w:r>
      <w:r>
        <w:rPr>
          <w:rFonts w:hint="eastAsia" w:ascii="仿宋" w:hAnsi="仿宋" w:eastAsia="仿宋" w:cs="仿宋"/>
          <w:sz w:val="24"/>
          <w:szCs w:val="24"/>
          <w:lang w:val="en-US" w:eastAsia="zh-CN"/>
        </w:rPr>
        <w:t>68.18</w:t>
      </w:r>
      <w:r>
        <w:rPr>
          <w:rFonts w:hint="eastAsia" w:ascii="仿宋" w:hAnsi="仿宋" w:eastAsia="仿宋" w:cs="仿宋"/>
          <w:sz w:val="24"/>
          <w:szCs w:val="24"/>
        </w:rPr>
        <w:t>%。</w:t>
      </w:r>
      <w:bookmarkStart w:id="28" w:name="_Hlk80115348"/>
      <w:r>
        <w:rPr>
          <w:rFonts w:hint="eastAsia" w:ascii="仿宋" w:hAnsi="仿宋" w:eastAsia="仿宋" w:cs="仿宋"/>
          <w:sz w:val="24"/>
          <w:szCs w:val="24"/>
        </w:rPr>
        <w:t>主要问题在</w:t>
      </w:r>
      <w:bookmarkEnd w:id="28"/>
      <w:r>
        <w:rPr>
          <w:rFonts w:hint="eastAsia" w:ascii="仿宋" w:hAnsi="仿宋" w:eastAsia="仿宋" w:cs="仿宋"/>
          <w:sz w:val="24"/>
          <w:szCs w:val="24"/>
          <w:lang w:eastAsia="zh-CN"/>
        </w:rPr>
        <w:t>于</w:t>
      </w:r>
      <w:r>
        <w:rPr>
          <w:rFonts w:hint="eastAsia" w:ascii="仿宋" w:hAnsi="仿宋" w:eastAsia="仿宋" w:cs="仿宋"/>
          <w:sz w:val="24"/>
          <w:szCs w:val="24"/>
          <w:lang w:val="en-US" w:eastAsia="zh-CN"/>
        </w:rPr>
        <w:t>项目没按合同规定时间竣工。</w:t>
      </w:r>
    </w:p>
    <w:tbl>
      <w:tblPr>
        <w:tblStyle w:val="8"/>
        <w:tblW w:w="4998" w:type="pct"/>
        <w:jc w:val="center"/>
        <w:tblLayout w:type="autofit"/>
        <w:tblCellMar>
          <w:top w:w="0" w:type="dxa"/>
          <w:left w:w="0" w:type="dxa"/>
          <w:bottom w:w="0" w:type="dxa"/>
          <w:right w:w="0" w:type="dxa"/>
        </w:tblCellMar>
      </w:tblPr>
      <w:tblGrid>
        <w:gridCol w:w="800"/>
        <w:gridCol w:w="953"/>
        <w:gridCol w:w="1992"/>
        <w:gridCol w:w="1873"/>
        <w:gridCol w:w="2260"/>
        <w:gridCol w:w="641"/>
      </w:tblGrid>
      <w:tr>
        <w:tblPrEx>
          <w:tblCellMar>
            <w:top w:w="0" w:type="dxa"/>
            <w:left w:w="0" w:type="dxa"/>
            <w:bottom w:w="0" w:type="dxa"/>
            <w:right w:w="0" w:type="dxa"/>
          </w:tblCellMar>
        </w:tblPrEx>
        <w:trPr>
          <w:trHeight w:val="90" w:hRule="atLeast"/>
          <w:jc w:val="center"/>
        </w:trPr>
        <w:tc>
          <w:tcPr>
            <w:tcW w:w="470" w:type="pct"/>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9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一级指标</w:t>
            </w:r>
          </w:p>
        </w:tc>
        <w:tc>
          <w:tcPr>
            <w:tcW w:w="559"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9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二级指标</w:t>
            </w:r>
          </w:p>
        </w:tc>
        <w:tc>
          <w:tcPr>
            <w:tcW w:w="1169"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9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三级指标</w:t>
            </w:r>
          </w:p>
        </w:tc>
        <w:tc>
          <w:tcPr>
            <w:tcW w:w="1099"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9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指标内容</w:t>
            </w:r>
          </w:p>
        </w:tc>
        <w:tc>
          <w:tcPr>
            <w:tcW w:w="1325"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9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lang w:val="en-US" w:eastAsia="zh-CN"/>
              </w:rPr>
              <w:t>评价情况</w:t>
            </w:r>
          </w:p>
        </w:tc>
        <w:tc>
          <w:tcPr>
            <w:tcW w:w="376"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9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分值</w:t>
            </w:r>
          </w:p>
        </w:tc>
      </w:tr>
      <w:tr>
        <w:tblPrEx>
          <w:tblCellMar>
            <w:top w:w="0" w:type="dxa"/>
            <w:left w:w="0" w:type="dxa"/>
            <w:bottom w:w="0" w:type="dxa"/>
            <w:right w:w="0" w:type="dxa"/>
          </w:tblCellMar>
        </w:tblPrEx>
        <w:trPr>
          <w:trHeight w:val="1067" w:hRule="atLeast"/>
          <w:jc w:val="center"/>
        </w:trPr>
        <w:tc>
          <w:tcPr>
            <w:tcW w:w="470" w:type="pct"/>
            <w:vMerge w:val="restart"/>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color w:val="000000"/>
                <w:kern w:val="0"/>
                <w:sz w:val="24"/>
                <w:szCs w:val="24"/>
              </w:rPr>
            </w:pPr>
          </w:p>
          <w:p>
            <w:pPr>
              <w:widowControl/>
              <w:spacing w:line="320" w:lineRule="atLeast"/>
              <w:jc w:val="center"/>
              <w:rPr>
                <w:rFonts w:hint="eastAsia" w:ascii="仿宋" w:hAnsi="仿宋" w:eastAsia="仿宋" w:cs="仿宋"/>
                <w:color w:val="000000"/>
                <w:kern w:val="0"/>
                <w:sz w:val="24"/>
                <w:szCs w:val="24"/>
              </w:rPr>
            </w:pPr>
          </w:p>
          <w:p>
            <w:pPr>
              <w:widowControl/>
              <w:spacing w:line="320" w:lineRule="atLeast"/>
              <w:jc w:val="center"/>
              <w:rPr>
                <w:rFonts w:hint="eastAsia" w:ascii="仿宋" w:hAnsi="仿宋" w:eastAsia="仿宋" w:cs="仿宋"/>
                <w:color w:val="000000"/>
                <w:kern w:val="0"/>
                <w:sz w:val="24"/>
                <w:szCs w:val="24"/>
              </w:rPr>
            </w:pPr>
          </w:p>
          <w:p>
            <w:pPr>
              <w:widowControl/>
              <w:spacing w:line="320" w:lineRule="atLeast"/>
              <w:jc w:val="center"/>
              <w:rPr>
                <w:rFonts w:hint="eastAsia" w:ascii="仿宋" w:hAnsi="仿宋" w:eastAsia="仿宋" w:cs="仿宋"/>
                <w:color w:val="000000"/>
                <w:kern w:val="0"/>
                <w:sz w:val="24"/>
                <w:szCs w:val="24"/>
              </w:rPr>
            </w:pPr>
          </w:p>
          <w:p>
            <w:pPr>
              <w:widowControl/>
              <w:spacing w:line="320" w:lineRule="atLeast"/>
              <w:jc w:val="center"/>
              <w:rPr>
                <w:rFonts w:hint="eastAsia" w:ascii="仿宋" w:hAnsi="仿宋" w:eastAsia="仿宋" w:cs="仿宋"/>
                <w:color w:val="000000"/>
                <w:kern w:val="0"/>
                <w:sz w:val="24"/>
                <w:szCs w:val="24"/>
              </w:rPr>
            </w:pPr>
          </w:p>
          <w:p>
            <w:pPr>
              <w:widowControl/>
              <w:spacing w:line="320" w:lineRule="atLeast"/>
              <w:jc w:val="center"/>
              <w:rPr>
                <w:rFonts w:hint="eastAsia" w:ascii="仿宋" w:hAnsi="仿宋" w:eastAsia="仿宋" w:cs="仿宋"/>
                <w:color w:val="000000"/>
                <w:kern w:val="0"/>
                <w:sz w:val="24"/>
                <w:szCs w:val="24"/>
              </w:rPr>
            </w:pPr>
          </w:p>
          <w:p>
            <w:pPr>
              <w:widowControl/>
              <w:spacing w:line="320" w:lineRule="atLeast"/>
              <w:jc w:val="center"/>
              <w:rPr>
                <w:rFonts w:hint="eastAsia" w:ascii="仿宋" w:hAnsi="仿宋" w:eastAsia="仿宋" w:cs="仿宋"/>
                <w:color w:val="000000"/>
                <w:kern w:val="0"/>
                <w:sz w:val="24"/>
                <w:szCs w:val="24"/>
              </w:rPr>
            </w:pPr>
          </w:p>
          <w:p>
            <w:pPr>
              <w:widowControl/>
              <w:spacing w:line="320" w:lineRule="atLeast"/>
              <w:jc w:val="center"/>
              <w:rPr>
                <w:rFonts w:hint="eastAsia" w:ascii="仿宋" w:hAnsi="仿宋" w:eastAsia="仿宋" w:cs="仿宋"/>
                <w:color w:val="000000"/>
                <w:kern w:val="0"/>
                <w:sz w:val="24"/>
                <w:szCs w:val="24"/>
              </w:rPr>
            </w:pPr>
          </w:p>
          <w:p>
            <w:pPr>
              <w:widowControl/>
              <w:spacing w:line="320" w:lineRule="atLeast"/>
              <w:jc w:val="center"/>
              <w:rPr>
                <w:rFonts w:hint="eastAsia" w:ascii="仿宋" w:hAnsi="仿宋" w:eastAsia="仿宋" w:cs="仿宋"/>
                <w:color w:val="000000"/>
                <w:kern w:val="0"/>
                <w:sz w:val="24"/>
                <w:szCs w:val="24"/>
              </w:rPr>
            </w:pPr>
          </w:p>
          <w:p>
            <w:pPr>
              <w:widowControl/>
              <w:spacing w:line="320" w:lineRule="atLeast"/>
              <w:jc w:val="center"/>
              <w:rPr>
                <w:rFonts w:hint="eastAsia" w:ascii="仿宋" w:hAnsi="仿宋" w:eastAsia="仿宋" w:cs="仿宋"/>
                <w:color w:val="000000"/>
                <w:kern w:val="0"/>
                <w:sz w:val="24"/>
                <w:szCs w:val="24"/>
              </w:rPr>
            </w:pPr>
          </w:p>
          <w:p>
            <w:pPr>
              <w:widowControl/>
              <w:spacing w:line="320" w:lineRule="atLeast"/>
              <w:jc w:val="center"/>
              <w:rPr>
                <w:rFonts w:hint="eastAsia" w:ascii="仿宋" w:hAnsi="仿宋" w:eastAsia="仿宋" w:cs="仿宋"/>
                <w:color w:val="000000"/>
                <w:kern w:val="0"/>
                <w:sz w:val="24"/>
                <w:szCs w:val="24"/>
              </w:rPr>
            </w:pPr>
          </w:p>
          <w:p>
            <w:pPr>
              <w:widowControl/>
              <w:spacing w:line="320" w:lineRule="atLeast"/>
              <w:jc w:val="center"/>
              <w:rPr>
                <w:rFonts w:hint="eastAsia" w:ascii="仿宋" w:hAnsi="仿宋" w:eastAsia="仿宋" w:cs="仿宋"/>
                <w:color w:val="000000"/>
                <w:kern w:val="0"/>
                <w:sz w:val="24"/>
                <w:szCs w:val="24"/>
              </w:rPr>
            </w:pPr>
          </w:p>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产出指标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满分22</w:t>
            </w:r>
            <w:r>
              <w:rPr>
                <w:rFonts w:hint="eastAsia" w:ascii="仿宋" w:hAnsi="仿宋" w:eastAsia="仿宋" w:cs="仿宋"/>
                <w:color w:val="000000"/>
                <w:kern w:val="0"/>
                <w:sz w:val="24"/>
                <w:szCs w:val="24"/>
                <w:lang w:eastAsia="zh-CN"/>
              </w:rPr>
              <w:t>）</w:t>
            </w:r>
          </w:p>
        </w:tc>
        <w:tc>
          <w:tcPr>
            <w:tcW w:w="55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rPr>
              <w:t>数量指标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6分）</w:t>
            </w:r>
          </w:p>
        </w:tc>
        <w:tc>
          <w:tcPr>
            <w:tcW w:w="116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工程具体数量</w:t>
            </w:r>
          </w:p>
        </w:tc>
        <w:tc>
          <w:tcPr>
            <w:tcW w:w="109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default" w:ascii="仿宋" w:hAnsi="仿宋" w:eastAsia="仿宋" w:cs="仿宋"/>
                <w:kern w:val="0"/>
                <w:sz w:val="24"/>
                <w:szCs w:val="24"/>
                <w:lang w:val="en-US" w:eastAsia="zh-CN"/>
              </w:rPr>
            </w:pPr>
            <w:r>
              <w:rPr>
                <w:rFonts w:hint="eastAsia" w:ascii="仿宋" w:hAnsi="仿宋" w:eastAsia="仿宋" w:cs="仿宋"/>
                <w:sz w:val="24"/>
                <w:szCs w:val="24"/>
                <w:lang w:val="en-US" w:eastAsia="zh-CN"/>
              </w:rPr>
              <w:t>建设双龙自来水取水头部及取水泵一座，铺设输水DN600输水主管道14.6km;建设供水规模4000m³/d地表水厂一座；铺设配水管网58.24km。</w:t>
            </w:r>
          </w:p>
        </w:tc>
        <w:tc>
          <w:tcPr>
            <w:tcW w:w="1325"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textAlignment w:val="center"/>
              <w:rPr>
                <w:rFonts w:hint="default" w:ascii="仿宋" w:hAnsi="仿宋" w:eastAsia="仿宋" w:cs="仿宋"/>
                <w:kern w:val="0"/>
                <w:sz w:val="24"/>
                <w:szCs w:val="24"/>
                <w:lang w:val="en-US"/>
              </w:rPr>
            </w:pPr>
            <w:r>
              <w:rPr>
                <w:rFonts w:hint="eastAsia" w:ascii="仿宋" w:hAnsi="仿宋" w:eastAsia="仿宋" w:cs="仿宋"/>
                <w:sz w:val="24"/>
                <w:szCs w:val="24"/>
                <w:lang w:val="en-US" w:eastAsia="zh-CN"/>
              </w:rPr>
              <w:t>解决双桥镇、淝河镇、褚集镇、龙亢镇、徐圩镇5个乡镇共计</w:t>
            </w:r>
            <w:r>
              <w:rPr>
                <w:rFonts w:hint="default" w:ascii="仿宋" w:hAnsi="仿宋" w:eastAsia="仿宋" w:cs="仿宋"/>
                <w:sz w:val="24"/>
                <w:szCs w:val="24"/>
                <w:lang w:val="en-US" w:eastAsia="zh-CN"/>
              </w:rPr>
              <w:t>307526人</w:t>
            </w:r>
            <w:r>
              <w:rPr>
                <w:rFonts w:hint="eastAsia" w:ascii="仿宋" w:hAnsi="仿宋" w:eastAsia="仿宋" w:cs="仿宋"/>
                <w:sz w:val="24"/>
                <w:szCs w:val="24"/>
                <w:lang w:val="en-US" w:eastAsia="zh-CN"/>
              </w:rPr>
              <w:t>饮水问题，其中采用地表水源替换地下水源人口为262958人得6分</w:t>
            </w:r>
          </w:p>
        </w:tc>
        <w:tc>
          <w:tcPr>
            <w:tcW w:w="37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6</w:t>
            </w:r>
          </w:p>
        </w:tc>
      </w:tr>
      <w:tr>
        <w:tblPrEx>
          <w:tblCellMar>
            <w:top w:w="0" w:type="dxa"/>
            <w:left w:w="0" w:type="dxa"/>
            <w:bottom w:w="0" w:type="dxa"/>
            <w:right w:w="0" w:type="dxa"/>
          </w:tblCellMar>
        </w:tblPrEx>
        <w:trPr>
          <w:trHeight w:val="960" w:hRule="atLeast"/>
          <w:jc w:val="center"/>
        </w:trPr>
        <w:tc>
          <w:tcPr>
            <w:tcW w:w="470"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559" w:type="pct"/>
            <w:vMerge w:val="restart"/>
            <w:tcBorders>
              <w:top w:val="nil"/>
              <w:left w:val="nil"/>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质量指标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6分）</w:t>
            </w:r>
          </w:p>
        </w:tc>
        <w:tc>
          <w:tcPr>
            <w:tcW w:w="116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left"/>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工程款</w:t>
            </w:r>
            <w:r>
              <w:rPr>
                <w:rFonts w:hint="eastAsia" w:ascii="仿宋" w:hAnsi="仿宋" w:eastAsia="仿宋" w:cs="仿宋"/>
                <w:color w:val="000000"/>
                <w:kern w:val="0"/>
                <w:sz w:val="24"/>
                <w:szCs w:val="24"/>
              </w:rPr>
              <w:t>支出合规性</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3分）</w:t>
            </w:r>
          </w:p>
        </w:tc>
        <w:tc>
          <w:tcPr>
            <w:tcW w:w="109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rPr>
              <w:t>严格遵守财务制度，合规支付</w:t>
            </w:r>
            <w:r>
              <w:rPr>
                <w:rFonts w:hint="eastAsia" w:ascii="仿宋" w:hAnsi="仿宋" w:eastAsia="仿宋" w:cs="仿宋"/>
                <w:color w:val="000000"/>
                <w:kern w:val="0"/>
                <w:sz w:val="24"/>
                <w:szCs w:val="24"/>
                <w:lang w:val="en-US" w:eastAsia="zh-CN"/>
              </w:rPr>
              <w:t>奖补</w:t>
            </w:r>
          </w:p>
        </w:tc>
        <w:tc>
          <w:tcPr>
            <w:tcW w:w="1325"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拨付工程款 未能按合同执行得1分</w:t>
            </w:r>
          </w:p>
        </w:tc>
        <w:tc>
          <w:tcPr>
            <w:tcW w:w="37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lang w:val="en-US" w:eastAsia="zh-CN"/>
              </w:rPr>
              <w:t>1</w:t>
            </w:r>
          </w:p>
        </w:tc>
      </w:tr>
      <w:tr>
        <w:tblPrEx>
          <w:tblCellMar>
            <w:top w:w="0" w:type="dxa"/>
            <w:left w:w="0" w:type="dxa"/>
            <w:bottom w:w="0" w:type="dxa"/>
            <w:right w:w="0" w:type="dxa"/>
          </w:tblCellMar>
        </w:tblPrEx>
        <w:trPr>
          <w:trHeight w:val="1917" w:hRule="atLeast"/>
          <w:jc w:val="center"/>
        </w:trPr>
        <w:tc>
          <w:tcPr>
            <w:tcW w:w="470" w:type="pct"/>
            <w:vMerge w:val="continue"/>
            <w:tcBorders>
              <w:left w:val="single" w:color="000000" w:sz="8" w:space="0"/>
              <w:bottom w:val="single" w:color="000000" w:sz="8" w:space="0"/>
              <w:right w:val="single" w:color="000000" w:sz="8" w:space="0"/>
            </w:tcBorders>
            <w:shd w:val="clear" w:color="auto" w:fill="auto"/>
            <w:noWrap w:val="0"/>
            <w:vAlign w:val="center"/>
          </w:tcPr>
          <w:p>
            <w:pPr>
              <w:widowControl/>
              <w:spacing w:line="320" w:lineRule="atLeast"/>
              <w:jc w:val="center"/>
            </w:pPr>
          </w:p>
        </w:tc>
        <w:tc>
          <w:tcPr>
            <w:tcW w:w="559" w:type="pct"/>
            <w:vMerge w:val="continue"/>
            <w:tcBorders>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pPr>
          </w:p>
        </w:tc>
        <w:tc>
          <w:tcPr>
            <w:tcW w:w="116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与工程合同规定相符性（3分）</w:t>
            </w:r>
          </w:p>
        </w:tc>
        <w:tc>
          <w:tcPr>
            <w:tcW w:w="109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按照合同执行</w:t>
            </w:r>
          </w:p>
        </w:tc>
        <w:tc>
          <w:tcPr>
            <w:tcW w:w="1325"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群众喝上引调水双龙水厂工程划分为 1 个单位工程，17 个分部工程； </w:t>
            </w:r>
          </w:p>
          <w:p>
            <w:pPr>
              <w:widowControl/>
              <w:spacing w:line="320" w:lineRule="atLeast"/>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17 个分部工程质量全部合格，单位工程外观质量合格，施工质量检验与评定资</w:t>
            </w:r>
          </w:p>
          <w:p>
            <w:pPr>
              <w:widowControl/>
              <w:spacing w:line="320" w:lineRule="atLeast"/>
              <w:jc w:val="both"/>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料基本齐全；根据《水利水电工程施工质量检验与评定规程》（SL176-2007），单 </w:t>
            </w:r>
          </w:p>
          <w:p>
            <w:pPr>
              <w:widowControl/>
              <w:spacing w:line="320" w:lineRule="atLeast"/>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位工程施工质量经施工单位自评、监理单位复核，第三方检测机构检测，项目法 </w:t>
            </w:r>
          </w:p>
          <w:p>
            <w:pPr>
              <w:widowControl/>
              <w:spacing w:line="320" w:lineRule="atLeast"/>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人认定，核定本单位工程质量等级： 合</w:t>
            </w:r>
          </w:p>
          <w:p>
            <w:pPr>
              <w:widowControl/>
              <w:spacing w:line="320" w:lineRule="atLeast"/>
              <w:jc w:val="both"/>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格 。只是验收合格但没能竣工。得2分</w:t>
            </w:r>
          </w:p>
        </w:tc>
        <w:tc>
          <w:tcPr>
            <w:tcW w:w="37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w:t>
            </w:r>
          </w:p>
        </w:tc>
      </w:tr>
      <w:tr>
        <w:tblPrEx>
          <w:tblCellMar>
            <w:top w:w="0" w:type="dxa"/>
            <w:left w:w="0" w:type="dxa"/>
            <w:bottom w:w="0" w:type="dxa"/>
            <w:right w:w="0" w:type="dxa"/>
          </w:tblCellMar>
        </w:tblPrEx>
        <w:trPr>
          <w:trHeight w:val="1276" w:hRule="atLeast"/>
          <w:jc w:val="center"/>
        </w:trPr>
        <w:tc>
          <w:tcPr>
            <w:tcW w:w="470"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55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时效指标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6分）</w:t>
            </w:r>
          </w:p>
        </w:tc>
        <w:tc>
          <w:tcPr>
            <w:tcW w:w="116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经费支出的时效性</w:t>
            </w:r>
          </w:p>
        </w:tc>
        <w:tc>
          <w:tcPr>
            <w:tcW w:w="109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eastAsia" w:ascii="仿宋" w:hAnsi="仿宋" w:eastAsia="仿宋" w:cs="仿宋"/>
                <w:kern w:val="0"/>
                <w:sz w:val="24"/>
                <w:szCs w:val="24"/>
              </w:rPr>
            </w:pPr>
            <w:r>
              <w:rPr>
                <w:rFonts w:hint="eastAsia" w:ascii="仿宋" w:hAnsi="仿宋" w:eastAsia="仿宋" w:cs="仿宋"/>
                <w:color w:val="000000"/>
                <w:kern w:val="0"/>
                <w:sz w:val="24"/>
                <w:szCs w:val="24"/>
              </w:rPr>
              <w:t>及时支付</w:t>
            </w:r>
            <w:r>
              <w:rPr>
                <w:rFonts w:hint="eastAsia" w:ascii="仿宋" w:hAnsi="仿宋" w:eastAsia="仿宋" w:cs="仿宋"/>
                <w:color w:val="000000"/>
                <w:kern w:val="0"/>
                <w:sz w:val="24"/>
                <w:szCs w:val="24"/>
                <w:lang w:val="en-US" w:eastAsia="zh-CN"/>
              </w:rPr>
              <w:t>工程进度款</w:t>
            </w:r>
            <w:r>
              <w:rPr>
                <w:rFonts w:hint="eastAsia" w:ascii="仿宋" w:hAnsi="仿宋" w:eastAsia="仿宋" w:cs="仿宋"/>
                <w:color w:val="000000"/>
                <w:kern w:val="0"/>
                <w:sz w:val="24"/>
                <w:szCs w:val="24"/>
              </w:rPr>
              <w:t>，确保</w:t>
            </w:r>
            <w:r>
              <w:rPr>
                <w:rFonts w:hint="eastAsia" w:ascii="仿宋" w:hAnsi="仿宋" w:eastAsia="仿宋" w:cs="仿宋"/>
                <w:color w:val="000000"/>
                <w:kern w:val="0"/>
                <w:sz w:val="24"/>
                <w:szCs w:val="24"/>
                <w:lang w:val="en-US" w:eastAsia="zh-CN"/>
              </w:rPr>
              <w:t>项目</w:t>
            </w:r>
            <w:r>
              <w:rPr>
                <w:rFonts w:hint="eastAsia" w:ascii="仿宋" w:hAnsi="仿宋" w:eastAsia="仿宋" w:cs="仿宋"/>
                <w:color w:val="000000"/>
                <w:kern w:val="0"/>
                <w:sz w:val="24"/>
                <w:szCs w:val="24"/>
              </w:rPr>
              <w:t>工作顺利进行</w:t>
            </w:r>
          </w:p>
        </w:tc>
        <w:tc>
          <w:tcPr>
            <w:tcW w:w="1325"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没能按工程进度支付工程款。（在2022年7月29号支付）得2分</w:t>
            </w:r>
          </w:p>
        </w:tc>
        <w:tc>
          <w:tcPr>
            <w:tcW w:w="37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2</w:t>
            </w:r>
          </w:p>
        </w:tc>
      </w:tr>
      <w:tr>
        <w:tblPrEx>
          <w:tblCellMar>
            <w:top w:w="0" w:type="dxa"/>
            <w:left w:w="0" w:type="dxa"/>
            <w:bottom w:w="0" w:type="dxa"/>
            <w:right w:w="0" w:type="dxa"/>
          </w:tblCellMar>
        </w:tblPrEx>
        <w:trPr>
          <w:trHeight w:val="1276" w:hRule="atLeast"/>
          <w:jc w:val="center"/>
        </w:trPr>
        <w:tc>
          <w:tcPr>
            <w:tcW w:w="470"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55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成本指标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4分）</w:t>
            </w:r>
          </w:p>
        </w:tc>
        <w:tc>
          <w:tcPr>
            <w:tcW w:w="116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lang w:eastAsia="zh-CN"/>
              </w:rPr>
              <w:t>预算控制率</w:t>
            </w:r>
          </w:p>
        </w:tc>
        <w:tc>
          <w:tcPr>
            <w:tcW w:w="109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rPr>
                <w:rFonts w:hint="default" w:ascii="仿宋" w:hAnsi="仿宋" w:eastAsia="仿宋" w:cs="仿宋"/>
                <w:kern w:val="0"/>
                <w:sz w:val="24"/>
                <w:szCs w:val="24"/>
                <w:lang w:val="en-US"/>
              </w:rPr>
            </w:pPr>
            <w:r>
              <w:rPr>
                <w:rFonts w:hint="eastAsia" w:ascii="仿宋" w:hAnsi="仿宋" w:eastAsia="仿宋" w:cs="仿宋"/>
                <w:color w:val="000000"/>
                <w:kern w:val="0"/>
                <w:sz w:val="24"/>
                <w:szCs w:val="24"/>
              </w:rPr>
              <w:t>充分利用有限的</w:t>
            </w:r>
            <w:r>
              <w:rPr>
                <w:rFonts w:hint="eastAsia" w:ascii="仿宋" w:hAnsi="仿宋" w:eastAsia="仿宋" w:cs="仿宋"/>
                <w:color w:val="000000"/>
                <w:kern w:val="0"/>
                <w:sz w:val="24"/>
                <w:szCs w:val="24"/>
                <w:lang w:val="en-US" w:eastAsia="zh-CN"/>
              </w:rPr>
              <w:t>财政资金获得最大的收益</w:t>
            </w:r>
          </w:p>
        </w:tc>
        <w:tc>
          <w:tcPr>
            <w:tcW w:w="1325"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rPr>
            </w:pPr>
            <w:r>
              <w:rPr>
                <w:rFonts w:hint="eastAsia" w:ascii="仿宋" w:hAnsi="仿宋" w:eastAsia="仿宋" w:cs="仿宋"/>
                <w:color w:val="000000"/>
                <w:kern w:val="0"/>
                <w:sz w:val="24"/>
                <w:szCs w:val="24"/>
                <w:lang w:val="en-US" w:eastAsia="zh-CN"/>
              </w:rPr>
              <w:t>怀远县群众喝上引调水双龙水厂工程</w:t>
            </w:r>
            <w:r>
              <w:rPr>
                <w:rFonts w:hint="eastAsia" w:ascii="仿宋" w:hAnsi="仿宋" w:eastAsia="仿宋" w:cs="仿宋"/>
                <w:color w:val="000000"/>
                <w:kern w:val="0"/>
                <w:sz w:val="24"/>
                <w:szCs w:val="24"/>
              </w:rPr>
              <w:t>按投资计划完成，未超</w:t>
            </w:r>
            <w:r>
              <w:rPr>
                <w:rFonts w:hint="eastAsia" w:ascii="仿宋" w:hAnsi="仿宋" w:eastAsia="仿宋" w:cs="仿宋"/>
                <w:color w:val="000000"/>
                <w:kern w:val="0"/>
                <w:sz w:val="24"/>
                <w:szCs w:val="24"/>
                <w:lang w:val="en-US" w:eastAsia="zh-CN"/>
              </w:rPr>
              <w:t>预</w:t>
            </w:r>
            <w:r>
              <w:rPr>
                <w:rFonts w:hint="eastAsia" w:ascii="仿宋" w:hAnsi="仿宋" w:eastAsia="仿宋" w:cs="仿宋"/>
                <w:color w:val="000000"/>
                <w:kern w:val="0"/>
                <w:sz w:val="24"/>
                <w:szCs w:val="24"/>
              </w:rPr>
              <w:t>算</w:t>
            </w:r>
            <w:r>
              <w:rPr>
                <w:rFonts w:hint="eastAsia" w:ascii="仿宋" w:hAnsi="仿宋" w:eastAsia="仿宋" w:cs="仿宋"/>
                <w:color w:val="000000"/>
                <w:kern w:val="0"/>
                <w:sz w:val="24"/>
                <w:szCs w:val="24"/>
                <w:lang w:val="en-US" w:eastAsia="zh-CN"/>
              </w:rPr>
              <w:t>得4</w:t>
            </w:r>
            <w:r>
              <w:rPr>
                <w:rFonts w:hint="eastAsia" w:ascii="仿宋" w:hAnsi="仿宋" w:eastAsia="仿宋" w:cs="仿宋"/>
                <w:sz w:val="24"/>
                <w:szCs w:val="24"/>
                <w:lang w:val="en-US" w:eastAsia="zh-CN"/>
              </w:rPr>
              <w:t>分</w:t>
            </w:r>
          </w:p>
        </w:tc>
        <w:tc>
          <w:tcPr>
            <w:tcW w:w="37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4</w:t>
            </w:r>
          </w:p>
        </w:tc>
      </w:tr>
      <w:tr>
        <w:tblPrEx>
          <w:tblCellMar>
            <w:top w:w="0" w:type="dxa"/>
            <w:left w:w="0" w:type="dxa"/>
            <w:bottom w:w="0" w:type="dxa"/>
            <w:right w:w="0" w:type="dxa"/>
          </w:tblCellMar>
        </w:tblPrEx>
        <w:trPr>
          <w:trHeight w:val="786" w:hRule="atLeast"/>
          <w:jc w:val="center"/>
        </w:trPr>
        <w:tc>
          <w:tcPr>
            <w:tcW w:w="4623" w:type="pct"/>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小计</w:t>
            </w:r>
          </w:p>
        </w:tc>
        <w:tc>
          <w:tcPr>
            <w:tcW w:w="37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15</w:t>
            </w:r>
          </w:p>
        </w:tc>
      </w:tr>
    </w:tbl>
    <w:p>
      <w:pPr>
        <w:numPr>
          <w:ilvl w:val="0"/>
          <w:numId w:val="1"/>
        </w:numPr>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工程具体数量</w:t>
      </w:r>
    </w:p>
    <w:p>
      <w:pPr>
        <w:numPr>
          <w:ilvl w:val="0"/>
          <w:numId w:val="0"/>
        </w:numPr>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指标解释：项目实施的实际产出数，用以反映和考核项目产出数量。</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highlight w:val="none"/>
        </w:rPr>
        <w:t>评分情况：经查验考核情况通报，</w:t>
      </w:r>
      <w:r>
        <w:rPr>
          <w:rFonts w:hint="eastAsia" w:ascii="仿宋" w:hAnsi="仿宋" w:eastAsia="仿宋" w:cs="仿宋"/>
          <w:sz w:val="24"/>
          <w:szCs w:val="24"/>
          <w:lang w:val="en-US" w:eastAsia="zh-CN"/>
        </w:rPr>
        <w:t>建设双龙自来水取水头部及取水泵一座，铺设输水DN600输水主管道14.6km;建设供水规模4000m³/d地表水厂一座；铺设配水管网58.24km。</w:t>
      </w:r>
      <w:r>
        <w:rPr>
          <w:rFonts w:hint="eastAsia" w:ascii="仿宋" w:hAnsi="仿宋" w:eastAsia="仿宋" w:cs="仿宋"/>
          <w:sz w:val="24"/>
          <w:szCs w:val="24"/>
        </w:rPr>
        <w:t>。该项指标满分</w:t>
      </w:r>
      <w:r>
        <w:rPr>
          <w:rFonts w:hint="eastAsia" w:ascii="仿宋" w:hAnsi="仿宋" w:eastAsia="仿宋" w:cs="仿宋"/>
          <w:sz w:val="24"/>
          <w:szCs w:val="24"/>
          <w:lang w:val="en-US" w:eastAsia="zh-CN"/>
        </w:rPr>
        <w:t>6</w:t>
      </w:r>
      <w:r>
        <w:rPr>
          <w:rFonts w:hint="eastAsia" w:ascii="仿宋" w:hAnsi="仿宋" w:eastAsia="仿宋" w:cs="仿宋"/>
          <w:sz w:val="24"/>
          <w:szCs w:val="24"/>
        </w:rPr>
        <w:t>分，得</w:t>
      </w:r>
      <w:r>
        <w:rPr>
          <w:rFonts w:hint="eastAsia" w:ascii="仿宋" w:hAnsi="仿宋" w:eastAsia="仿宋" w:cs="仿宋"/>
          <w:sz w:val="24"/>
          <w:szCs w:val="24"/>
          <w:lang w:val="en-US" w:eastAsia="zh-CN"/>
        </w:rPr>
        <w:t>6</w:t>
      </w:r>
      <w:r>
        <w:rPr>
          <w:rFonts w:hint="eastAsia" w:ascii="仿宋" w:hAnsi="仿宋" w:eastAsia="仿宋" w:cs="仿宋"/>
          <w:sz w:val="24"/>
          <w:szCs w:val="24"/>
        </w:rPr>
        <w:t>分，得分率100.00%。</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2.</w:t>
      </w:r>
      <w:bookmarkStart w:id="29" w:name="_Hlk79870035"/>
      <w:r>
        <w:rPr>
          <w:rFonts w:hint="eastAsia" w:ascii="仿宋" w:hAnsi="仿宋" w:eastAsia="仿宋" w:cs="仿宋"/>
          <w:sz w:val="24"/>
          <w:szCs w:val="24"/>
          <w:lang w:val="en-US" w:eastAsia="zh-CN"/>
        </w:rPr>
        <w:t>工程款支出合规性</w:t>
      </w:r>
    </w:p>
    <w:bookmarkEnd w:id="29"/>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指标解释：项目实际</w:t>
      </w:r>
      <w:r>
        <w:rPr>
          <w:rFonts w:hint="eastAsia" w:ascii="仿宋" w:hAnsi="仿宋" w:eastAsia="仿宋" w:cs="仿宋"/>
          <w:sz w:val="24"/>
          <w:szCs w:val="24"/>
          <w:lang w:val="en-US" w:eastAsia="zh-CN"/>
        </w:rPr>
        <w:t>支出与合同或文件规定相比</w:t>
      </w:r>
      <w:r>
        <w:rPr>
          <w:rFonts w:hint="eastAsia" w:ascii="仿宋" w:hAnsi="仿宋" w:eastAsia="仿宋" w:cs="仿宋"/>
          <w:sz w:val="24"/>
          <w:szCs w:val="24"/>
        </w:rPr>
        <w:t>，用以反映和考核项目</w:t>
      </w:r>
      <w:r>
        <w:rPr>
          <w:rFonts w:hint="eastAsia" w:ascii="仿宋" w:hAnsi="仿宋" w:eastAsia="仿宋" w:cs="仿宋"/>
          <w:sz w:val="24"/>
          <w:szCs w:val="24"/>
          <w:lang w:val="en-US" w:eastAsia="zh-CN"/>
        </w:rPr>
        <w:t>支出合规</w:t>
      </w:r>
      <w:r>
        <w:rPr>
          <w:rFonts w:hint="eastAsia" w:ascii="仿宋" w:hAnsi="仿宋" w:eastAsia="仿宋" w:cs="仿宋"/>
          <w:sz w:val="24"/>
          <w:szCs w:val="24"/>
        </w:rPr>
        <w:t>程度。</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评分情况：</w:t>
      </w:r>
      <w:r>
        <w:rPr>
          <w:rFonts w:hint="eastAsia" w:ascii="仿宋" w:hAnsi="仿宋" w:eastAsia="仿宋" w:cs="仿宋"/>
          <w:sz w:val="24"/>
          <w:szCs w:val="24"/>
          <w:lang w:val="en-US" w:eastAsia="zh-CN"/>
        </w:rPr>
        <w:t>通过查阅转账凭证，发现拨付</w:t>
      </w:r>
      <w:r>
        <w:rPr>
          <w:rFonts w:hint="eastAsia" w:ascii="仿宋" w:hAnsi="仿宋" w:eastAsia="仿宋" w:cs="仿宋"/>
          <w:kern w:val="0"/>
          <w:sz w:val="24"/>
          <w:szCs w:val="24"/>
          <w:lang w:val="en-US" w:eastAsia="zh-CN"/>
        </w:rPr>
        <w:t>工程款 未能按合同执行。</w:t>
      </w:r>
      <w:r>
        <w:rPr>
          <w:rFonts w:hint="eastAsia" w:ascii="仿宋" w:hAnsi="仿宋" w:eastAsia="仿宋" w:cs="仿宋"/>
          <w:sz w:val="24"/>
          <w:szCs w:val="24"/>
        </w:rPr>
        <w:t>满分</w:t>
      </w:r>
      <w:r>
        <w:rPr>
          <w:rFonts w:hint="eastAsia" w:ascii="仿宋" w:hAnsi="仿宋" w:eastAsia="仿宋" w:cs="仿宋"/>
          <w:sz w:val="24"/>
          <w:szCs w:val="24"/>
          <w:lang w:val="en-US" w:eastAsia="zh-CN"/>
        </w:rPr>
        <w:t>3</w:t>
      </w:r>
      <w:r>
        <w:rPr>
          <w:rFonts w:hint="eastAsia" w:ascii="仿宋" w:hAnsi="仿宋" w:eastAsia="仿宋" w:cs="仿宋"/>
          <w:sz w:val="24"/>
          <w:szCs w:val="24"/>
        </w:rPr>
        <w:t>分，得分</w:t>
      </w:r>
      <w:r>
        <w:rPr>
          <w:rFonts w:hint="eastAsia" w:ascii="仿宋" w:hAnsi="仿宋" w:eastAsia="仿宋" w:cs="仿宋"/>
          <w:sz w:val="24"/>
          <w:szCs w:val="24"/>
          <w:lang w:val="en-US" w:eastAsia="zh-CN"/>
        </w:rPr>
        <w:t>1</w:t>
      </w:r>
      <w:r>
        <w:rPr>
          <w:rFonts w:hint="eastAsia" w:ascii="仿宋" w:hAnsi="仿宋" w:eastAsia="仿宋" w:cs="仿宋"/>
          <w:sz w:val="24"/>
          <w:szCs w:val="24"/>
        </w:rPr>
        <w:t>分，得分率</w:t>
      </w:r>
      <w:r>
        <w:rPr>
          <w:rFonts w:hint="eastAsia" w:ascii="仿宋" w:hAnsi="仿宋" w:eastAsia="仿宋" w:cs="仿宋"/>
          <w:sz w:val="24"/>
          <w:szCs w:val="24"/>
          <w:lang w:val="en-US" w:eastAsia="zh-CN"/>
        </w:rPr>
        <w:t>33.33</w:t>
      </w:r>
      <w:r>
        <w:rPr>
          <w:rFonts w:hint="eastAsia" w:ascii="仿宋" w:hAnsi="仿宋" w:eastAsia="仿宋" w:cs="仿宋"/>
          <w:sz w:val="24"/>
          <w:szCs w:val="24"/>
        </w:rPr>
        <w:t>%。</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3.各项任务完成</w:t>
      </w:r>
      <w:r>
        <w:rPr>
          <w:rFonts w:hint="eastAsia" w:ascii="仿宋" w:hAnsi="仿宋" w:eastAsia="仿宋" w:cs="仿宋"/>
          <w:color w:val="000000"/>
          <w:kern w:val="0"/>
          <w:sz w:val="24"/>
          <w:szCs w:val="24"/>
          <w:lang w:val="en-US" w:eastAsia="zh-CN"/>
        </w:rPr>
        <w:t>与工程合同规定相符性</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指标解释：项目实际完成</w:t>
      </w:r>
      <w:r>
        <w:rPr>
          <w:rFonts w:hint="eastAsia" w:ascii="仿宋" w:hAnsi="仿宋" w:eastAsia="仿宋" w:cs="仿宋"/>
          <w:sz w:val="24"/>
          <w:szCs w:val="24"/>
          <w:lang w:val="en-US" w:eastAsia="zh-CN"/>
        </w:rPr>
        <w:t>与合同规定要求相</w:t>
      </w:r>
      <w:r>
        <w:rPr>
          <w:rFonts w:hint="eastAsia" w:ascii="仿宋" w:hAnsi="仿宋" w:eastAsia="仿宋" w:cs="仿宋"/>
          <w:sz w:val="24"/>
          <w:szCs w:val="24"/>
        </w:rPr>
        <w:t>比较，用以反映和考核项目产出</w:t>
      </w:r>
      <w:r>
        <w:rPr>
          <w:rFonts w:hint="eastAsia" w:ascii="仿宋" w:hAnsi="仿宋" w:eastAsia="仿宋" w:cs="仿宋"/>
          <w:sz w:val="24"/>
          <w:szCs w:val="24"/>
          <w:lang w:val="en-US" w:eastAsia="zh-CN"/>
        </w:rPr>
        <w:t>质量</w:t>
      </w:r>
      <w:r>
        <w:rPr>
          <w:rFonts w:hint="eastAsia" w:ascii="仿宋" w:hAnsi="仿宋" w:eastAsia="仿宋" w:cs="仿宋"/>
          <w:sz w:val="24"/>
          <w:szCs w:val="24"/>
        </w:rPr>
        <w:t>目标的实现程度。</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评分情况：</w:t>
      </w:r>
      <w:r>
        <w:rPr>
          <w:rFonts w:hint="eastAsia" w:ascii="仿宋" w:hAnsi="仿宋" w:eastAsia="仿宋" w:cs="仿宋"/>
          <w:sz w:val="24"/>
          <w:szCs w:val="24"/>
          <w:lang w:val="en-US" w:eastAsia="zh-CN"/>
        </w:rPr>
        <w:t>群众喝上引调水双龙水厂工程划分为 1 个单位工程，17 个分部工程；17 个分部工程质量全部合格，单位工程外观质量合格，施工质量检验与评定资料基本齐全；根据《水利水电工程施工质量检验与评定规程》（SL176-2007），单位工程施工质量经施工单位自评、监理单位复核，第三方检测机构检测，项目法人认定，核定本单位工程质量等级：合格 。</w:t>
      </w:r>
      <w:r>
        <w:rPr>
          <w:rFonts w:hint="eastAsia" w:ascii="仿宋" w:hAnsi="仿宋" w:eastAsia="仿宋" w:cs="仿宋"/>
          <w:sz w:val="24"/>
          <w:szCs w:val="24"/>
        </w:rPr>
        <w:t>该项指标满分</w:t>
      </w:r>
      <w:r>
        <w:rPr>
          <w:rFonts w:hint="eastAsia" w:ascii="仿宋" w:hAnsi="仿宋" w:eastAsia="仿宋" w:cs="仿宋"/>
          <w:sz w:val="24"/>
          <w:szCs w:val="24"/>
          <w:lang w:val="en-US" w:eastAsia="zh-CN"/>
        </w:rPr>
        <w:t>3</w:t>
      </w:r>
      <w:r>
        <w:rPr>
          <w:rFonts w:hint="eastAsia" w:ascii="仿宋" w:hAnsi="仿宋" w:eastAsia="仿宋" w:cs="仿宋"/>
          <w:sz w:val="24"/>
          <w:szCs w:val="24"/>
        </w:rPr>
        <w:t>分，得</w:t>
      </w:r>
      <w:r>
        <w:rPr>
          <w:rFonts w:hint="eastAsia" w:ascii="仿宋" w:hAnsi="仿宋" w:eastAsia="仿宋" w:cs="仿宋"/>
          <w:sz w:val="24"/>
          <w:szCs w:val="24"/>
          <w:lang w:val="en-US" w:eastAsia="zh-CN"/>
        </w:rPr>
        <w:t>2</w:t>
      </w:r>
      <w:r>
        <w:rPr>
          <w:rFonts w:hint="eastAsia" w:ascii="仿宋" w:hAnsi="仿宋" w:eastAsia="仿宋" w:cs="仿宋"/>
          <w:sz w:val="24"/>
          <w:szCs w:val="24"/>
        </w:rPr>
        <w:t>分，得分率</w:t>
      </w:r>
      <w:r>
        <w:rPr>
          <w:rFonts w:hint="eastAsia" w:ascii="仿宋" w:hAnsi="仿宋" w:eastAsia="仿宋" w:cs="仿宋"/>
          <w:sz w:val="24"/>
          <w:szCs w:val="24"/>
          <w:lang w:val="en-US" w:eastAsia="zh-CN"/>
        </w:rPr>
        <w:t>66.67</w:t>
      </w:r>
      <w:r>
        <w:rPr>
          <w:rFonts w:hint="eastAsia" w:ascii="仿宋" w:hAnsi="仿宋" w:eastAsia="仿宋" w:cs="仿宋"/>
          <w:sz w:val="24"/>
          <w:szCs w:val="24"/>
        </w:rPr>
        <w:t>%。</w:t>
      </w:r>
    </w:p>
    <w:p>
      <w:pPr>
        <w:numPr>
          <w:ilvl w:val="0"/>
          <w:numId w:val="2"/>
        </w:numPr>
        <w:spacing w:line="56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经费支出的时效性</w:t>
      </w:r>
    </w:p>
    <w:p>
      <w:pPr>
        <w:numPr>
          <w:ilvl w:val="0"/>
          <w:numId w:val="0"/>
        </w:num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指标解释：完成项目</w:t>
      </w:r>
      <w:r>
        <w:rPr>
          <w:rFonts w:hint="eastAsia" w:ascii="仿宋" w:hAnsi="仿宋" w:eastAsia="仿宋" w:cs="仿宋"/>
          <w:color w:val="000000"/>
          <w:kern w:val="0"/>
          <w:sz w:val="24"/>
          <w:szCs w:val="24"/>
        </w:rPr>
        <w:t>及时支付</w:t>
      </w:r>
      <w:r>
        <w:rPr>
          <w:rFonts w:hint="eastAsia" w:ascii="仿宋" w:hAnsi="仿宋" w:eastAsia="仿宋" w:cs="仿宋"/>
          <w:color w:val="000000"/>
          <w:kern w:val="0"/>
          <w:sz w:val="24"/>
          <w:szCs w:val="24"/>
          <w:lang w:val="en-US" w:eastAsia="zh-CN"/>
        </w:rPr>
        <w:t>奖补</w:t>
      </w:r>
      <w:r>
        <w:rPr>
          <w:rFonts w:hint="eastAsia" w:ascii="仿宋" w:hAnsi="仿宋" w:eastAsia="仿宋" w:cs="仿宋"/>
          <w:color w:val="000000"/>
          <w:kern w:val="0"/>
          <w:sz w:val="24"/>
          <w:szCs w:val="24"/>
        </w:rPr>
        <w:t>，确保</w:t>
      </w:r>
      <w:r>
        <w:rPr>
          <w:rFonts w:hint="eastAsia" w:ascii="仿宋" w:hAnsi="仿宋" w:eastAsia="仿宋" w:cs="仿宋"/>
          <w:color w:val="000000"/>
          <w:kern w:val="0"/>
          <w:sz w:val="24"/>
          <w:szCs w:val="24"/>
          <w:lang w:val="en-US" w:eastAsia="zh-CN"/>
        </w:rPr>
        <w:t>项目</w:t>
      </w:r>
      <w:r>
        <w:rPr>
          <w:rFonts w:hint="eastAsia" w:ascii="仿宋" w:hAnsi="仿宋" w:eastAsia="仿宋" w:cs="仿宋"/>
          <w:color w:val="000000"/>
          <w:kern w:val="0"/>
          <w:sz w:val="24"/>
          <w:szCs w:val="24"/>
        </w:rPr>
        <w:t>工作顺利进行</w:t>
      </w:r>
      <w:r>
        <w:rPr>
          <w:rFonts w:hint="eastAsia" w:ascii="仿宋" w:hAnsi="仿宋" w:eastAsia="仿宋" w:cs="仿宋"/>
          <w:sz w:val="24"/>
          <w:szCs w:val="24"/>
        </w:rPr>
        <w:t>，用以反映和考核项目的</w:t>
      </w:r>
      <w:r>
        <w:rPr>
          <w:rFonts w:hint="eastAsia" w:ascii="仿宋" w:hAnsi="仿宋" w:eastAsia="仿宋" w:cs="仿宋"/>
          <w:sz w:val="24"/>
          <w:szCs w:val="24"/>
          <w:lang w:val="en-US" w:eastAsia="zh-CN"/>
        </w:rPr>
        <w:t>支付及时性</w:t>
      </w:r>
      <w:r>
        <w:rPr>
          <w:rFonts w:hint="eastAsia" w:ascii="仿宋" w:hAnsi="仿宋" w:eastAsia="仿宋" w:cs="仿宋"/>
          <w:sz w:val="24"/>
          <w:szCs w:val="24"/>
        </w:rPr>
        <w:t>。</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评分情况：通过</w:t>
      </w:r>
      <w:r>
        <w:rPr>
          <w:rFonts w:hint="eastAsia" w:ascii="仿宋" w:hAnsi="仿宋" w:eastAsia="仿宋" w:cs="仿宋"/>
          <w:sz w:val="24"/>
          <w:szCs w:val="24"/>
          <w:lang w:val="en-US" w:eastAsia="zh-CN"/>
        </w:rPr>
        <w:t>查阅转账凭证发现</w:t>
      </w:r>
      <w:r>
        <w:rPr>
          <w:rFonts w:hint="eastAsia" w:ascii="仿宋" w:hAnsi="仿宋" w:eastAsia="仿宋" w:cs="仿宋"/>
          <w:color w:val="000000"/>
          <w:kern w:val="0"/>
          <w:sz w:val="24"/>
          <w:szCs w:val="24"/>
          <w:lang w:val="en-US" w:eastAsia="zh-CN"/>
        </w:rPr>
        <w:t>在2022年7月29号支付两笔款，但合同规定是按完工进度付款，没有按照规定付款，支付及时性无法保障</w:t>
      </w:r>
      <w:r>
        <w:rPr>
          <w:rFonts w:hint="eastAsia" w:ascii="仿宋" w:hAnsi="仿宋" w:eastAsia="仿宋" w:cs="仿宋"/>
          <w:sz w:val="24"/>
          <w:szCs w:val="24"/>
        </w:rPr>
        <w:t>。该项指标满分</w:t>
      </w:r>
      <w:r>
        <w:rPr>
          <w:rFonts w:hint="eastAsia" w:ascii="仿宋" w:hAnsi="仿宋" w:eastAsia="仿宋" w:cs="仿宋"/>
          <w:sz w:val="24"/>
          <w:szCs w:val="24"/>
          <w:lang w:val="en-US" w:eastAsia="zh-CN"/>
        </w:rPr>
        <w:t>6</w:t>
      </w:r>
      <w:r>
        <w:rPr>
          <w:rFonts w:hint="eastAsia" w:ascii="仿宋" w:hAnsi="仿宋" w:eastAsia="仿宋" w:cs="仿宋"/>
          <w:sz w:val="24"/>
          <w:szCs w:val="24"/>
        </w:rPr>
        <w:t>分，得</w:t>
      </w:r>
      <w:r>
        <w:rPr>
          <w:rFonts w:hint="eastAsia" w:ascii="仿宋" w:hAnsi="仿宋" w:eastAsia="仿宋" w:cs="仿宋"/>
          <w:sz w:val="24"/>
          <w:szCs w:val="24"/>
          <w:lang w:val="en-US" w:eastAsia="zh-CN"/>
        </w:rPr>
        <w:t>4</w:t>
      </w:r>
      <w:r>
        <w:rPr>
          <w:rFonts w:hint="eastAsia" w:ascii="仿宋" w:hAnsi="仿宋" w:eastAsia="仿宋" w:cs="仿宋"/>
          <w:sz w:val="24"/>
          <w:szCs w:val="24"/>
        </w:rPr>
        <w:t>分，得分率</w:t>
      </w:r>
      <w:r>
        <w:rPr>
          <w:rFonts w:hint="eastAsia" w:ascii="仿宋" w:hAnsi="仿宋" w:eastAsia="仿宋" w:cs="仿宋"/>
          <w:sz w:val="24"/>
          <w:szCs w:val="24"/>
          <w:lang w:val="en-US" w:eastAsia="zh-CN"/>
        </w:rPr>
        <w:t>66.67</w:t>
      </w:r>
      <w:r>
        <w:rPr>
          <w:rFonts w:hint="eastAsia" w:ascii="仿宋" w:hAnsi="仿宋" w:eastAsia="仿宋" w:cs="仿宋"/>
          <w:sz w:val="24"/>
          <w:szCs w:val="24"/>
        </w:rPr>
        <w:t>%。</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.预算</w:t>
      </w:r>
      <w:r>
        <w:rPr>
          <w:rFonts w:hint="eastAsia" w:ascii="仿宋" w:hAnsi="仿宋" w:eastAsia="仿宋" w:cs="仿宋"/>
          <w:sz w:val="24"/>
          <w:szCs w:val="24"/>
          <w:lang w:eastAsia="zh-CN"/>
        </w:rPr>
        <w:t>控制</w:t>
      </w:r>
      <w:r>
        <w:rPr>
          <w:rFonts w:hint="eastAsia" w:ascii="仿宋" w:hAnsi="仿宋" w:eastAsia="仿宋" w:cs="仿宋"/>
          <w:sz w:val="24"/>
          <w:szCs w:val="24"/>
        </w:rPr>
        <w:t>率</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指标解释：完成项目计划工作目标的实际节约成本与计划成本的比率，用以反映和考核项目的成本节约程度。</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评分情况：通过财政授权支付额度到账通知书与财务支出明细账，实际到账资金 </w:t>
      </w:r>
      <w:r>
        <w:rPr>
          <w:rFonts w:hint="eastAsia" w:ascii="仿宋" w:hAnsi="仿宋" w:eastAsia="仿宋" w:cs="仿宋"/>
          <w:sz w:val="24"/>
          <w:szCs w:val="24"/>
          <w:lang w:val="en-US" w:eastAsia="zh-CN"/>
        </w:rPr>
        <w:t>200</w:t>
      </w:r>
      <w:r>
        <w:rPr>
          <w:rFonts w:hint="eastAsia" w:ascii="仿宋" w:hAnsi="仿宋" w:eastAsia="仿宋" w:cs="仿宋"/>
          <w:sz w:val="24"/>
          <w:szCs w:val="24"/>
        </w:rPr>
        <w:t xml:space="preserve">0万 元已于 </w:t>
      </w:r>
      <w:r>
        <w:rPr>
          <w:rFonts w:hint="eastAsia" w:ascii="仿宋" w:hAnsi="仿宋" w:eastAsia="仿宋" w:cs="仿宋"/>
          <w:color w:val="000000"/>
          <w:kern w:val="0"/>
          <w:sz w:val="24"/>
          <w:szCs w:val="24"/>
          <w:lang w:val="en-US" w:eastAsia="zh-CN"/>
        </w:rPr>
        <w:t>2022年7月29号支付两笔款</w:t>
      </w:r>
      <w:r>
        <w:rPr>
          <w:rFonts w:hint="eastAsia" w:ascii="仿宋" w:hAnsi="仿宋" w:eastAsia="仿宋" w:cs="仿宋"/>
          <w:sz w:val="24"/>
          <w:szCs w:val="24"/>
        </w:rPr>
        <w:t>全部支出。预算</w:t>
      </w:r>
      <w:r>
        <w:rPr>
          <w:rFonts w:hint="eastAsia" w:ascii="仿宋" w:hAnsi="仿宋" w:eastAsia="仿宋" w:cs="仿宋"/>
          <w:sz w:val="24"/>
          <w:szCs w:val="24"/>
          <w:lang w:eastAsia="zh-CN"/>
        </w:rPr>
        <w:t>控制</w:t>
      </w:r>
      <w:r>
        <w:rPr>
          <w:rFonts w:hint="eastAsia" w:ascii="仿宋" w:hAnsi="仿宋" w:eastAsia="仿宋" w:cs="仿宋"/>
          <w:sz w:val="24"/>
          <w:szCs w:val="24"/>
        </w:rPr>
        <w:t>率=实际支付资金/实际到位资金*100%，实际完成值为 100%。该项指标满分</w:t>
      </w:r>
      <w:r>
        <w:rPr>
          <w:rFonts w:hint="eastAsia" w:ascii="仿宋" w:hAnsi="仿宋" w:eastAsia="仿宋" w:cs="仿宋"/>
          <w:sz w:val="24"/>
          <w:szCs w:val="24"/>
          <w:lang w:val="en-US" w:eastAsia="zh-CN"/>
        </w:rPr>
        <w:t>4</w:t>
      </w:r>
      <w:r>
        <w:rPr>
          <w:rFonts w:hint="eastAsia" w:ascii="仿宋" w:hAnsi="仿宋" w:eastAsia="仿宋" w:cs="仿宋"/>
          <w:sz w:val="24"/>
          <w:szCs w:val="24"/>
        </w:rPr>
        <w:t>分，得</w:t>
      </w:r>
      <w:r>
        <w:rPr>
          <w:rFonts w:hint="eastAsia" w:ascii="仿宋" w:hAnsi="仿宋" w:eastAsia="仿宋" w:cs="仿宋"/>
          <w:sz w:val="24"/>
          <w:szCs w:val="24"/>
          <w:lang w:val="en-US" w:eastAsia="zh-CN"/>
        </w:rPr>
        <w:t>4</w:t>
      </w:r>
      <w:r>
        <w:rPr>
          <w:rFonts w:hint="eastAsia" w:ascii="仿宋" w:hAnsi="仿宋" w:eastAsia="仿宋" w:cs="仿宋"/>
          <w:sz w:val="24"/>
          <w:szCs w:val="24"/>
        </w:rPr>
        <w:t>分，得分率100.00%。</w:t>
      </w:r>
    </w:p>
    <w:p>
      <w:pPr>
        <w:spacing w:line="560" w:lineRule="exact"/>
        <w:ind w:firstLine="480" w:firstLineChars="200"/>
        <w:outlineLvl w:val="1"/>
        <w:rPr>
          <w:rFonts w:hint="eastAsia" w:ascii="仿宋" w:hAnsi="仿宋" w:eastAsia="仿宋" w:cs="仿宋"/>
          <w:sz w:val="24"/>
          <w:szCs w:val="24"/>
        </w:rPr>
      </w:pPr>
      <w:bookmarkStart w:id="30" w:name="_Toc13789"/>
      <w:r>
        <w:rPr>
          <w:rFonts w:hint="eastAsia" w:ascii="仿宋" w:hAnsi="仿宋" w:eastAsia="仿宋" w:cs="仿宋"/>
          <w:sz w:val="24"/>
          <w:szCs w:val="24"/>
        </w:rPr>
        <w:t>（四）项目效益情况</w:t>
      </w:r>
      <w:bookmarkEnd w:id="30"/>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项目效益的评价指标包括经济效益</w:t>
      </w:r>
      <w:r>
        <w:rPr>
          <w:rFonts w:hint="eastAsia" w:ascii="仿宋" w:hAnsi="仿宋" w:eastAsia="仿宋" w:cs="仿宋"/>
          <w:sz w:val="24"/>
          <w:szCs w:val="24"/>
          <w:lang w:eastAsia="zh-CN"/>
        </w:rPr>
        <w:t>、</w:t>
      </w:r>
      <w:r>
        <w:rPr>
          <w:rFonts w:hint="eastAsia" w:ascii="仿宋" w:hAnsi="仿宋" w:eastAsia="仿宋" w:cs="仿宋"/>
          <w:sz w:val="24"/>
          <w:szCs w:val="24"/>
        </w:rPr>
        <w:t>社会效益、可持续影响、满意度</w:t>
      </w:r>
      <w:r>
        <w:rPr>
          <w:rFonts w:hint="eastAsia" w:ascii="仿宋" w:hAnsi="仿宋" w:eastAsia="仿宋" w:cs="仿宋"/>
          <w:sz w:val="24"/>
          <w:szCs w:val="24"/>
          <w:lang w:val="en-US" w:eastAsia="zh-CN"/>
        </w:rPr>
        <w:t>四</w:t>
      </w:r>
      <w:r>
        <w:rPr>
          <w:rFonts w:hint="eastAsia" w:ascii="仿宋" w:hAnsi="仿宋" w:eastAsia="仿宋" w:cs="仿宋"/>
          <w:sz w:val="24"/>
          <w:szCs w:val="24"/>
        </w:rPr>
        <w:t>项二级指标，共涉及</w:t>
      </w:r>
      <w:r>
        <w:rPr>
          <w:rFonts w:hint="eastAsia" w:ascii="仿宋" w:hAnsi="仿宋" w:eastAsia="仿宋" w:cs="仿宋"/>
          <w:sz w:val="24"/>
          <w:szCs w:val="24"/>
          <w:lang w:val="en-US" w:eastAsia="zh-CN"/>
        </w:rPr>
        <w:t>工程完工带来的居民生活环境的改善</w:t>
      </w:r>
      <w:r>
        <w:rPr>
          <w:rFonts w:hint="eastAsia" w:ascii="仿宋" w:hAnsi="仿宋" w:eastAsia="仿宋" w:cs="仿宋"/>
          <w:sz w:val="24"/>
          <w:szCs w:val="24"/>
        </w:rPr>
        <w:t>，支撑县域经济发展；营造美好、整洁、积极向上的城市氛围；改善人居环境；</w:t>
      </w:r>
      <w:r>
        <w:rPr>
          <w:rFonts w:hint="eastAsia" w:ascii="仿宋" w:hAnsi="仿宋" w:eastAsia="仿宋" w:cs="仿宋"/>
          <w:sz w:val="24"/>
          <w:szCs w:val="24"/>
          <w:lang w:val="en-US" w:eastAsia="zh-CN"/>
        </w:rPr>
        <w:t>可持续带动居民未来生活质量</w:t>
      </w:r>
      <w:r>
        <w:rPr>
          <w:rFonts w:hint="eastAsia" w:ascii="仿宋" w:hAnsi="仿宋" w:eastAsia="仿宋" w:cs="仿宋"/>
          <w:sz w:val="24"/>
          <w:szCs w:val="24"/>
        </w:rPr>
        <w:t>及服务对象满意度</w:t>
      </w:r>
      <w:r>
        <w:rPr>
          <w:rFonts w:hint="eastAsia" w:ascii="仿宋" w:hAnsi="仿宋" w:eastAsia="仿宋" w:cs="仿宋"/>
          <w:sz w:val="24"/>
          <w:szCs w:val="24"/>
          <w:lang w:val="en-US" w:eastAsia="zh-CN"/>
        </w:rPr>
        <w:t>4</w:t>
      </w:r>
      <w:r>
        <w:rPr>
          <w:rFonts w:hint="eastAsia" w:ascii="仿宋" w:hAnsi="仿宋" w:eastAsia="仿宋" w:cs="仿宋"/>
          <w:sz w:val="24"/>
          <w:szCs w:val="24"/>
        </w:rPr>
        <w:t>个三级指标。</w:t>
      </w:r>
      <w:r>
        <w:rPr>
          <w:rFonts w:hint="eastAsia" w:ascii="仿宋" w:hAnsi="仿宋" w:eastAsia="仿宋" w:cs="仿宋"/>
          <w:sz w:val="24"/>
          <w:szCs w:val="24"/>
          <w:lang w:val="en-US" w:eastAsia="zh-CN"/>
        </w:rPr>
        <w:t>扣分主要体现在未能按时竣工。</w:t>
      </w:r>
      <w:r>
        <w:rPr>
          <w:rFonts w:hint="eastAsia" w:ascii="仿宋" w:hAnsi="仿宋" w:eastAsia="仿宋" w:cs="仿宋"/>
          <w:sz w:val="24"/>
          <w:szCs w:val="24"/>
        </w:rPr>
        <w:t>“项目效益”总分</w:t>
      </w:r>
      <w:r>
        <w:rPr>
          <w:rFonts w:hint="eastAsia" w:ascii="仿宋" w:hAnsi="仿宋" w:eastAsia="仿宋" w:cs="仿宋"/>
          <w:sz w:val="24"/>
          <w:szCs w:val="24"/>
          <w:lang w:val="en-US" w:eastAsia="zh-CN"/>
        </w:rPr>
        <w:t>20</w:t>
      </w:r>
      <w:r>
        <w:rPr>
          <w:rFonts w:hint="eastAsia" w:ascii="仿宋" w:hAnsi="仿宋" w:eastAsia="仿宋" w:cs="仿宋"/>
          <w:sz w:val="24"/>
          <w:szCs w:val="24"/>
        </w:rPr>
        <w:t>分，得分</w:t>
      </w:r>
      <w:r>
        <w:rPr>
          <w:rFonts w:hint="eastAsia" w:ascii="仿宋" w:hAnsi="仿宋" w:eastAsia="仿宋" w:cs="仿宋"/>
          <w:sz w:val="24"/>
          <w:szCs w:val="24"/>
          <w:lang w:val="en-US" w:eastAsia="zh-CN"/>
        </w:rPr>
        <w:t>10</w:t>
      </w:r>
      <w:r>
        <w:rPr>
          <w:rFonts w:hint="eastAsia" w:ascii="仿宋" w:hAnsi="仿宋" w:eastAsia="仿宋" w:cs="仿宋"/>
          <w:sz w:val="24"/>
          <w:szCs w:val="24"/>
        </w:rPr>
        <w:t>分，得分率</w:t>
      </w:r>
      <w:r>
        <w:rPr>
          <w:rFonts w:hint="eastAsia" w:ascii="仿宋" w:hAnsi="仿宋" w:eastAsia="仿宋" w:cs="仿宋"/>
          <w:sz w:val="24"/>
          <w:szCs w:val="24"/>
          <w:lang w:val="en-US" w:eastAsia="zh-CN"/>
        </w:rPr>
        <w:t>50.00</w:t>
      </w:r>
      <w:r>
        <w:rPr>
          <w:rFonts w:hint="eastAsia" w:ascii="仿宋" w:hAnsi="仿宋" w:eastAsia="仿宋" w:cs="仿宋"/>
          <w:sz w:val="24"/>
          <w:szCs w:val="24"/>
        </w:rPr>
        <w:t>%。</w:t>
      </w:r>
    </w:p>
    <w:p>
      <w:pPr>
        <w:pStyle w:val="2"/>
        <w:rPr>
          <w:rFonts w:hint="default" w:ascii="仿宋_GB2312" w:hAnsi="Times New Roman" w:eastAsia="仿宋_GB2312" w:cs="Times New Roman"/>
          <w:sz w:val="24"/>
          <w:szCs w:val="24"/>
          <w:lang w:val="en-US" w:eastAsia="zh-CN"/>
        </w:rPr>
      </w:pPr>
    </w:p>
    <w:tbl>
      <w:tblPr>
        <w:tblStyle w:val="8"/>
        <w:tblW w:w="9030" w:type="dxa"/>
        <w:jc w:val="center"/>
        <w:tblLayout w:type="autofit"/>
        <w:tblCellMar>
          <w:top w:w="0" w:type="dxa"/>
          <w:left w:w="0" w:type="dxa"/>
          <w:bottom w:w="0" w:type="dxa"/>
          <w:right w:w="0" w:type="dxa"/>
        </w:tblCellMar>
      </w:tblPr>
      <w:tblGrid>
        <w:gridCol w:w="861"/>
        <w:gridCol w:w="840"/>
        <w:gridCol w:w="2026"/>
        <w:gridCol w:w="2419"/>
        <w:gridCol w:w="2119"/>
        <w:gridCol w:w="765"/>
      </w:tblGrid>
      <w:tr>
        <w:tblPrEx>
          <w:tblCellMar>
            <w:top w:w="0" w:type="dxa"/>
            <w:left w:w="0" w:type="dxa"/>
            <w:bottom w:w="0" w:type="dxa"/>
            <w:right w:w="0" w:type="dxa"/>
          </w:tblCellMar>
        </w:tblPrEx>
        <w:trPr>
          <w:trHeight w:val="692" w:hRule="atLeast"/>
          <w:jc w:val="center"/>
        </w:trPr>
        <w:tc>
          <w:tcPr>
            <w:tcW w:w="861"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一级指标</w:t>
            </w:r>
          </w:p>
        </w:tc>
        <w:tc>
          <w:tcPr>
            <w:tcW w:w="840"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二级指标</w:t>
            </w:r>
          </w:p>
        </w:tc>
        <w:tc>
          <w:tcPr>
            <w:tcW w:w="2026"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三级指标</w:t>
            </w:r>
          </w:p>
        </w:tc>
        <w:tc>
          <w:tcPr>
            <w:tcW w:w="2419"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指标内容</w:t>
            </w:r>
          </w:p>
        </w:tc>
        <w:tc>
          <w:tcPr>
            <w:tcW w:w="2119"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lang w:val="en-US" w:eastAsia="zh-CN"/>
              </w:rPr>
              <w:t>评价情况</w:t>
            </w:r>
          </w:p>
        </w:tc>
        <w:tc>
          <w:tcPr>
            <w:tcW w:w="765"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b/>
                <w:bCs/>
                <w:color w:val="000000"/>
                <w:kern w:val="0"/>
                <w:sz w:val="24"/>
                <w:szCs w:val="24"/>
              </w:rPr>
              <w:t>分值</w:t>
            </w:r>
          </w:p>
        </w:tc>
      </w:tr>
      <w:tr>
        <w:tblPrEx>
          <w:tblCellMar>
            <w:top w:w="0" w:type="dxa"/>
            <w:left w:w="0" w:type="dxa"/>
            <w:bottom w:w="0" w:type="dxa"/>
            <w:right w:w="0" w:type="dxa"/>
          </w:tblCellMar>
        </w:tblPrEx>
        <w:trPr>
          <w:trHeight w:val="1137" w:hRule="atLeast"/>
          <w:jc w:val="center"/>
        </w:trPr>
        <w:tc>
          <w:tcPr>
            <w:tcW w:w="861" w:type="dxa"/>
            <w:vMerge w:val="restart"/>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20" w:lineRule="atLeast"/>
              <w:jc w:val="left"/>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效益指标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20分</w:t>
            </w:r>
            <w:r>
              <w:rPr>
                <w:rFonts w:hint="eastAsia" w:ascii="仿宋" w:hAnsi="仿宋" w:eastAsia="仿宋" w:cs="仿宋"/>
                <w:color w:val="000000"/>
                <w:kern w:val="0"/>
                <w:sz w:val="24"/>
                <w:szCs w:val="24"/>
                <w:lang w:eastAsia="zh-CN"/>
              </w:rPr>
              <w:t>）</w:t>
            </w:r>
          </w:p>
        </w:tc>
        <w:tc>
          <w:tcPr>
            <w:tcW w:w="840"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20" w:lineRule="atLeast"/>
              <w:jc w:val="left"/>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rPr>
              <w:t>经济效益</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202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left"/>
              <w:rPr>
                <w:rFonts w:hint="default" w:ascii="仿宋" w:hAnsi="仿宋" w:eastAsia="仿宋" w:cs="仿宋"/>
                <w:kern w:val="0"/>
                <w:sz w:val="24"/>
                <w:szCs w:val="24"/>
                <w:lang w:val="en-US" w:eastAsia="zh-CN"/>
              </w:rPr>
            </w:pPr>
            <w:r>
              <w:rPr>
                <w:rFonts w:hint="eastAsia" w:ascii="仿宋_GB2312" w:hAnsi="Times New Roman" w:eastAsia="仿宋_GB2312" w:cs="Times New Roman"/>
                <w:sz w:val="24"/>
                <w:szCs w:val="24"/>
              </w:rPr>
              <w:t>完善</w:t>
            </w:r>
            <w:r>
              <w:rPr>
                <w:rFonts w:hint="eastAsia" w:ascii="仿宋_GB2312" w:eastAsia="仿宋_GB2312" w:cs="Times New Roman"/>
                <w:sz w:val="24"/>
                <w:szCs w:val="24"/>
                <w:lang w:val="en-US" w:eastAsia="zh-CN"/>
              </w:rPr>
              <w:t>居民生活舒适度</w:t>
            </w:r>
            <w:r>
              <w:rPr>
                <w:rFonts w:hint="eastAsia" w:ascii="仿宋_GB2312" w:hAnsi="Times New Roman" w:eastAsia="仿宋_GB2312" w:cs="Times New Roman"/>
                <w:sz w:val="24"/>
                <w:szCs w:val="24"/>
              </w:rPr>
              <w:t>，支撑县域经济发展</w:t>
            </w:r>
          </w:p>
        </w:tc>
        <w:tc>
          <w:tcPr>
            <w:tcW w:w="241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对当地居民有无经济效益，水厂有无提高收入</w:t>
            </w:r>
          </w:p>
        </w:tc>
        <w:tc>
          <w:tcPr>
            <w:tcW w:w="211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left"/>
              <w:rPr>
                <w:rFonts w:hint="eastAsia" w:ascii="仿宋" w:hAnsi="仿宋" w:eastAsia="仿宋" w:cs="仿宋"/>
                <w:kern w:val="0"/>
                <w:sz w:val="24"/>
                <w:szCs w:val="24"/>
                <w:lang w:val="en-US" w:eastAsia="zh-CN"/>
              </w:rPr>
            </w:pPr>
            <w:r>
              <w:rPr>
                <w:rFonts w:hint="default" w:ascii="仿宋" w:hAnsi="仿宋" w:eastAsia="仿宋" w:cs="仿宋"/>
                <w:kern w:val="0"/>
                <w:sz w:val="24"/>
                <w:szCs w:val="24"/>
                <w:lang w:val="en-US" w:eastAsia="zh-CN"/>
              </w:rPr>
              <w:t>1</w:t>
            </w:r>
            <w:r>
              <w:rPr>
                <w:rFonts w:hint="eastAsia" w:ascii="仿宋" w:hAnsi="仿宋" w:eastAsia="仿宋" w:cs="仿宋"/>
                <w:kern w:val="0"/>
                <w:sz w:val="24"/>
                <w:szCs w:val="24"/>
                <w:lang w:val="en-US" w:eastAsia="zh-CN"/>
              </w:rPr>
              <w:t>）节省劳动力效益：</w:t>
            </w:r>
          </w:p>
          <w:p>
            <w:pPr>
              <w:widowControl/>
              <w:spacing w:line="320" w:lineRule="atLeast"/>
              <w:jc w:val="left"/>
              <w:rPr>
                <w:rFonts w:hint="eastAsia" w:ascii="仿宋" w:hAnsi="仿宋" w:eastAsia="仿宋" w:cs="仿宋"/>
                <w:kern w:val="0"/>
                <w:sz w:val="24"/>
                <w:szCs w:val="24"/>
                <w:lang w:val="en-US" w:eastAsia="zh-CN"/>
              </w:rPr>
            </w:pPr>
            <w:r>
              <w:rPr>
                <w:rFonts w:hint="default" w:ascii="仿宋" w:hAnsi="仿宋" w:eastAsia="仿宋" w:cs="仿宋"/>
                <w:kern w:val="0"/>
                <w:sz w:val="24"/>
                <w:szCs w:val="24"/>
                <w:lang w:val="en-US" w:eastAsia="zh-CN"/>
              </w:rPr>
              <w:t>2</w:t>
            </w:r>
            <w:r>
              <w:rPr>
                <w:rFonts w:hint="eastAsia" w:ascii="仿宋" w:hAnsi="仿宋" w:eastAsia="仿宋" w:cs="仿宋"/>
                <w:kern w:val="0"/>
                <w:sz w:val="24"/>
                <w:szCs w:val="24"/>
                <w:lang w:val="en-US" w:eastAsia="zh-CN"/>
              </w:rPr>
              <w:t>）水厂每年水费收入：</w:t>
            </w:r>
          </w:p>
          <w:p>
            <w:pPr>
              <w:widowControl/>
              <w:spacing w:line="320" w:lineRule="atLeast"/>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3）未能竣工使用。得2分</w:t>
            </w:r>
          </w:p>
        </w:tc>
        <w:tc>
          <w:tcPr>
            <w:tcW w:w="76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2</w:t>
            </w:r>
          </w:p>
        </w:tc>
      </w:tr>
      <w:tr>
        <w:tblPrEx>
          <w:tblCellMar>
            <w:top w:w="0" w:type="dxa"/>
            <w:left w:w="0" w:type="dxa"/>
            <w:bottom w:w="0" w:type="dxa"/>
            <w:right w:w="0" w:type="dxa"/>
          </w:tblCellMar>
        </w:tblPrEx>
        <w:trPr>
          <w:trHeight w:val="1137" w:hRule="atLeast"/>
          <w:jc w:val="center"/>
        </w:trPr>
        <w:tc>
          <w:tcPr>
            <w:tcW w:w="0" w:type="auto"/>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840"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20" w:lineRule="atLeast"/>
              <w:jc w:val="left"/>
              <w:rPr>
                <w:rFonts w:hint="eastAsia" w:ascii="仿宋" w:hAnsi="仿宋" w:eastAsia="仿宋" w:cs="仿宋"/>
                <w:kern w:val="0"/>
                <w:sz w:val="24"/>
                <w:szCs w:val="24"/>
              </w:rPr>
            </w:pPr>
            <w:r>
              <w:rPr>
                <w:rFonts w:hint="eastAsia" w:ascii="仿宋" w:hAnsi="仿宋" w:eastAsia="仿宋" w:cs="仿宋"/>
                <w:color w:val="000000"/>
                <w:kern w:val="0"/>
                <w:sz w:val="24"/>
                <w:szCs w:val="24"/>
              </w:rPr>
              <w:t>社会效益</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202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left"/>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对促进地区居民健康、当地水资源优化影响程度</w:t>
            </w:r>
          </w:p>
        </w:tc>
        <w:tc>
          <w:tcPr>
            <w:tcW w:w="241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left"/>
              <w:rPr>
                <w:rFonts w:hint="eastAsia" w:ascii="仿宋" w:hAnsi="仿宋" w:eastAsia="仿宋" w:cs="仿宋"/>
                <w:kern w:val="0"/>
                <w:sz w:val="24"/>
                <w:szCs w:val="24"/>
              </w:rPr>
            </w:pPr>
            <w:r>
              <w:rPr>
                <w:rFonts w:hint="eastAsia" w:ascii="仿宋" w:hAnsi="仿宋" w:eastAsia="仿宋" w:cs="仿宋"/>
                <w:color w:val="000000"/>
                <w:kern w:val="0"/>
                <w:sz w:val="24"/>
                <w:szCs w:val="24"/>
              </w:rPr>
              <w:t>通</w:t>
            </w:r>
            <w:r>
              <w:rPr>
                <w:rFonts w:hint="eastAsia" w:ascii="仿宋" w:hAnsi="仿宋" w:eastAsia="仿宋" w:cs="仿宋"/>
                <w:color w:val="000000"/>
                <w:kern w:val="0"/>
                <w:sz w:val="24"/>
                <w:szCs w:val="24"/>
                <w:lang w:val="en-US" w:eastAsia="zh-CN"/>
              </w:rPr>
              <w:t>过项目实施，推进县农村经济的持续、快速发展，对社会主义新农村建设将起到重要的作用</w:t>
            </w:r>
          </w:p>
        </w:tc>
        <w:tc>
          <w:tcPr>
            <w:tcW w:w="211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left"/>
              <w:rPr>
                <w:rFonts w:hint="eastAsia" w:ascii="仿宋_GB2312" w:hAnsi="Times New Roman" w:eastAsia="仿宋_GB2312" w:cs="Times New Roman"/>
                <w:sz w:val="24"/>
                <w:szCs w:val="24"/>
                <w:lang w:val="en-US" w:eastAsia="zh-CN"/>
              </w:rPr>
            </w:pPr>
            <w:r>
              <w:rPr>
                <w:rFonts w:hint="eastAsia" w:ascii="仿宋_GB2312" w:eastAsia="仿宋_GB2312" w:cs="Times New Roman"/>
                <w:sz w:val="24"/>
                <w:szCs w:val="24"/>
                <w:lang w:val="en-US" w:eastAsia="zh-CN"/>
              </w:rPr>
              <w:t>竣工后能达到：</w:t>
            </w:r>
            <w:r>
              <w:rPr>
                <w:rFonts w:hint="eastAsia" w:ascii="仿宋_GB2312" w:hAnsi="Times New Roman" w:eastAsia="仿宋_GB2312" w:cs="Times New Roman"/>
                <w:sz w:val="24"/>
                <w:szCs w:val="24"/>
                <w:lang w:val="en-US" w:eastAsia="zh-CN"/>
              </w:rPr>
              <w:t>（</w:t>
            </w:r>
            <w:r>
              <w:rPr>
                <w:rFonts w:hint="default" w:ascii="仿宋_GB2312" w:hAnsi="Times New Roman" w:eastAsia="仿宋_GB2312" w:cs="Times New Roman"/>
                <w:sz w:val="24"/>
                <w:szCs w:val="24"/>
                <w:lang w:val="en-US" w:eastAsia="zh-CN"/>
              </w:rPr>
              <w:t>1</w:t>
            </w:r>
            <w:r>
              <w:rPr>
                <w:rFonts w:hint="eastAsia" w:ascii="仿宋_GB2312" w:hAnsi="Times New Roman" w:eastAsia="仿宋_GB2312" w:cs="Times New Roman"/>
                <w:sz w:val="24"/>
                <w:szCs w:val="24"/>
                <w:lang w:val="en-US" w:eastAsia="zh-CN"/>
              </w:rPr>
              <w:t>）改善了农村生活条件，提高了农民的健康水平。</w:t>
            </w:r>
          </w:p>
          <w:p>
            <w:pPr>
              <w:widowControl/>
              <w:spacing w:line="320" w:lineRule="atLeast"/>
              <w:jc w:val="left"/>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（2）密切了党群、干群关系，促进了农村精神文明建设。</w:t>
            </w:r>
          </w:p>
          <w:p>
            <w:pPr>
              <w:widowControl/>
              <w:spacing w:line="320" w:lineRule="atLeast"/>
              <w:jc w:val="left"/>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（3）有利于水资源合理调配，提高水资源的利用率。</w:t>
            </w:r>
          </w:p>
          <w:p>
            <w:pPr>
              <w:widowControl/>
              <w:spacing w:line="320" w:lineRule="atLeast"/>
              <w:jc w:val="left"/>
              <w:rPr>
                <w:rFonts w:hint="default" w:ascii="仿宋" w:hAnsi="仿宋" w:eastAsia="仿宋" w:cs="仿宋"/>
                <w:kern w:val="0"/>
                <w:sz w:val="24"/>
                <w:szCs w:val="24"/>
                <w:lang w:val="en-US"/>
              </w:rPr>
            </w:pPr>
            <w:r>
              <w:rPr>
                <w:rFonts w:hint="eastAsia" w:ascii="仿宋_GB2312" w:hAnsi="Times New Roman" w:eastAsia="仿宋_GB2312" w:cs="Times New Roman"/>
                <w:sz w:val="24"/>
                <w:szCs w:val="24"/>
                <w:lang w:val="en-US" w:eastAsia="zh-CN"/>
              </w:rPr>
              <w:t>。得</w:t>
            </w:r>
            <w:r>
              <w:rPr>
                <w:rFonts w:hint="eastAsia" w:ascii="仿宋_GB2312" w:eastAsia="仿宋_GB2312" w:cs="Times New Roman"/>
                <w:sz w:val="24"/>
                <w:szCs w:val="24"/>
                <w:lang w:val="en-US" w:eastAsia="zh-CN"/>
              </w:rPr>
              <w:t>3</w:t>
            </w:r>
            <w:r>
              <w:rPr>
                <w:rFonts w:hint="eastAsia" w:ascii="仿宋_GB2312" w:hAnsi="Times New Roman" w:eastAsia="仿宋_GB2312" w:cs="Times New Roman"/>
                <w:sz w:val="24"/>
                <w:szCs w:val="24"/>
                <w:lang w:val="en-US" w:eastAsia="zh-CN"/>
              </w:rPr>
              <w:t>分</w:t>
            </w:r>
          </w:p>
        </w:tc>
        <w:tc>
          <w:tcPr>
            <w:tcW w:w="76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3</w:t>
            </w:r>
          </w:p>
        </w:tc>
      </w:tr>
      <w:tr>
        <w:tblPrEx>
          <w:tblCellMar>
            <w:top w:w="0" w:type="dxa"/>
            <w:left w:w="0" w:type="dxa"/>
            <w:bottom w:w="0" w:type="dxa"/>
            <w:right w:w="0" w:type="dxa"/>
          </w:tblCellMar>
        </w:tblPrEx>
        <w:trPr>
          <w:trHeight w:val="1560" w:hRule="atLeast"/>
          <w:jc w:val="center"/>
        </w:trPr>
        <w:tc>
          <w:tcPr>
            <w:tcW w:w="0" w:type="auto"/>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840"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20" w:lineRule="atLeast"/>
              <w:jc w:val="left"/>
              <w:rPr>
                <w:rFonts w:hint="eastAsia" w:ascii="仿宋" w:hAnsi="仿宋" w:eastAsia="仿宋" w:cs="仿宋"/>
                <w:kern w:val="0"/>
                <w:sz w:val="24"/>
                <w:szCs w:val="24"/>
              </w:rPr>
            </w:pPr>
            <w:r>
              <w:rPr>
                <w:rFonts w:hint="eastAsia" w:ascii="仿宋" w:hAnsi="仿宋" w:eastAsia="仿宋" w:cs="仿宋"/>
                <w:color w:val="000000"/>
                <w:kern w:val="0"/>
                <w:sz w:val="24"/>
                <w:szCs w:val="24"/>
              </w:rPr>
              <w:t>可持续影响指标</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202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left"/>
              <w:rPr>
                <w:rFonts w:hint="eastAsia" w:ascii="仿宋" w:hAnsi="仿宋" w:eastAsia="仿宋" w:cs="仿宋"/>
                <w:kern w:val="0"/>
                <w:sz w:val="24"/>
                <w:szCs w:val="24"/>
              </w:rPr>
            </w:pPr>
            <w:r>
              <w:rPr>
                <w:rFonts w:hint="eastAsia" w:ascii="仿宋" w:hAnsi="仿宋" w:eastAsia="仿宋" w:cs="仿宋"/>
                <w:color w:val="000000"/>
                <w:kern w:val="0"/>
                <w:sz w:val="24"/>
                <w:szCs w:val="24"/>
              </w:rPr>
              <w:t>对</w:t>
            </w:r>
            <w:r>
              <w:rPr>
                <w:rFonts w:hint="eastAsia" w:ascii="仿宋" w:hAnsi="仿宋" w:eastAsia="仿宋" w:cs="仿宋"/>
                <w:color w:val="000000"/>
                <w:kern w:val="0"/>
                <w:sz w:val="24"/>
                <w:szCs w:val="24"/>
                <w:lang w:val="en-US" w:eastAsia="zh-CN"/>
              </w:rPr>
              <w:t>提升居民生活质量，提高防治疫病的</w:t>
            </w:r>
            <w:r>
              <w:rPr>
                <w:rFonts w:hint="eastAsia" w:ascii="仿宋" w:hAnsi="仿宋" w:eastAsia="仿宋" w:cs="仿宋"/>
                <w:color w:val="000000"/>
                <w:kern w:val="0"/>
                <w:sz w:val="24"/>
                <w:szCs w:val="24"/>
              </w:rPr>
              <w:t>水平及能力的持续影响程度</w:t>
            </w:r>
          </w:p>
        </w:tc>
        <w:tc>
          <w:tcPr>
            <w:tcW w:w="241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left"/>
              <w:rPr>
                <w:rFonts w:hint="default" w:ascii="仿宋" w:hAnsi="仿宋" w:eastAsia="仿宋" w:cs="仿宋"/>
                <w:kern w:val="0"/>
                <w:sz w:val="24"/>
                <w:szCs w:val="24"/>
                <w:lang w:val="en-US" w:eastAsia="zh-CN"/>
              </w:rPr>
            </w:pPr>
            <w:r>
              <w:rPr>
                <w:rFonts w:hint="eastAsia" w:ascii="仿宋_GB2312" w:hAnsi="Times New Roman" w:eastAsia="仿宋_GB2312" w:cs="Times New Roman"/>
                <w:sz w:val="24"/>
                <w:szCs w:val="24"/>
                <w:lang w:val="en-US" w:eastAsia="zh-CN"/>
              </w:rPr>
              <w:t>水厂的建设改造，能够使区域内的居民不断提高生活舒适度，另外对于防治疫病也有所助益，在区域内持续创造更多的机遇和条件，地区水资源达到更大的优化</w:t>
            </w:r>
          </w:p>
        </w:tc>
        <w:tc>
          <w:tcPr>
            <w:tcW w:w="211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left"/>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水厂建设好后能提升生活质量，对以后生活都会有持续的影响。得2分</w:t>
            </w:r>
          </w:p>
        </w:tc>
        <w:tc>
          <w:tcPr>
            <w:tcW w:w="76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r>
      <w:tr>
        <w:tblPrEx>
          <w:tblCellMar>
            <w:top w:w="0" w:type="dxa"/>
            <w:left w:w="0" w:type="dxa"/>
            <w:bottom w:w="0" w:type="dxa"/>
            <w:right w:w="0" w:type="dxa"/>
          </w:tblCellMar>
        </w:tblPrEx>
        <w:trPr>
          <w:trHeight w:val="1137" w:hRule="atLeast"/>
          <w:jc w:val="center"/>
        </w:trPr>
        <w:tc>
          <w:tcPr>
            <w:tcW w:w="0" w:type="auto"/>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rFonts w:hint="eastAsia" w:ascii="仿宋" w:hAnsi="仿宋" w:eastAsia="仿宋" w:cs="仿宋"/>
                <w:kern w:val="0"/>
                <w:sz w:val="24"/>
                <w:szCs w:val="24"/>
              </w:rPr>
            </w:pPr>
          </w:p>
        </w:tc>
        <w:tc>
          <w:tcPr>
            <w:tcW w:w="840"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20" w:lineRule="atLeast"/>
              <w:jc w:val="left"/>
              <w:rPr>
                <w:rFonts w:hint="eastAsia" w:ascii="仿宋" w:hAnsi="仿宋" w:eastAsia="仿宋" w:cs="仿宋"/>
                <w:kern w:val="0"/>
                <w:sz w:val="24"/>
                <w:szCs w:val="24"/>
              </w:rPr>
            </w:pPr>
            <w:r>
              <w:rPr>
                <w:rFonts w:hint="eastAsia" w:ascii="仿宋" w:hAnsi="仿宋" w:eastAsia="仿宋" w:cs="仿宋"/>
                <w:color w:val="000000"/>
                <w:kern w:val="0"/>
                <w:sz w:val="24"/>
                <w:szCs w:val="24"/>
              </w:rPr>
              <w:t>满意度</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5分</w:t>
            </w:r>
            <w:r>
              <w:rPr>
                <w:rFonts w:hint="eastAsia" w:ascii="仿宋" w:hAnsi="仿宋" w:eastAsia="仿宋" w:cs="仿宋"/>
                <w:color w:val="000000"/>
                <w:kern w:val="0"/>
                <w:sz w:val="24"/>
                <w:szCs w:val="24"/>
                <w:lang w:eastAsia="zh-CN"/>
              </w:rPr>
              <w:t>）</w:t>
            </w:r>
          </w:p>
        </w:tc>
        <w:tc>
          <w:tcPr>
            <w:tcW w:w="202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left"/>
              <w:rPr>
                <w:rFonts w:hint="eastAsia" w:ascii="仿宋" w:hAnsi="仿宋" w:eastAsia="仿宋" w:cs="仿宋"/>
                <w:kern w:val="0"/>
                <w:sz w:val="24"/>
                <w:szCs w:val="24"/>
              </w:rPr>
            </w:pPr>
            <w:r>
              <w:rPr>
                <w:rFonts w:hint="eastAsia" w:ascii="仿宋" w:hAnsi="仿宋" w:eastAsia="仿宋" w:cs="仿宋"/>
                <w:color w:val="000000"/>
                <w:kern w:val="0"/>
                <w:sz w:val="24"/>
                <w:szCs w:val="24"/>
              </w:rPr>
              <w:t>公众满意度</w:t>
            </w:r>
          </w:p>
        </w:tc>
        <w:tc>
          <w:tcPr>
            <w:tcW w:w="241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left"/>
              <w:rPr>
                <w:rFonts w:hint="eastAsia" w:ascii="仿宋" w:hAnsi="仿宋" w:eastAsia="仿宋" w:cs="仿宋"/>
                <w:kern w:val="0"/>
                <w:sz w:val="24"/>
                <w:szCs w:val="24"/>
              </w:rPr>
            </w:pPr>
            <w:r>
              <w:rPr>
                <w:rFonts w:hint="eastAsia" w:ascii="仿宋_GB2312" w:hAnsi="Times New Roman" w:eastAsia="仿宋_GB2312" w:cs="Times New Roman"/>
                <w:sz w:val="24"/>
                <w:szCs w:val="24"/>
              </w:rPr>
              <w:t>社会公众或服务对象对项目实施效果的满意程度。</w:t>
            </w:r>
          </w:p>
        </w:tc>
        <w:tc>
          <w:tcPr>
            <w:tcW w:w="211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left"/>
              <w:textAlignment w:val="center"/>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小于90%大于80</w:t>
            </w:r>
            <w:r>
              <w:rPr>
                <w:rFonts w:hint="eastAsia" w:ascii="仿宋" w:hAnsi="仿宋" w:eastAsia="仿宋" w:cs="仿宋"/>
                <w:color w:val="000000"/>
                <w:kern w:val="0"/>
                <w:sz w:val="24"/>
                <w:szCs w:val="24"/>
              </w:rPr>
              <w:t>%</w:t>
            </w:r>
            <w:r>
              <w:rPr>
                <w:rFonts w:hint="eastAsia" w:ascii="仿宋" w:hAnsi="仿宋" w:eastAsia="仿宋" w:cs="仿宋"/>
                <w:color w:val="000000"/>
                <w:kern w:val="0"/>
                <w:sz w:val="24"/>
                <w:szCs w:val="24"/>
                <w:lang w:val="en-US" w:eastAsia="zh-CN"/>
              </w:rPr>
              <w:t>扣2分</w:t>
            </w:r>
          </w:p>
        </w:tc>
        <w:tc>
          <w:tcPr>
            <w:tcW w:w="76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lang w:eastAsia="zh-CN"/>
              </w:rPr>
            </w:pPr>
            <w:r>
              <w:rPr>
                <w:rFonts w:hint="eastAsia" w:ascii="仿宋" w:hAnsi="仿宋" w:eastAsia="仿宋" w:cs="仿宋"/>
                <w:color w:val="000000"/>
                <w:kern w:val="0"/>
                <w:sz w:val="24"/>
                <w:szCs w:val="24"/>
                <w:lang w:val="en-US" w:eastAsia="zh-CN"/>
              </w:rPr>
              <w:t>3</w:t>
            </w:r>
          </w:p>
        </w:tc>
      </w:tr>
      <w:tr>
        <w:tblPrEx>
          <w:tblCellMar>
            <w:top w:w="0" w:type="dxa"/>
            <w:left w:w="0" w:type="dxa"/>
            <w:bottom w:w="0" w:type="dxa"/>
            <w:right w:w="0" w:type="dxa"/>
          </w:tblCellMar>
        </w:tblPrEx>
        <w:trPr>
          <w:trHeight w:val="672" w:hRule="atLeast"/>
          <w:jc w:val="center"/>
        </w:trPr>
        <w:tc>
          <w:tcPr>
            <w:tcW w:w="8265" w:type="dxa"/>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20" w:lineRule="atLeas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小计</w:t>
            </w:r>
          </w:p>
        </w:tc>
        <w:tc>
          <w:tcPr>
            <w:tcW w:w="76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20" w:lineRule="atLeast"/>
              <w:jc w:val="center"/>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lang w:val="en-US" w:eastAsia="zh-CN"/>
              </w:rPr>
              <w:t>10</w:t>
            </w:r>
          </w:p>
        </w:tc>
      </w:tr>
    </w:tbl>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1.完善</w:t>
      </w:r>
      <w:r>
        <w:rPr>
          <w:rFonts w:hint="eastAsia" w:ascii="仿宋" w:hAnsi="仿宋" w:eastAsia="仿宋" w:cs="仿宋"/>
          <w:sz w:val="24"/>
          <w:szCs w:val="24"/>
          <w:lang w:val="en-US" w:eastAsia="zh-CN"/>
        </w:rPr>
        <w:t>居民生活舒适度</w:t>
      </w:r>
      <w:r>
        <w:rPr>
          <w:rFonts w:hint="eastAsia" w:ascii="仿宋" w:hAnsi="仿宋" w:eastAsia="仿宋" w:cs="仿宋"/>
          <w:sz w:val="24"/>
          <w:szCs w:val="24"/>
        </w:rPr>
        <w:t>，支撑县域经济发展</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指标解释：项目实施对经济发展所带来的直接或间接影响情况。</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评分情况：通过</w:t>
      </w:r>
      <w:r>
        <w:rPr>
          <w:rFonts w:hint="eastAsia" w:ascii="仿宋" w:hAnsi="仿宋" w:eastAsia="仿宋" w:cs="仿宋"/>
          <w:sz w:val="24"/>
          <w:szCs w:val="24"/>
          <w:lang w:val="en-US" w:eastAsia="zh-CN"/>
        </w:rPr>
        <w:t>居民饮用水安全工程的建设</w:t>
      </w:r>
      <w:r>
        <w:rPr>
          <w:rFonts w:hint="eastAsia" w:ascii="仿宋" w:hAnsi="仿宋" w:eastAsia="仿宋" w:cs="仿宋"/>
          <w:sz w:val="24"/>
          <w:szCs w:val="24"/>
        </w:rPr>
        <w:t>，</w:t>
      </w:r>
      <w:r>
        <w:rPr>
          <w:rFonts w:hint="eastAsia" w:ascii="仿宋" w:hAnsi="仿宋" w:eastAsia="仿宋" w:cs="仿宋"/>
          <w:sz w:val="24"/>
          <w:szCs w:val="24"/>
          <w:lang w:val="en-US" w:eastAsia="zh-CN"/>
        </w:rPr>
        <w:t>能改善居民生活环境，能提高居民生活质量，</w:t>
      </w:r>
      <w:r>
        <w:rPr>
          <w:rFonts w:hint="eastAsia" w:ascii="仿宋" w:hAnsi="仿宋" w:eastAsia="仿宋" w:cs="仿宋"/>
          <w:sz w:val="24"/>
          <w:szCs w:val="24"/>
        </w:rPr>
        <w:t>增强城市综合竞争力，是十分重要的无形资产和战略资源，给予县域经济的发展强劲的推动</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但未竣工导致没能发挥应用的效果</w:t>
      </w:r>
      <w:r>
        <w:rPr>
          <w:rFonts w:hint="eastAsia" w:ascii="仿宋" w:hAnsi="仿宋" w:eastAsia="仿宋" w:cs="仿宋"/>
          <w:sz w:val="24"/>
          <w:szCs w:val="24"/>
        </w:rPr>
        <w:t>。该指标满分</w:t>
      </w:r>
      <w:r>
        <w:rPr>
          <w:rFonts w:hint="eastAsia" w:ascii="仿宋" w:hAnsi="仿宋" w:eastAsia="仿宋" w:cs="仿宋"/>
          <w:sz w:val="24"/>
          <w:szCs w:val="24"/>
          <w:lang w:val="en-US" w:eastAsia="zh-CN"/>
        </w:rPr>
        <w:t>5</w:t>
      </w:r>
      <w:r>
        <w:rPr>
          <w:rFonts w:hint="eastAsia" w:ascii="仿宋" w:hAnsi="仿宋" w:eastAsia="仿宋" w:cs="仿宋"/>
          <w:sz w:val="24"/>
          <w:szCs w:val="24"/>
        </w:rPr>
        <w:t>分，得分</w:t>
      </w:r>
      <w:r>
        <w:rPr>
          <w:rFonts w:hint="eastAsia" w:ascii="仿宋" w:hAnsi="仿宋" w:eastAsia="仿宋" w:cs="仿宋"/>
          <w:sz w:val="24"/>
          <w:szCs w:val="24"/>
          <w:lang w:val="en-US" w:eastAsia="zh-CN"/>
        </w:rPr>
        <w:t>2</w:t>
      </w:r>
      <w:r>
        <w:rPr>
          <w:rFonts w:hint="eastAsia" w:ascii="仿宋" w:hAnsi="仿宋" w:eastAsia="仿宋" w:cs="仿宋"/>
          <w:sz w:val="24"/>
          <w:szCs w:val="24"/>
        </w:rPr>
        <w:t>分，得分率</w:t>
      </w:r>
      <w:r>
        <w:rPr>
          <w:rFonts w:hint="eastAsia" w:ascii="仿宋" w:hAnsi="仿宋" w:eastAsia="仿宋" w:cs="仿宋"/>
          <w:sz w:val="24"/>
          <w:szCs w:val="24"/>
          <w:lang w:val="en-US" w:eastAsia="zh-CN"/>
        </w:rPr>
        <w:t>40.00</w:t>
      </w:r>
      <w:r>
        <w:rPr>
          <w:rFonts w:hint="eastAsia" w:ascii="仿宋" w:hAnsi="仿宋" w:eastAsia="仿宋" w:cs="仿宋"/>
          <w:sz w:val="24"/>
          <w:szCs w:val="24"/>
        </w:rPr>
        <w:t>%。</w:t>
      </w:r>
    </w:p>
    <w:p>
      <w:pPr>
        <w:numPr>
          <w:ilvl w:val="0"/>
          <w:numId w:val="1"/>
        </w:numPr>
        <w:spacing w:line="560" w:lineRule="exact"/>
        <w:ind w:left="0" w:leftChars="0" w:firstLine="480" w:firstLineChars="200"/>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对促进地区居民健康、当地水资源优化影响程度</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指标解释：项目实施对社会发展所带来的直接或间接影响情况。</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评分情况：</w:t>
      </w:r>
      <w:r>
        <w:rPr>
          <w:rFonts w:hint="eastAsia" w:ascii="仿宋" w:hAnsi="仿宋" w:eastAsia="仿宋" w:cs="仿宋"/>
          <w:sz w:val="24"/>
          <w:szCs w:val="24"/>
          <w:lang w:val="en-US" w:eastAsia="zh-CN"/>
        </w:rPr>
        <w:t>竣工实际投入使用后能改善农村生活条件，提高了农民的健康水平。密切了党群、干群关系，促进了农村精神文明建设。有利于水资源合理调配，提高水资源的利用率。</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该指标满分</w:t>
      </w:r>
      <w:r>
        <w:rPr>
          <w:rFonts w:hint="eastAsia" w:ascii="仿宋" w:hAnsi="仿宋" w:eastAsia="仿宋" w:cs="仿宋"/>
          <w:sz w:val="24"/>
          <w:szCs w:val="24"/>
          <w:lang w:val="en-US" w:eastAsia="zh-CN"/>
        </w:rPr>
        <w:t>5</w:t>
      </w:r>
      <w:r>
        <w:rPr>
          <w:rFonts w:hint="eastAsia" w:ascii="仿宋" w:hAnsi="仿宋" w:eastAsia="仿宋" w:cs="仿宋"/>
          <w:sz w:val="24"/>
          <w:szCs w:val="24"/>
        </w:rPr>
        <w:t>分，得</w:t>
      </w:r>
      <w:r>
        <w:rPr>
          <w:rFonts w:hint="eastAsia" w:ascii="仿宋" w:hAnsi="仿宋" w:eastAsia="仿宋" w:cs="仿宋"/>
          <w:sz w:val="24"/>
          <w:szCs w:val="24"/>
          <w:lang w:val="en-US" w:eastAsia="zh-CN"/>
        </w:rPr>
        <w:t>3</w:t>
      </w:r>
      <w:r>
        <w:rPr>
          <w:rFonts w:hint="eastAsia" w:ascii="仿宋" w:hAnsi="仿宋" w:eastAsia="仿宋" w:cs="仿宋"/>
          <w:sz w:val="24"/>
          <w:szCs w:val="24"/>
        </w:rPr>
        <w:t>分，得分率</w:t>
      </w:r>
      <w:r>
        <w:rPr>
          <w:rFonts w:hint="eastAsia" w:ascii="仿宋" w:hAnsi="仿宋" w:eastAsia="仿宋" w:cs="仿宋"/>
          <w:sz w:val="24"/>
          <w:szCs w:val="24"/>
          <w:lang w:val="en-US" w:eastAsia="zh-CN"/>
        </w:rPr>
        <w:t>60.00</w:t>
      </w:r>
      <w:r>
        <w:rPr>
          <w:rFonts w:hint="eastAsia" w:ascii="仿宋" w:hAnsi="仿宋" w:eastAsia="仿宋" w:cs="仿宋"/>
          <w:sz w:val="24"/>
          <w:szCs w:val="24"/>
        </w:rPr>
        <w:t>%。</w:t>
      </w:r>
    </w:p>
    <w:p>
      <w:pPr>
        <w:numPr>
          <w:ilvl w:val="0"/>
          <w:numId w:val="1"/>
        </w:numPr>
        <w:spacing w:line="560" w:lineRule="exact"/>
        <w:ind w:left="0" w:leftChars="0"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提升居民生活质量，提高防治疫病的</w:t>
      </w:r>
      <w:r>
        <w:rPr>
          <w:rFonts w:hint="eastAsia" w:ascii="仿宋" w:hAnsi="仿宋" w:eastAsia="仿宋" w:cs="仿宋"/>
          <w:color w:val="000000"/>
          <w:kern w:val="0"/>
          <w:sz w:val="24"/>
          <w:szCs w:val="24"/>
        </w:rPr>
        <w:t>水平及能力的持续影响程度</w:t>
      </w:r>
    </w:p>
    <w:p>
      <w:pPr>
        <w:numPr>
          <w:ilvl w:val="0"/>
          <w:numId w:val="0"/>
        </w:numPr>
        <w:spacing w:line="560" w:lineRule="exact"/>
        <w:ind w:leftChars="200"/>
        <w:rPr>
          <w:rFonts w:hint="eastAsia" w:ascii="仿宋" w:hAnsi="仿宋" w:eastAsia="仿宋" w:cs="仿宋"/>
          <w:sz w:val="24"/>
          <w:szCs w:val="24"/>
        </w:rPr>
      </w:pPr>
      <w:r>
        <w:rPr>
          <w:rFonts w:hint="eastAsia" w:ascii="仿宋" w:hAnsi="仿宋" w:eastAsia="仿宋" w:cs="仿宋"/>
          <w:sz w:val="24"/>
          <w:szCs w:val="24"/>
        </w:rPr>
        <w:t>指标解释：项目实施</w:t>
      </w:r>
      <w:r>
        <w:rPr>
          <w:rFonts w:hint="eastAsia" w:ascii="仿宋" w:hAnsi="仿宋" w:eastAsia="仿宋" w:cs="仿宋"/>
          <w:sz w:val="24"/>
          <w:szCs w:val="24"/>
          <w:lang w:val="en-US" w:eastAsia="zh-CN"/>
        </w:rPr>
        <w:t>后期产生的可持续性影响</w:t>
      </w:r>
      <w:r>
        <w:rPr>
          <w:rFonts w:hint="eastAsia" w:ascii="仿宋" w:hAnsi="仿宋" w:eastAsia="仿宋" w:cs="仿宋"/>
          <w:sz w:val="24"/>
          <w:szCs w:val="24"/>
        </w:rPr>
        <w:t>所带来的直接或间接影响情况。</w:t>
      </w:r>
    </w:p>
    <w:p>
      <w:pPr>
        <w:spacing w:line="56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评分情况：</w:t>
      </w:r>
      <w:r>
        <w:rPr>
          <w:rFonts w:hint="eastAsia" w:ascii="仿宋" w:hAnsi="仿宋" w:eastAsia="仿宋" w:cs="仿宋"/>
          <w:color w:val="000000"/>
          <w:kern w:val="0"/>
          <w:sz w:val="24"/>
          <w:szCs w:val="24"/>
          <w:lang w:val="en-US" w:eastAsia="zh-CN"/>
        </w:rPr>
        <w:t>水厂的建设改造竣工后，能够使区域内的居民不断提高生活舒适度，另外对于防治疫病也有所助益，在区域内持续创造更多的机遇和条件，地区水资源达到更大的优化</w:t>
      </w:r>
      <w:r>
        <w:rPr>
          <w:rFonts w:hint="eastAsia" w:ascii="仿宋" w:hAnsi="仿宋" w:eastAsia="仿宋" w:cs="仿宋"/>
          <w:sz w:val="24"/>
          <w:szCs w:val="24"/>
          <w:lang w:eastAsia="zh-CN"/>
        </w:rPr>
        <w:t>。</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该指标满分</w:t>
      </w:r>
      <w:r>
        <w:rPr>
          <w:rFonts w:hint="eastAsia" w:ascii="仿宋" w:hAnsi="仿宋" w:eastAsia="仿宋" w:cs="仿宋"/>
          <w:sz w:val="24"/>
          <w:szCs w:val="24"/>
          <w:lang w:val="en-US" w:eastAsia="zh-CN"/>
        </w:rPr>
        <w:t>5</w:t>
      </w:r>
      <w:r>
        <w:rPr>
          <w:rFonts w:hint="eastAsia" w:ascii="仿宋" w:hAnsi="仿宋" w:eastAsia="仿宋" w:cs="仿宋"/>
          <w:sz w:val="24"/>
          <w:szCs w:val="24"/>
        </w:rPr>
        <w:t>分，得分</w:t>
      </w:r>
      <w:r>
        <w:rPr>
          <w:rFonts w:hint="eastAsia" w:ascii="仿宋" w:hAnsi="仿宋" w:eastAsia="仿宋" w:cs="仿宋"/>
          <w:sz w:val="24"/>
          <w:szCs w:val="24"/>
          <w:lang w:val="en-US" w:eastAsia="zh-CN"/>
        </w:rPr>
        <w:t>2</w:t>
      </w:r>
      <w:r>
        <w:rPr>
          <w:rFonts w:hint="eastAsia" w:ascii="仿宋" w:hAnsi="仿宋" w:eastAsia="仿宋" w:cs="仿宋"/>
          <w:sz w:val="24"/>
          <w:szCs w:val="24"/>
        </w:rPr>
        <w:t>分，得分率</w:t>
      </w:r>
      <w:r>
        <w:rPr>
          <w:rFonts w:hint="eastAsia" w:ascii="仿宋" w:hAnsi="仿宋" w:eastAsia="仿宋" w:cs="仿宋"/>
          <w:sz w:val="24"/>
          <w:szCs w:val="24"/>
          <w:lang w:val="en-US" w:eastAsia="zh-CN"/>
        </w:rPr>
        <w:t>40</w:t>
      </w:r>
      <w:r>
        <w:rPr>
          <w:rFonts w:hint="eastAsia" w:ascii="仿宋" w:hAnsi="仿宋" w:eastAsia="仿宋" w:cs="仿宋"/>
          <w:sz w:val="24"/>
          <w:szCs w:val="24"/>
        </w:rPr>
        <w:t>.</w:t>
      </w:r>
      <w:r>
        <w:rPr>
          <w:rFonts w:hint="eastAsia" w:ascii="仿宋" w:hAnsi="仿宋" w:eastAsia="仿宋" w:cs="仿宋"/>
          <w:sz w:val="24"/>
          <w:szCs w:val="24"/>
          <w:lang w:val="en-US" w:eastAsia="zh-CN"/>
        </w:rPr>
        <w:t>00</w:t>
      </w:r>
      <w:r>
        <w:rPr>
          <w:rFonts w:hint="eastAsia" w:ascii="仿宋" w:hAnsi="仿宋" w:eastAsia="仿宋" w:cs="仿宋"/>
          <w:sz w:val="24"/>
          <w:szCs w:val="24"/>
        </w:rPr>
        <w:t>%。</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4.满意度</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指标解释：服务对象满意度。</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评分情况：通过电话回访服务对象，综合政务网站上群众反馈意见，满意度为</w:t>
      </w:r>
      <w:r>
        <w:rPr>
          <w:rFonts w:hint="eastAsia" w:ascii="仿宋" w:hAnsi="仿宋" w:eastAsia="仿宋" w:cs="仿宋"/>
          <w:sz w:val="24"/>
          <w:szCs w:val="24"/>
          <w:lang w:val="en-US" w:eastAsia="zh-CN"/>
        </w:rPr>
        <w:t>86</w:t>
      </w:r>
      <w:r>
        <w:rPr>
          <w:rFonts w:hint="eastAsia" w:ascii="仿宋" w:hAnsi="仿宋" w:eastAsia="仿宋" w:cs="仿宋"/>
          <w:sz w:val="24"/>
          <w:szCs w:val="24"/>
        </w:rPr>
        <w:t>%。该指标满分</w:t>
      </w:r>
      <w:r>
        <w:rPr>
          <w:rFonts w:hint="eastAsia" w:ascii="仿宋" w:hAnsi="仿宋" w:eastAsia="仿宋" w:cs="仿宋"/>
          <w:sz w:val="24"/>
          <w:szCs w:val="24"/>
          <w:lang w:val="en-US" w:eastAsia="zh-CN"/>
        </w:rPr>
        <w:t>5</w:t>
      </w:r>
      <w:r>
        <w:rPr>
          <w:rFonts w:hint="eastAsia" w:ascii="仿宋" w:hAnsi="仿宋" w:eastAsia="仿宋" w:cs="仿宋"/>
          <w:sz w:val="24"/>
          <w:szCs w:val="24"/>
        </w:rPr>
        <w:t>分，得分</w:t>
      </w:r>
      <w:r>
        <w:rPr>
          <w:rFonts w:hint="eastAsia" w:ascii="仿宋" w:hAnsi="仿宋" w:eastAsia="仿宋" w:cs="仿宋"/>
          <w:sz w:val="24"/>
          <w:szCs w:val="24"/>
          <w:lang w:val="en-US" w:eastAsia="zh-CN"/>
        </w:rPr>
        <w:t>3</w:t>
      </w:r>
      <w:r>
        <w:rPr>
          <w:rFonts w:hint="eastAsia" w:ascii="仿宋" w:hAnsi="仿宋" w:eastAsia="仿宋" w:cs="仿宋"/>
          <w:sz w:val="24"/>
          <w:szCs w:val="24"/>
        </w:rPr>
        <w:t>分，得分率</w:t>
      </w:r>
      <w:r>
        <w:rPr>
          <w:rFonts w:hint="eastAsia" w:ascii="仿宋" w:hAnsi="仿宋" w:eastAsia="仿宋" w:cs="仿宋"/>
          <w:sz w:val="24"/>
          <w:szCs w:val="24"/>
          <w:lang w:val="en-US" w:eastAsia="zh-CN"/>
        </w:rPr>
        <w:t>6</w:t>
      </w:r>
      <w:r>
        <w:rPr>
          <w:rFonts w:hint="eastAsia" w:ascii="仿宋" w:hAnsi="仿宋" w:eastAsia="仿宋" w:cs="仿宋"/>
          <w:sz w:val="24"/>
          <w:szCs w:val="24"/>
        </w:rPr>
        <w:t>0.00%。</w:t>
      </w:r>
    </w:p>
    <w:p>
      <w:pPr>
        <w:spacing w:line="560" w:lineRule="exact"/>
        <w:ind w:firstLine="480" w:firstLineChars="200"/>
        <w:outlineLvl w:val="0"/>
        <w:rPr>
          <w:rFonts w:ascii="黑体" w:hAnsi="黑体" w:eastAsia="黑体" w:cs="Times New Roman"/>
          <w:bCs/>
          <w:sz w:val="24"/>
          <w:szCs w:val="24"/>
        </w:rPr>
      </w:pPr>
      <w:r>
        <w:rPr>
          <w:rFonts w:hint="eastAsia" w:ascii="黑体" w:hAnsi="黑体" w:eastAsia="黑体" w:cs="Times New Roman"/>
          <w:bCs/>
          <w:sz w:val="24"/>
          <w:szCs w:val="24"/>
        </w:rPr>
        <w:t>五、主要经验及做法</w:t>
      </w:r>
    </w:p>
    <w:p>
      <w:pPr>
        <w:keepNext w:val="0"/>
        <w:keepLines w:val="0"/>
        <w:pageBreakBefore w:val="0"/>
        <w:widowControl w:val="0"/>
        <w:kinsoku/>
        <w:wordWrap/>
        <w:overflowPunct/>
        <w:topLinePunct w:val="0"/>
        <w:autoSpaceDE/>
        <w:autoSpaceDN/>
        <w:bidi w:val="0"/>
        <w:adjustRightInd/>
        <w:snapToGrid/>
        <w:spacing w:line="560" w:lineRule="exact"/>
        <w:ind w:left="134" w:leftChars="64" w:firstLine="240" w:firstLineChars="1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切实保障“十四五”期间怀远县群众喝上水质更好的引调水，从根本上解决农村自来水问题。根据《安徽省怀远县农村供水保障规划（2021—2026年）修编》及省、市有关文件精神。2022年4月13日怀远县水利局《关于怀远县群众喝上引调水双龙水厂工程初步设计报告的批复》（怀水〔2022〕18号），2021年11月15日怀远县人民政府常务会议纪要（第83次），开会协调，促进县域经济持续健康发展</w:t>
      </w:r>
      <w:r>
        <w:rPr>
          <w:rFonts w:hint="eastAsia" w:ascii="仿宋" w:hAnsi="仿宋" w:eastAsia="仿宋" w:cs="仿宋"/>
          <w:sz w:val="24"/>
          <w:szCs w:val="24"/>
        </w:rPr>
        <w:t>，完善</w:t>
      </w:r>
      <w:r>
        <w:rPr>
          <w:rFonts w:hint="eastAsia" w:ascii="仿宋" w:hAnsi="仿宋" w:eastAsia="仿宋" w:cs="仿宋"/>
          <w:sz w:val="24"/>
          <w:szCs w:val="24"/>
          <w:lang w:val="en-US" w:eastAsia="zh-CN"/>
        </w:rPr>
        <w:t>居民安全用水</w:t>
      </w:r>
      <w:r>
        <w:rPr>
          <w:rFonts w:hint="eastAsia" w:ascii="仿宋" w:hAnsi="仿宋" w:eastAsia="仿宋" w:cs="仿宋"/>
          <w:sz w:val="24"/>
          <w:szCs w:val="24"/>
        </w:rPr>
        <w:t>，</w:t>
      </w:r>
      <w:r>
        <w:rPr>
          <w:rFonts w:hint="eastAsia" w:ascii="仿宋" w:hAnsi="仿宋" w:eastAsia="仿宋" w:cs="仿宋"/>
          <w:sz w:val="24"/>
          <w:szCs w:val="24"/>
          <w:lang w:val="en-US" w:eastAsia="zh-CN"/>
        </w:rPr>
        <w:t>领导重视等经验及时落实做法如下：</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(一)首先对怀远县群众喝上引调水双龙水厂工程初步设计报告</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(二)县政府成立产业扶持政策领导小组（以下简称领导小组)，各主要领导当组长与副组长亲自监督和落实。</w:t>
      </w:r>
    </w:p>
    <w:p>
      <w:pPr>
        <w:spacing w:line="560" w:lineRule="exact"/>
        <w:ind w:firstLine="240" w:firstLineChars="1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（三）项目资金来源。</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安徽省政府专项债券项目资金绩效管理办法》（皖财债〔2021〕1485号）、《蚌埠市地方政府专项债券管理暂行办法》（蚌财债〔2023〕204号）省财政2022年对皖北财力补助资金为2000万元。确保资金来源，保障扶持项目能如期进行。</w:t>
      </w:r>
    </w:p>
    <w:p>
      <w:pPr>
        <w:spacing w:line="560" w:lineRule="exact"/>
        <w:ind w:firstLine="240" w:firstLineChars="1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（四）资金使用范围</w:t>
      </w:r>
    </w:p>
    <w:p>
      <w:pPr>
        <w:spacing w:line="560" w:lineRule="exact"/>
        <w:ind w:firstLine="240" w:firstLineChars="1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为了确保规范使用资金，会议上也明确规定资金使用范围，保证专款专</w:t>
      </w:r>
    </w:p>
    <w:p>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用。</w:t>
      </w:r>
    </w:p>
    <w:p>
      <w:pPr>
        <w:spacing w:line="560" w:lineRule="exact"/>
        <w:ind w:firstLine="240" w:firstLineChars="1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（五）成立验收工作组</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怀远县水利局、怀远县农村饮水安全管理中心、南京市水利规划设计院股份有限 公司、安徽永合德勤工程管理咨询有限公司、蚌埠市水利勘测设计院有限公司、安徽水安建设集团股份有限公司等单位的代表参加了会议。验收工作组成员通过查看工程现场，听取工程建设管理、监理、设计、施工等单位工作报告，审阅有关工程资料，充分讨论形成本验收鉴定书</w:t>
      </w:r>
    </w:p>
    <w:p>
      <w:pPr>
        <w:spacing w:line="560" w:lineRule="exact"/>
        <w:ind w:firstLine="420" w:firstLineChars="200"/>
        <w:outlineLvl w:val="0"/>
        <w:rPr>
          <w:rFonts w:ascii="黑体" w:hAnsi="黑体" w:eastAsia="黑体" w:cs="Times New Roman"/>
          <w:bCs/>
          <w:sz w:val="24"/>
          <w:szCs w:val="24"/>
        </w:rPr>
      </w:pPr>
      <w:r>
        <w:rPr>
          <w:rFonts w:hint="eastAsia"/>
          <w:lang w:val="en-US" w:eastAsia="zh-CN"/>
        </w:rPr>
        <w:t xml:space="preserve"> </w:t>
      </w:r>
      <w:r>
        <w:rPr>
          <w:rFonts w:hint="eastAsia" w:ascii="黑体" w:hAnsi="黑体" w:eastAsia="黑体" w:cs="Times New Roman"/>
          <w:bCs/>
          <w:sz w:val="24"/>
          <w:szCs w:val="24"/>
        </w:rPr>
        <w:t>六、存在问题及原因分析</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一是绩效目标设置较为简单，需要进一步明确项目指标设置。缺少效益指标。不能细化量化考核实际效果；</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二是各项规章制度要完善，要制定并落实，所有申报资料要求全部是根据  怀远县政府文件规定来提供的，但没有内部管理制度，不能保证奖补资金何时落实到位，只看到有相关申请，事实上扶持资金是根据工程进度来支付，但没有在内部控制制度上体现。</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是加强内控流程的设置，从申请资料到复审都要经过所有岗位人员的审核，没见到怀远县财政何时转账支付到水利局或怀投集团，只看到大禹水务集团转账到施工单位账上，不能查看整个流程是否符合财务规定。</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四是监管环节不连贯，建设单位要按照省水利厅〈关于印发《安徽省农村饮水安全工程验收办法》的通知〉(皖水农函[2014] 683号)要求，项目法人按规定组织完工验收，在完工验收合格的基础上，项目法人应及时向竣工验收主管部门提出竣工验收申请，同时报送相应的竣工验收资料。但只看到验收合格，没有看到竣工验收。</w:t>
      </w:r>
    </w:p>
    <w:p>
      <w:pPr>
        <w:spacing w:line="560" w:lineRule="exact"/>
        <w:ind w:firstLine="480" w:firstLineChars="200"/>
        <w:outlineLvl w:val="0"/>
        <w:rPr>
          <w:rFonts w:ascii="黑体" w:hAnsi="黑体" w:eastAsia="黑体" w:cs="Times New Roman"/>
          <w:bCs/>
          <w:sz w:val="24"/>
          <w:szCs w:val="24"/>
        </w:rPr>
      </w:pPr>
      <w:r>
        <w:rPr>
          <w:rFonts w:hint="eastAsia" w:ascii="黑体" w:hAnsi="黑体" w:eastAsia="黑体" w:cs="Times New Roman"/>
          <w:bCs/>
          <w:sz w:val="24"/>
          <w:szCs w:val="24"/>
        </w:rPr>
        <w:t>七、有关建议</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为进一步提高补助资金使用效益，针对存在的问题，提出如下建议：</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是完善绩效目标编制，细化绩效指标值；在编制绩效目标时，怀远县水利局应加强财务部门与项目实施部门之间的信息沟通，共同参与绩效目标编制，根据项目的实际情况、工作计划等合理设置绩效目标，细化量化指标值，便于 项目绩效管理。</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二是加强业务条线管理，做好项目尽快落实，要根据合同规定来执行资金支付，保质保量完成合同各项规定。带动地方经济效益提高。</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三是强化内部流程制度的制定与落实。根据项目申请到项目落实及后期的管理要制定一个具体的管理办法，完善财务制度，保证专款专用不准挪用项目资金。</w:t>
      </w:r>
    </w:p>
    <w:p>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四是严格落实工程合同规定的要求，加强监管与帮扶工作。</w:t>
      </w:r>
    </w:p>
    <w:p>
      <w:pPr>
        <w:pStyle w:val="2"/>
        <w:keepNext w:val="0"/>
        <w:keepLines w:val="0"/>
        <w:pageBreakBefore w:val="0"/>
        <w:widowControl w:val="0"/>
        <w:kinsoku/>
        <w:wordWrap/>
        <w:overflowPunct/>
        <w:topLinePunct w:val="0"/>
        <w:autoSpaceDE/>
        <w:autoSpaceDN/>
        <w:bidi w:val="0"/>
        <w:adjustRightInd/>
        <w:snapToGrid/>
        <w:ind w:left="105" w:leftChars="50" w:firstLine="240" w:firstLineChars="100"/>
        <w:textAlignment w:val="auto"/>
        <w:rPr>
          <w:rFonts w:hint="default"/>
          <w:lang w:val="en-US" w:eastAsia="zh-CN"/>
        </w:rPr>
      </w:pPr>
      <w:r>
        <w:rPr>
          <w:rFonts w:hint="eastAsia" w:ascii="仿宋" w:hAnsi="仿宋" w:eastAsia="仿宋" w:cs="仿宋"/>
          <w:sz w:val="24"/>
          <w:szCs w:val="24"/>
          <w:lang w:val="en-US" w:eastAsia="zh-CN"/>
        </w:rPr>
        <w:t xml:space="preserve"> 五是做工程设计报告时要关注企业有无资质否则不具备出报告资格。导致立项依据不充分。</w:t>
      </w:r>
    </w:p>
    <w:p>
      <w:pPr>
        <w:spacing w:line="560" w:lineRule="exact"/>
        <w:ind w:firstLine="482" w:firstLineChars="200"/>
        <w:outlineLvl w:val="0"/>
        <w:rPr>
          <w:rFonts w:hint="eastAsia" w:ascii="黑体" w:hAnsi="黑体" w:eastAsia="黑体" w:cs="Times New Roman"/>
          <w:b/>
          <w:bCs/>
          <w:sz w:val="24"/>
          <w:szCs w:val="24"/>
        </w:rPr>
      </w:pPr>
      <w:r>
        <w:rPr>
          <w:rFonts w:hint="eastAsia" w:ascii="黑体" w:hAnsi="黑体" w:eastAsia="黑体" w:cs="Times New Roman"/>
          <w:b/>
          <w:bCs/>
          <w:sz w:val="24"/>
          <w:szCs w:val="24"/>
        </w:rPr>
        <w:t>八、其他需要说明的问题</w:t>
      </w:r>
    </w:p>
    <w:p>
      <w:pPr>
        <w:spacing w:line="560" w:lineRule="exact"/>
        <w:rPr>
          <w:rFonts w:hint="eastAsia" w:ascii="仿宋" w:hAnsi="仿宋" w:eastAsia="仿宋" w:cs="仿宋"/>
          <w:sz w:val="24"/>
          <w:szCs w:val="24"/>
        </w:rPr>
      </w:pPr>
      <w:r>
        <w:rPr>
          <w:rFonts w:hint="eastAsia" w:ascii="仿宋_GB2312" w:hAnsi="Times New Roman" w:eastAsia="仿宋_GB2312" w:cs="Times New Roman"/>
          <w:sz w:val="24"/>
          <w:szCs w:val="24"/>
        </w:rPr>
        <w:t>    </w:t>
      </w:r>
      <w:r>
        <w:rPr>
          <w:rFonts w:hint="eastAsia" w:ascii="仿宋_GB2312" w:eastAsia="仿宋_GB2312" w:cs="Times New Roman"/>
          <w:sz w:val="24"/>
          <w:szCs w:val="24"/>
          <w:lang w:val="en-US" w:eastAsia="zh-CN"/>
        </w:rPr>
        <w:t xml:space="preserve">  </w:t>
      </w:r>
      <w:r>
        <w:rPr>
          <w:rFonts w:hint="eastAsia" w:ascii="仿宋" w:hAnsi="仿宋" w:eastAsia="仿宋" w:cs="仿宋"/>
          <w:sz w:val="24"/>
          <w:szCs w:val="24"/>
        </w:rPr>
        <w:t>无其他需要说明的问题。</w:t>
      </w:r>
    </w:p>
    <w:p>
      <w:pPr>
        <w:tabs>
          <w:tab w:val="left" w:pos="1276"/>
        </w:tabs>
        <w:spacing w:line="560" w:lineRule="exact"/>
        <w:ind w:firstLine="537" w:firstLineChars="224"/>
        <w:rPr>
          <w:rFonts w:hint="eastAsia" w:ascii="仿宋" w:hAnsi="仿宋" w:eastAsia="仿宋" w:cs="仿宋"/>
          <w:sz w:val="24"/>
          <w:szCs w:val="24"/>
        </w:rPr>
      </w:pPr>
      <w:r>
        <w:rPr>
          <w:rFonts w:hint="eastAsia" w:ascii="仿宋" w:hAnsi="仿宋" w:eastAsia="仿宋" w:cs="仿宋"/>
          <w:sz w:val="24"/>
          <w:szCs w:val="24"/>
        </w:rPr>
        <w:t>附：</w:t>
      </w:r>
    </w:p>
    <w:p>
      <w:pPr>
        <w:tabs>
          <w:tab w:val="left" w:pos="1276"/>
        </w:tabs>
        <w:spacing w:line="560" w:lineRule="exact"/>
        <w:ind w:firstLine="537" w:firstLineChars="224"/>
        <w:rPr>
          <w:rFonts w:hint="eastAsia" w:ascii="仿宋" w:hAnsi="仿宋" w:eastAsia="仿宋" w:cs="仿宋"/>
          <w:sz w:val="24"/>
          <w:szCs w:val="24"/>
        </w:rPr>
      </w:pPr>
      <w:r>
        <w:rPr>
          <w:rFonts w:hint="eastAsia" w:ascii="仿宋" w:hAnsi="仿宋" w:eastAsia="仿宋" w:cs="仿宋"/>
          <w:sz w:val="24"/>
          <w:szCs w:val="24"/>
        </w:rPr>
        <w:t> 1.2022年度怀远县水利局居民饮用水安全工程绩效评价-指标体系</w:t>
      </w:r>
    </w:p>
    <w:p>
      <w:pPr>
        <w:tabs>
          <w:tab w:val="left" w:pos="1276"/>
        </w:tabs>
        <w:spacing w:line="560" w:lineRule="exact"/>
        <w:ind w:firstLine="537" w:firstLineChars="224"/>
        <w:rPr>
          <w:rFonts w:hint="eastAsia" w:ascii="仿宋" w:hAnsi="仿宋" w:eastAsia="仿宋" w:cs="仿宋"/>
          <w:sz w:val="24"/>
          <w:szCs w:val="24"/>
          <w:lang w:val="en-US" w:eastAsia="zh-CN"/>
        </w:rPr>
      </w:pPr>
      <w:r>
        <w:rPr>
          <w:rFonts w:hint="eastAsia" w:ascii="仿宋" w:hAnsi="仿宋" w:eastAsia="仿宋" w:cs="仿宋"/>
          <w:sz w:val="24"/>
          <w:szCs w:val="24"/>
        </w:rPr>
        <w:t>2.2022年度怀远县水利局居民饮用水安全工程</w:t>
      </w:r>
      <w:r>
        <w:rPr>
          <w:rFonts w:hint="eastAsia" w:ascii="仿宋" w:hAnsi="仿宋" w:eastAsia="仿宋" w:cs="仿宋"/>
          <w:sz w:val="24"/>
          <w:szCs w:val="24"/>
          <w:lang w:val="en-US" w:eastAsia="zh-CN"/>
        </w:rPr>
        <w:t>绩效目标完成清单</w:t>
      </w:r>
    </w:p>
    <w:p>
      <w:pPr>
        <w:tabs>
          <w:tab w:val="left" w:pos="1276"/>
        </w:tabs>
        <w:spacing w:line="560" w:lineRule="exact"/>
        <w:ind w:firstLine="537" w:firstLineChars="224"/>
        <w:rPr>
          <w:rFonts w:hint="eastAsia" w:ascii="仿宋" w:hAnsi="仿宋" w:eastAsia="仿宋" w:cs="仿宋"/>
          <w:sz w:val="24"/>
          <w:szCs w:val="24"/>
          <w:lang w:val="en-US"/>
        </w:rPr>
      </w:pPr>
      <w:r>
        <w:rPr>
          <w:rFonts w:hint="eastAsia" w:ascii="仿宋" w:hAnsi="仿宋" w:eastAsia="仿宋" w:cs="仿宋"/>
          <w:sz w:val="24"/>
          <w:szCs w:val="24"/>
        </w:rPr>
        <w:t>3.  2022年度怀远县水利局居民饮用水安全工程</w:t>
      </w:r>
      <w:r>
        <w:rPr>
          <w:rFonts w:hint="eastAsia" w:ascii="仿宋" w:hAnsi="仿宋" w:eastAsia="仿宋" w:cs="仿宋"/>
          <w:sz w:val="24"/>
          <w:szCs w:val="24"/>
          <w:lang w:val="en-US" w:eastAsia="zh-CN"/>
        </w:rPr>
        <w:t>绩效评价问题清单</w:t>
      </w:r>
    </w:p>
    <w:p>
      <w:pPr>
        <w:tabs>
          <w:tab w:val="left" w:pos="1276"/>
        </w:tabs>
        <w:spacing w:line="560" w:lineRule="exact"/>
        <w:ind w:firstLine="537" w:firstLineChars="224"/>
        <w:rPr>
          <w:rFonts w:hint="eastAsia" w:ascii="仿宋" w:hAnsi="仿宋" w:eastAsia="仿宋" w:cs="仿宋"/>
          <w:sz w:val="24"/>
          <w:szCs w:val="24"/>
          <w:lang w:val="en-US"/>
        </w:rPr>
      </w:pPr>
      <w:r>
        <w:rPr>
          <w:rFonts w:hint="eastAsia" w:ascii="仿宋" w:hAnsi="仿宋" w:eastAsia="仿宋" w:cs="仿宋"/>
          <w:sz w:val="24"/>
          <w:szCs w:val="24"/>
        </w:rPr>
        <w:t>4.2022年度怀远县水利局居民饮用水安全工程</w:t>
      </w:r>
      <w:r>
        <w:rPr>
          <w:rFonts w:hint="eastAsia" w:ascii="仿宋" w:hAnsi="仿宋" w:eastAsia="仿宋" w:cs="仿宋"/>
          <w:sz w:val="24"/>
          <w:szCs w:val="24"/>
          <w:lang w:val="en-US" w:eastAsia="zh-CN"/>
        </w:rPr>
        <w:t>绩效评价评分情况</w:t>
      </w:r>
    </w:p>
    <w:p>
      <w:pPr>
        <w:tabs>
          <w:tab w:val="left" w:pos="1276"/>
        </w:tabs>
        <w:spacing w:line="560" w:lineRule="exact"/>
        <w:ind w:firstLine="537" w:firstLineChars="224"/>
        <w:rPr>
          <w:rFonts w:hint="eastAsia" w:ascii="仿宋" w:hAnsi="仿宋" w:eastAsia="仿宋" w:cs="仿宋"/>
          <w:sz w:val="24"/>
          <w:szCs w:val="24"/>
        </w:rPr>
      </w:pPr>
      <w:r>
        <w:rPr>
          <w:rFonts w:hint="eastAsia" w:ascii="仿宋" w:hAnsi="仿宋" w:eastAsia="仿宋" w:cs="仿宋"/>
          <w:sz w:val="24"/>
          <w:szCs w:val="24"/>
        </w:rPr>
        <w:t>5.2022年度怀远县水利局居民饮用水安全工程</w:t>
      </w:r>
      <w:r>
        <w:rPr>
          <w:rFonts w:hint="eastAsia" w:ascii="仿宋" w:hAnsi="仿宋" w:eastAsia="仿宋" w:cs="仿宋"/>
          <w:sz w:val="24"/>
          <w:szCs w:val="24"/>
          <w:lang w:val="en-US" w:eastAsia="zh-CN"/>
        </w:rPr>
        <w:t>绩效评价</w:t>
      </w:r>
      <w:r>
        <w:rPr>
          <w:rFonts w:hint="eastAsia" w:ascii="仿宋" w:hAnsi="仿宋" w:eastAsia="仿宋" w:cs="仿宋"/>
          <w:sz w:val="24"/>
          <w:szCs w:val="24"/>
        </w:rPr>
        <w:t>-社会问卷调查统计分析表-服务对象</w:t>
      </w:r>
    </w:p>
    <w:p>
      <w:pPr>
        <w:tabs>
          <w:tab w:val="left" w:pos="1276"/>
        </w:tabs>
        <w:spacing w:line="560" w:lineRule="exact"/>
        <w:ind w:firstLine="537" w:firstLineChars="224"/>
        <w:rPr>
          <w:rFonts w:hint="eastAsia"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怀远县人民政府常务会议纪要</w:t>
      </w:r>
      <w:r>
        <w:rPr>
          <w:rFonts w:hint="eastAsia" w:ascii="仿宋" w:hAnsi="仿宋" w:eastAsia="仿宋" w:cs="仿宋"/>
          <w:sz w:val="24"/>
          <w:szCs w:val="24"/>
        </w:rPr>
        <w:t>县十七届人民政府第83次常务会议纪要</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第83号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第八条</w:t>
      </w:r>
    </w:p>
    <w:p>
      <w:pPr>
        <w:tabs>
          <w:tab w:val="left" w:pos="1276"/>
        </w:tabs>
        <w:spacing w:line="560" w:lineRule="exact"/>
        <w:ind w:firstLine="537" w:firstLineChars="224"/>
        <w:rPr>
          <w:rFonts w:hint="eastAsia" w:ascii="仿宋" w:hAnsi="仿宋" w:eastAsia="仿宋" w:cs="仿宋"/>
          <w:sz w:val="24"/>
          <w:szCs w:val="24"/>
        </w:rPr>
      </w:pPr>
      <w:r>
        <w:rPr>
          <w:rFonts w:hint="eastAsia" w:ascii="仿宋" w:hAnsi="仿宋" w:eastAsia="仿宋" w:cs="仿宋"/>
          <w:sz w:val="24"/>
          <w:szCs w:val="24"/>
        </w:rPr>
        <w:t>7.</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关于拨付怀远县居民饮用水工程建设项目补助资金函</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怀投函2022</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36号</w:t>
      </w:r>
      <w:r>
        <w:rPr>
          <w:rFonts w:hint="eastAsia" w:ascii="仿宋" w:hAnsi="仿宋" w:eastAsia="仿宋" w:cs="仿宋"/>
          <w:sz w:val="24"/>
          <w:szCs w:val="24"/>
        </w:rPr>
        <w:t>）</w:t>
      </w:r>
    </w:p>
    <w:p>
      <w:pPr>
        <w:pStyle w:val="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8.怀远县项目备案表</w:t>
      </w:r>
    </w:p>
    <w:p>
      <w:pPr>
        <w:pStyle w:val="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9.怀远县水利局文件《关于怀远县群众喝上引调水双龙水厂工程初步设计报告的批复》（怀水【2022】18号）</w:t>
      </w:r>
    </w:p>
    <w:p>
      <w:pPr>
        <w:pStyle w:val="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10.付款凭证</w:t>
      </w:r>
    </w:p>
    <w:p>
      <w:pPr>
        <w:pStyle w:val="2"/>
        <w:rPr>
          <w:rFonts w:hint="default" w:ascii="仿宋_GB2312" w:hAnsi="Times New Roman" w:eastAsia="仿宋_GB2312" w:cs="Times New Roman"/>
          <w:sz w:val="24"/>
          <w:szCs w:val="24"/>
          <w:lang w:val="en-US" w:eastAsia="zh-CN"/>
        </w:rPr>
      </w:pPr>
    </w:p>
    <w:p>
      <w:pPr>
        <w:pStyle w:val="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（此页无正文）</w:t>
      </w:r>
    </w:p>
    <w:p>
      <w:pPr>
        <w:pStyle w:val="2"/>
        <w:rPr>
          <w:rFonts w:hint="default" w:ascii="仿宋_GB2312" w:hAnsi="Times New Roman" w:eastAsia="仿宋_GB2312" w:cs="Times New Roman"/>
          <w:sz w:val="24"/>
          <w:szCs w:val="24"/>
          <w:lang w:val="en-US" w:eastAsia="zh-CN"/>
        </w:rPr>
      </w:pPr>
    </w:p>
    <w:p>
      <w:pPr>
        <w:pStyle w:val="2"/>
        <w:rPr>
          <w:rFonts w:hint="eastAsia" w:ascii="仿宋" w:hAnsi="仿宋" w:eastAsia="仿宋" w:cs="仿宋"/>
          <w:sz w:val="28"/>
          <w:szCs w:val="28"/>
        </w:rPr>
      </w:pPr>
    </w:p>
    <w:p>
      <w:pPr>
        <w:widowControl/>
        <w:shd w:val="clear" w:color="auto" w:fill="FFFFFF"/>
        <w:rPr>
          <w:rFonts w:hint="eastAsia" w:ascii="仿宋" w:hAnsi="仿宋" w:eastAsia="仿宋" w:cs="仿宋"/>
          <w:color w:val="000000"/>
          <w:kern w:val="0"/>
          <w:sz w:val="28"/>
          <w:szCs w:val="28"/>
        </w:rPr>
      </w:pP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安徽宝逸通企业咨询管理有限公司   主评人</w:t>
      </w:r>
      <w:r>
        <w:rPr>
          <w:rFonts w:hint="eastAsia" w:ascii="仿宋" w:hAnsi="仿宋" w:eastAsia="仿宋" w:cs="仿宋"/>
          <w:sz w:val="28"/>
          <w:szCs w:val="28"/>
        </w:rPr>
        <w:t xml:space="preserve">：  </w:t>
      </w:r>
    </w:p>
    <w:p>
      <w:pPr>
        <w:pStyle w:val="2"/>
        <w:rPr>
          <w:rFonts w:hint="eastAsia"/>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主评人：</w:t>
      </w:r>
    </w:p>
    <w:p>
      <w:pPr>
        <w:pStyle w:val="2"/>
        <w:rPr>
          <w:rFonts w:hint="default"/>
          <w:lang w:val="en-US" w:eastAsia="zh-CN"/>
        </w:rPr>
      </w:pPr>
    </w:p>
    <w:p>
      <w:pPr>
        <w:spacing w:line="560" w:lineRule="exact"/>
        <w:ind w:firstLine="1120" w:firstLineChars="400"/>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2023</w:t>
      </w:r>
      <w:r>
        <w:rPr>
          <w:rFonts w:hint="eastAsia" w:ascii="仿宋" w:hAnsi="仿宋" w:eastAsia="仿宋" w:cs="仿宋"/>
          <w:sz w:val="28"/>
          <w:szCs w:val="28"/>
        </w:rPr>
        <w:t>年</w:t>
      </w:r>
      <w:r>
        <w:rPr>
          <w:rFonts w:hint="eastAsia" w:ascii="仿宋" w:hAnsi="仿宋" w:eastAsia="仿宋" w:cs="仿宋"/>
          <w:sz w:val="28"/>
          <w:szCs w:val="28"/>
          <w:lang w:val="en-US" w:eastAsia="zh-CN"/>
        </w:rPr>
        <w:t>09</w:t>
      </w:r>
      <w:r>
        <w:rPr>
          <w:rFonts w:hint="eastAsia" w:ascii="仿宋" w:hAnsi="仿宋" w:eastAsia="仿宋" w:cs="仿宋"/>
          <w:sz w:val="28"/>
          <w:szCs w:val="28"/>
        </w:rPr>
        <w:t>月</w:t>
      </w:r>
      <w:r>
        <w:rPr>
          <w:rFonts w:hint="eastAsia" w:ascii="仿宋" w:hAnsi="仿宋" w:eastAsia="仿宋" w:cs="仿宋"/>
          <w:sz w:val="28"/>
          <w:szCs w:val="28"/>
          <w:lang w:val="en-US" w:eastAsia="zh-CN"/>
        </w:rPr>
        <w:t>20</w:t>
      </w:r>
      <w:r>
        <w:rPr>
          <w:rFonts w:hint="eastAsia" w:ascii="仿宋" w:hAnsi="仿宋" w:eastAsia="仿宋" w:cs="仿宋"/>
          <w:sz w:val="28"/>
          <w:szCs w:val="28"/>
        </w:rPr>
        <w:t xml:space="preserve"> 日</w:t>
      </w:r>
    </w:p>
    <w:p>
      <w:pPr>
        <w:spacing w:line="560" w:lineRule="exact"/>
        <w:ind w:firstLine="1120" w:firstLineChars="400"/>
        <w:rPr>
          <w:rFonts w:hint="eastAsia" w:ascii="仿宋" w:hAnsi="仿宋" w:eastAsia="仿宋" w:cs="仿宋"/>
          <w:sz w:val="28"/>
          <w:szCs w:val="28"/>
        </w:rPr>
      </w:pPr>
      <w:r>
        <w:rPr>
          <w:rFonts w:hint="eastAsia" w:ascii="仿宋" w:hAnsi="仿宋" w:eastAsia="仿宋" w:cs="仿宋"/>
          <w:sz w:val="28"/>
          <w:szCs w:val="28"/>
        </w:rPr>
        <w:t xml:space="preserve">  </w:t>
      </w:r>
    </w:p>
    <w:sectPr>
      <w:headerReference r:id="rId4" w:type="default"/>
      <w:footerReference r:id="rId5"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roman"/>
    <w:pitch w:val="default"/>
    <w:sig w:usb0="00000001" w:usb1="080E0000" w:usb2="00000000" w:usb3="00000000" w:csb0="00040000" w:csb1="00000000"/>
  </w:font>
  <w:font w:name="华文宋体">
    <w:altName w:val="宋体"/>
    <w:panose1 w:val="00000000000000000000"/>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pBdr>
        <w:bottom w:val="single" w:color="auto" w:sz="4" w:space="0"/>
      </w:pBdr>
      <w:shd w:val="clear" w:color="auto" w:fill="FFFFFF"/>
      <w:spacing w:line="560" w:lineRule="atLeast"/>
      <w:ind w:firstLine="2891" w:firstLineChars="1600"/>
      <w:jc w:val="left"/>
      <w:rPr>
        <w:rFonts w:hint="eastAsia" w:ascii="仿宋" w:hAnsi="仿宋" w:eastAsia="仿宋" w:cs="仿宋"/>
        <w:b/>
        <w:bCs/>
        <w:color w:val="000000"/>
        <w:kern w:val="0"/>
        <w:sz w:val="18"/>
        <w:szCs w:val="18"/>
        <w:lang w:val="en-US" w:eastAsia="zh-CN"/>
      </w:rPr>
    </w:pPr>
    <w:r>
      <w:rPr>
        <w:rFonts w:hint="eastAsia" w:ascii="仿宋" w:hAnsi="仿宋" w:eastAsia="仿宋" w:cs="仿宋"/>
        <w:b/>
        <w:bCs/>
        <w:color w:val="000000"/>
        <w:kern w:val="0"/>
        <w:sz w:val="18"/>
        <w:szCs w:val="18"/>
      </w:rPr>
      <w:t>202</w:t>
    </w:r>
    <w:r>
      <w:rPr>
        <w:rFonts w:hint="eastAsia" w:ascii="仿宋" w:hAnsi="仿宋" w:eastAsia="仿宋" w:cs="仿宋"/>
        <w:b/>
        <w:bCs/>
        <w:color w:val="000000"/>
        <w:kern w:val="0"/>
        <w:sz w:val="18"/>
        <w:szCs w:val="18"/>
        <w:lang w:val="en-US" w:eastAsia="zh-CN"/>
      </w:rPr>
      <w:t>2</w:t>
    </w:r>
    <w:r>
      <w:rPr>
        <w:rFonts w:hint="eastAsia" w:ascii="仿宋" w:hAnsi="仿宋" w:eastAsia="仿宋" w:cs="仿宋"/>
        <w:b/>
        <w:bCs/>
        <w:color w:val="000000"/>
        <w:kern w:val="0"/>
        <w:sz w:val="18"/>
        <w:szCs w:val="18"/>
      </w:rPr>
      <w:t>年度</w:t>
    </w:r>
    <w:r>
      <w:rPr>
        <w:rFonts w:hint="eastAsia" w:ascii="仿宋" w:hAnsi="仿宋" w:eastAsia="仿宋" w:cs="仿宋"/>
        <w:b/>
        <w:bCs/>
        <w:color w:val="000000"/>
        <w:kern w:val="0"/>
        <w:sz w:val="18"/>
        <w:szCs w:val="18"/>
        <w:lang w:val="en-US" w:eastAsia="zh-CN"/>
      </w:rPr>
      <w:t>怀远县水利局居民饮用水安全工程项目支出绩效评价报告</w:t>
    </w:r>
    <w:r>
      <w:rPr>
        <w:rFonts w:hint="eastAsia" w:ascii="仿宋" w:hAnsi="仿宋" w:eastAsia="仿宋" w:cs="仿宋"/>
        <w:b/>
        <w:bCs/>
        <w:color w:val="000000"/>
        <w:kern w:val="0"/>
        <w:sz w:val="18"/>
        <w:szCs w:val="18"/>
      </w:rPr>
      <w:t xml:space="preserve"> </w:t>
    </w:r>
    <w:r>
      <w:rPr>
        <w:rFonts w:hint="eastAsia" w:ascii="仿宋" w:hAnsi="仿宋" w:eastAsia="仿宋" w:cs="仿宋"/>
        <w:b/>
        <w:bCs/>
        <w:color w:val="000000"/>
        <w:kern w:val="0"/>
        <w:sz w:val="18"/>
        <w:szCs w:val="18"/>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1A94AE"/>
    <w:multiLevelType w:val="singleLevel"/>
    <w:tmpl w:val="BE1A94AE"/>
    <w:lvl w:ilvl="0" w:tentative="0">
      <w:start w:val="4"/>
      <w:numFmt w:val="decimal"/>
      <w:lvlText w:val="%1."/>
      <w:lvlJc w:val="left"/>
      <w:pPr>
        <w:tabs>
          <w:tab w:val="left" w:pos="312"/>
        </w:tabs>
      </w:pPr>
    </w:lvl>
  </w:abstractNum>
  <w:abstractNum w:abstractNumId="1">
    <w:nsid w:val="16BEA5BD"/>
    <w:multiLevelType w:val="singleLevel"/>
    <w:tmpl w:val="16BEA5BD"/>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iMTBjYjNkMGU3MjhmNTE3ZWE3ZDEzMDc2OGU1ZjkifQ=="/>
  </w:docVars>
  <w:rsids>
    <w:rsidRoot w:val="00433B5E"/>
    <w:rsid w:val="00433B5E"/>
    <w:rsid w:val="008848A5"/>
    <w:rsid w:val="00BB73CF"/>
    <w:rsid w:val="00C95404"/>
    <w:rsid w:val="00D459A3"/>
    <w:rsid w:val="00F172E3"/>
    <w:rsid w:val="011A24F4"/>
    <w:rsid w:val="01AD3849"/>
    <w:rsid w:val="01CC142F"/>
    <w:rsid w:val="02177E04"/>
    <w:rsid w:val="026220AC"/>
    <w:rsid w:val="029F6467"/>
    <w:rsid w:val="02A831A2"/>
    <w:rsid w:val="02EB239A"/>
    <w:rsid w:val="02EB4DB0"/>
    <w:rsid w:val="02F96C46"/>
    <w:rsid w:val="03AA0832"/>
    <w:rsid w:val="03BB1AB2"/>
    <w:rsid w:val="03CA0201"/>
    <w:rsid w:val="03CA1FAF"/>
    <w:rsid w:val="040E6340"/>
    <w:rsid w:val="0427765C"/>
    <w:rsid w:val="0458297F"/>
    <w:rsid w:val="052069CE"/>
    <w:rsid w:val="055D53EC"/>
    <w:rsid w:val="05A1693D"/>
    <w:rsid w:val="05E76ED4"/>
    <w:rsid w:val="066927A1"/>
    <w:rsid w:val="069C40D7"/>
    <w:rsid w:val="06FD0228"/>
    <w:rsid w:val="07195727"/>
    <w:rsid w:val="0732440A"/>
    <w:rsid w:val="0764271A"/>
    <w:rsid w:val="079C607B"/>
    <w:rsid w:val="08005A40"/>
    <w:rsid w:val="08581C30"/>
    <w:rsid w:val="086C1887"/>
    <w:rsid w:val="08765411"/>
    <w:rsid w:val="08C47915"/>
    <w:rsid w:val="092843F1"/>
    <w:rsid w:val="092A0706"/>
    <w:rsid w:val="0A921402"/>
    <w:rsid w:val="0B0266B6"/>
    <w:rsid w:val="0B34440D"/>
    <w:rsid w:val="0B6379F7"/>
    <w:rsid w:val="0DD52B76"/>
    <w:rsid w:val="0E1D5B0A"/>
    <w:rsid w:val="0E4B63E2"/>
    <w:rsid w:val="0E636972"/>
    <w:rsid w:val="0EDD528C"/>
    <w:rsid w:val="0EFF025E"/>
    <w:rsid w:val="0FFF77E8"/>
    <w:rsid w:val="10CA42EC"/>
    <w:rsid w:val="116B048D"/>
    <w:rsid w:val="11781BB6"/>
    <w:rsid w:val="11955B04"/>
    <w:rsid w:val="11BE5B47"/>
    <w:rsid w:val="121921E1"/>
    <w:rsid w:val="130A128E"/>
    <w:rsid w:val="13737F6D"/>
    <w:rsid w:val="13AC11DA"/>
    <w:rsid w:val="1410640B"/>
    <w:rsid w:val="148278AB"/>
    <w:rsid w:val="14AD6CA4"/>
    <w:rsid w:val="14C05230"/>
    <w:rsid w:val="15480228"/>
    <w:rsid w:val="156641DC"/>
    <w:rsid w:val="159F0DA2"/>
    <w:rsid w:val="15F9400B"/>
    <w:rsid w:val="16715732"/>
    <w:rsid w:val="16771BCA"/>
    <w:rsid w:val="173C4B1A"/>
    <w:rsid w:val="17E256C1"/>
    <w:rsid w:val="17F440D2"/>
    <w:rsid w:val="18564F55"/>
    <w:rsid w:val="185D623C"/>
    <w:rsid w:val="18616D12"/>
    <w:rsid w:val="18B93F20"/>
    <w:rsid w:val="19696F4D"/>
    <w:rsid w:val="19A7724C"/>
    <w:rsid w:val="1A82066E"/>
    <w:rsid w:val="1A8B2040"/>
    <w:rsid w:val="1B083691"/>
    <w:rsid w:val="1B4B4399"/>
    <w:rsid w:val="1BD45C69"/>
    <w:rsid w:val="1F92678E"/>
    <w:rsid w:val="1F944C59"/>
    <w:rsid w:val="1F9A383D"/>
    <w:rsid w:val="1FEF5DB2"/>
    <w:rsid w:val="2010196E"/>
    <w:rsid w:val="2014250D"/>
    <w:rsid w:val="20AF6BF1"/>
    <w:rsid w:val="210A4F98"/>
    <w:rsid w:val="21470C8B"/>
    <w:rsid w:val="233E0FD0"/>
    <w:rsid w:val="236A65E4"/>
    <w:rsid w:val="23835431"/>
    <w:rsid w:val="23B31EEC"/>
    <w:rsid w:val="24261DBA"/>
    <w:rsid w:val="24B11B8E"/>
    <w:rsid w:val="25816046"/>
    <w:rsid w:val="25EE60F1"/>
    <w:rsid w:val="264B04A7"/>
    <w:rsid w:val="264F7170"/>
    <w:rsid w:val="265D41FA"/>
    <w:rsid w:val="269A0614"/>
    <w:rsid w:val="27015200"/>
    <w:rsid w:val="27A40C9E"/>
    <w:rsid w:val="28A64B17"/>
    <w:rsid w:val="28B637BE"/>
    <w:rsid w:val="29342F22"/>
    <w:rsid w:val="295D3F3E"/>
    <w:rsid w:val="2968464B"/>
    <w:rsid w:val="29F77266"/>
    <w:rsid w:val="2AB54EB7"/>
    <w:rsid w:val="2ACD3F13"/>
    <w:rsid w:val="2ADD3583"/>
    <w:rsid w:val="2B4104F9"/>
    <w:rsid w:val="2B9B2E7E"/>
    <w:rsid w:val="2BE66A67"/>
    <w:rsid w:val="2CBC7852"/>
    <w:rsid w:val="2CFB60AE"/>
    <w:rsid w:val="2D766B80"/>
    <w:rsid w:val="2F1B0196"/>
    <w:rsid w:val="30295693"/>
    <w:rsid w:val="30DC5C7C"/>
    <w:rsid w:val="30E6238B"/>
    <w:rsid w:val="318C6E2C"/>
    <w:rsid w:val="32B6787C"/>
    <w:rsid w:val="335B7F0B"/>
    <w:rsid w:val="33C5616B"/>
    <w:rsid w:val="33E65093"/>
    <w:rsid w:val="34E94505"/>
    <w:rsid w:val="353F67A0"/>
    <w:rsid w:val="354237EC"/>
    <w:rsid w:val="35DD6E58"/>
    <w:rsid w:val="35E161D4"/>
    <w:rsid w:val="35FC0FEF"/>
    <w:rsid w:val="35FD74DC"/>
    <w:rsid w:val="36592B9B"/>
    <w:rsid w:val="36AF6097"/>
    <w:rsid w:val="376753FD"/>
    <w:rsid w:val="38521F98"/>
    <w:rsid w:val="38D06F18"/>
    <w:rsid w:val="38E87318"/>
    <w:rsid w:val="390831EC"/>
    <w:rsid w:val="394B0D41"/>
    <w:rsid w:val="395B01D5"/>
    <w:rsid w:val="39700D19"/>
    <w:rsid w:val="398C2D5E"/>
    <w:rsid w:val="39C3492C"/>
    <w:rsid w:val="3AAD274A"/>
    <w:rsid w:val="3AB01669"/>
    <w:rsid w:val="3AC44135"/>
    <w:rsid w:val="3C7C1D83"/>
    <w:rsid w:val="3C882549"/>
    <w:rsid w:val="3CF96E86"/>
    <w:rsid w:val="3CFD4BC8"/>
    <w:rsid w:val="3DB22D9B"/>
    <w:rsid w:val="3DF5764D"/>
    <w:rsid w:val="3DFF04CC"/>
    <w:rsid w:val="3ED40D01"/>
    <w:rsid w:val="3F0B662D"/>
    <w:rsid w:val="404E11B5"/>
    <w:rsid w:val="40CB441E"/>
    <w:rsid w:val="40CF1BD4"/>
    <w:rsid w:val="40EC44E6"/>
    <w:rsid w:val="4105229D"/>
    <w:rsid w:val="412B7DAA"/>
    <w:rsid w:val="41326E0A"/>
    <w:rsid w:val="42096D67"/>
    <w:rsid w:val="42310C62"/>
    <w:rsid w:val="42C722F0"/>
    <w:rsid w:val="43A66E33"/>
    <w:rsid w:val="43C87DC5"/>
    <w:rsid w:val="448B659B"/>
    <w:rsid w:val="448C05DF"/>
    <w:rsid w:val="44B71B00"/>
    <w:rsid w:val="45401875"/>
    <w:rsid w:val="45FD7C97"/>
    <w:rsid w:val="465D0D29"/>
    <w:rsid w:val="47040901"/>
    <w:rsid w:val="474C5C0C"/>
    <w:rsid w:val="47F720A4"/>
    <w:rsid w:val="486A0301"/>
    <w:rsid w:val="499C1A26"/>
    <w:rsid w:val="49B47770"/>
    <w:rsid w:val="49DE18DD"/>
    <w:rsid w:val="4ADA281F"/>
    <w:rsid w:val="4B635B85"/>
    <w:rsid w:val="4B95246F"/>
    <w:rsid w:val="4C123DA1"/>
    <w:rsid w:val="4C2C6367"/>
    <w:rsid w:val="4CFA33DF"/>
    <w:rsid w:val="4D281794"/>
    <w:rsid w:val="4D3F3DDA"/>
    <w:rsid w:val="4D876309"/>
    <w:rsid w:val="4E192EE4"/>
    <w:rsid w:val="4E9C04F9"/>
    <w:rsid w:val="4ED9026B"/>
    <w:rsid w:val="4F697E9B"/>
    <w:rsid w:val="5068439E"/>
    <w:rsid w:val="508807F5"/>
    <w:rsid w:val="50C73CF7"/>
    <w:rsid w:val="50F65572"/>
    <w:rsid w:val="5177786D"/>
    <w:rsid w:val="51B73C98"/>
    <w:rsid w:val="51C45A63"/>
    <w:rsid w:val="51E50788"/>
    <w:rsid w:val="524254E9"/>
    <w:rsid w:val="52544BC5"/>
    <w:rsid w:val="528212A5"/>
    <w:rsid w:val="52A31916"/>
    <w:rsid w:val="52BE4975"/>
    <w:rsid w:val="53B31822"/>
    <w:rsid w:val="542816FC"/>
    <w:rsid w:val="549239F0"/>
    <w:rsid w:val="549459BA"/>
    <w:rsid w:val="558E6908"/>
    <w:rsid w:val="55A47409"/>
    <w:rsid w:val="55F5199E"/>
    <w:rsid w:val="56691308"/>
    <w:rsid w:val="569F3362"/>
    <w:rsid w:val="56CD37E1"/>
    <w:rsid w:val="572B3988"/>
    <w:rsid w:val="57EE718F"/>
    <w:rsid w:val="582924E0"/>
    <w:rsid w:val="58537FC0"/>
    <w:rsid w:val="58BA6A91"/>
    <w:rsid w:val="58EE7685"/>
    <w:rsid w:val="597933D0"/>
    <w:rsid w:val="598029E5"/>
    <w:rsid w:val="59AB40C6"/>
    <w:rsid w:val="5A4B0843"/>
    <w:rsid w:val="5A77450E"/>
    <w:rsid w:val="5B251675"/>
    <w:rsid w:val="5B505CB1"/>
    <w:rsid w:val="5BEB3DDA"/>
    <w:rsid w:val="5C6F3C6B"/>
    <w:rsid w:val="5CB81FAE"/>
    <w:rsid w:val="5E4950D6"/>
    <w:rsid w:val="5E5E4C48"/>
    <w:rsid w:val="5E933267"/>
    <w:rsid w:val="5EEE4EC3"/>
    <w:rsid w:val="5F1B7024"/>
    <w:rsid w:val="5FBA3DFB"/>
    <w:rsid w:val="60A273FB"/>
    <w:rsid w:val="61184BF4"/>
    <w:rsid w:val="61A71B7A"/>
    <w:rsid w:val="622A5268"/>
    <w:rsid w:val="63260125"/>
    <w:rsid w:val="63400ABB"/>
    <w:rsid w:val="63CD67F3"/>
    <w:rsid w:val="63E458EA"/>
    <w:rsid w:val="644F6D15"/>
    <w:rsid w:val="64D42282"/>
    <w:rsid w:val="64F64327"/>
    <w:rsid w:val="65102440"/>
    <w:rsid w:val="65143FAD"/>
    <w:rsid w:val="651A5FD7"/>
    <w:rsid w:val="658B24C1"/>
    <w:rsid w:val="65AF1157"/>
    <w:rsid w:val="6647487D"/>
    <w:rsid w:val="66644DA3"/>
    <w:rsid w:val="66645CD8"/>
    <w:rsid w:val="66BA2932"/>
    <w:rsid w:val="67673ED9"/>
    <w:rsid w:val="67CC74C1"/>
    <w:rsid w:val="680F2547"/>
    <w:rsid w:val="6876179C"/>
    <w:rsid w:val="687D688E"/>
    <w:rsid w:val="68A85138"/>
    <w:rsid w:val="69025709"/>
    <w:rsid w:val="6A2A3187"/>
    <w:rsid w:val="6A422BEB"/>
    <w:rsid w:val="6AB1521D"/>
    <w:rsid w:val="6AD86EB6"/>
    <w:rsid w:val="6B0220BF"/>
    <w:rsid w:val="6B1E1463"/>
    <w:rsid w:val="6B39651C"/>
    <w:rsid w:val="6BB41665"/>
    <w:rsid w:val="6C281322"/>
    <w:rsid w:val="6C554A5F"/>
    <w:rsid w:val="6CBE68E4"/>
    <w:rsid w:val="6D8A12B0"/>
    <w:rsid w:val="6D8A6CA3"/>
    <w:rsid w:val="6DA72590"/>
    <w:rsid w:val="6E9514C8"/>
    <w:rsid w:val="6F0230C8"/>
    <w:rsid w:val="6FE37012"/>
    <w:rsid w:val="70587444"/>
    <w:rsid w:val="70967F6C"/>
    <w:rsid w:val="70A049F5"/>
    <w:rsid w:val="70ED2F83"/>
    <w:rsid w:val="71531FC2"/>
    <w:rsid w:val="71997D14"/>
    <w:rsid w:val="71BD592D"/>
    <w:rsid w:val="71D9079B"/>
    <w:rsid w:val="71FD0ADE"/>
    <w:rsid w:val="7266334B"/>
    <w:rsid w:val="730114D3"/>
    <w:rsid w:val="73BC703B"/>
    <w:rsid w:val="743750AA"/>
    <w:rsid w:val="74565612"/>
    <w:rsid w:val="746F3611"/>
    <w:rsid w:val="7482447E"/>
    <w:rsid w:val="74AC4202"/>
    <w:rsid w:val="74AD175A"/>
    <w:rsid w:val="762C472F"/>
    <w:rsid w:val="76CF0104"/>
    <w:rsid w:val="771A36A5"/>
    <w:rsid w:val="773618D5"/>
    <w:rsid w:val="774046CB"/>
    <w:rsid w:val="77AB0EF1"/>
    <w:rsid w:val="77C6382D"/>
    <w:rsid w:val="783F3821"/>
    <w:rsid w:val="786945E7"/>
    <w:rsid w:val="7906625D"/>
    <w:rsid w:val="790C34C1"/>
    <w:rsid w:val="79170DCE"/>
    <w:rsid w:val="796A56F7"/>
    <w:rsid w:val="79986240"/>
    <w:rsid w:val="799B33E0"/>
    <w:rsid w:val="79AC25AE"/>
    <w:rsid w:val="7A2A2335"/>
    <w:rsid w:val="7AED07C1"/>
    <w:rsid w:val="7B9A6B62"/>
    <w:rsid w:val="7C660C62"/>
    <w:rsid w:val="7CCD22F0"/>
    <w:rsid w:val="7D186265"/>
    <w:rsid w:val="7D1B19EC"/>
    <w:rsid w:val="7D622E53"/>
    <w:rsid w:val="7DEF0220"/>
    <w:rsid w:val="7E855DAD"/>
    <w:rsid w:val="7F1A34A0"/>
    <w:rsid w:val="7F30300C"/>
    <w:rsid w:val="7F413799"/>
    <w:rsid w:val="7F914269"/>
    <w:rsid w:val="7FD659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0">
    <w:name w:val="Default Paragraph Font"/>
    <w:autoRedefine/>
    <w:unhideWhenUsed/>
    <w:qFormat/>
    <w:uiPriority w:val="1"/>
  </w:style>
  <w:style w:type="table" w:default="1" w:styleId="8">
    <w:name w:val="Normal Table"/>
    <w:autoRedefine/>
    <w:unhideWhenUsed/>
    <w:qFormat/>
    <w:uiPriority w:val="99"/>
    <w:tblPr>
      <w:tblCellMar>
        <w:top w:w="0" w:type="dxa"/>
        <w:left w:w="108" w:type="dxa"/>
        <w:bottom w:w="0" w:type="dxa"/>
        <w:right w:w="108" w:type="dxa"/>
      </w:tblCellMar>
    </w:tblPr>
  </w:style>
  <w:style w:type="paragraph" w:styleId="2">
    <w:name w:val="Body Text Indent 2"/>
    <w:basedOn w:val="1"/>
    <w:autoRedefine/>
    <w:qFormat/>
    <w:uiPriority w:val="0"/>
    <w:pPr>
      <w:spacing w:after="120" w:line="480" w:lineRule="auto"/>
      <w:ind w:left="420" w:leftChars="200"/>
    </w:pPr>
    <w:rPr>
      <w:rFonts w:ascii="Calibri" w:hAnsi="Calibri" w:eastAsia="宋体" w:cs="Times New Roman"/>
    </w:rPr>
  </w:style>
  <w:style w:type="paragraph" w:styleId="3">
    <w:name w:val="Body Text"/>
    <w:basedOn w:val="1"/>
    <w:autoRedefine/>
    <w:unhideWhenUsed/>
    <w:qFormat/>
    <w:uiPriority w:val="99"/>
    <w:pPr>
      <w:spacing w:after="120" w:afterLines="0"/>
    </w:p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Body Text First Indent"/>
    <w:basedOn w:val="3"/>
    <w:autoRedefine/>
    <w:qFormat/>
    <w:uiPriority w:val="0"/>
    <w:pPr>
      <w:ind w:firstLine="420" w:firstLineChars="100"/>
    </w:pPr>
  </w:style>
  <w:style w:type="table" w:styleId="9">
    <w:name w:val="Table Grid"/>
    <w:basedOn w:val="8"/>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WPSOffice手动目录 1"/>
    <w:autoRedefine/>
    <w:qFormat/>
    <w:uiPriority w:val="0"/>
    <w:rPr>
      <w:rFonts w:ascii="Times New Roman" w:hAnsi="Times New Roman" w:eastAsia="宋体" w:cs="Times New Roman"/>
      <w:lang w:val="en-US" w:eastAsia="zh-CN" w:bidi="ar-SA"/>
    </w:rPr>
  </w:style>
  <w:style w:type="paragraph" w:customStyle="1" w:styleId="12">
    <w:name w:val="WPSOffice手动目录 2"/>
    <w:autoRedefine/>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13745</Words>
  <Characters>14564</Characters>
  <Lines>73</Lines>
  <Paragraphs>20</Paragraphs>
  <TotalTime>70</TotalTime>
  <ScaleCrop>false</ScaleCrop>
  <LinksUpToDate>false</LinksUpToDate>
  <CharactersWithSpaces>14907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2021-11-23T08:21:00Z</dcterms:created>
  <dc:creator>Administrator</dc:creator>
  <cp:lastModifiedBy>MOON</cp:lastModifiedBy>
  <dcterms:modified xsi:type="dcterms:W3CDTF">2024-01-15T07:45:45Z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A4C90AAFA2B341C1AE24F3BF809ACC32_13</vt:lpwstr>
  </property>
</Properties>
</file>