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atLeast"/>
        <w:jc w:val="center"/>
        <w:rPr>
          <w:rFonts w:ascii="Times New Roman" w:hAnsi="Times New Roman" w:eastAsia="微软雅黑"/>
          <w:b/>
          <w:bCs/>
          <w:color w:val="333333"/>
          <w:kern w:val="0"/>
          <w:sz w:val="30"/>
          <w:szCs w:val="30"/>
        </w:rPr>
      </w:pPr>
      <w:r>
        <w:rPr>
          <w:rFonts w:hint="eastAsia" w:ascii="仿宋" w:hAnsi="仿宋" w:eastAsia="仿宋"/>
          <w:b/>
          <w:bCs/>
          <w:color w:val="000000"/>
          <w:kern w:val="0"/>
          <w:sz w:val="44"/>
          <w:szCs w:val="44"/>
        </w:rPr>
        <w:t>项目支出绩效评价报告</w:t>
      </w:r>
    </w:p>
    <w:p>
      <w:pPr>
        <w:widowControl/>
        <w:shd w:val="clear" w:color="auto" w:fill="FFFFFF"/>
        <w:spacing w:line="560" w:lineRule="atLeast"/>
        <w:rPr>
          <w:rFonts w:hint="eastAsia" w:ascii="仿宋" w:hAnsi="仿宋" w:eastAsia="仿宋" w:cs="仿宋"/>
          <w:b/>
          <w:bCs/>
          <w:color w:val="000000"/>
          <w:kern w:val="0"/>
          <w:sz w:val="36"/>
          <w:szCs w:val="36"/>
          <w:lang w:val="en-US" w:eastAsia="zh-CN"/>
        </w:rPr>
      </w:pPr>
    </w:p>
    <w:p>
      <w:pPr>
        <w:widowControl/>
        <w:shd w:val="clear" w:color="auto" w:fill="FFFFFF"/>
        <w:spacing w:line="560" w:lineRule="atLeast"/>
        <w:ind w:left="2848" w:leftChars="173" w:hanging="2492" w:hangingChars="700"/>
        <w:rPr>
          <w:rFonts w:hint="eastAsia" w:ascii="仿宋" w:hAnsi="仿宋" w:eastAsia="仿宋" w:cs="仿宋"/>
          <w:b/>
          <w:bCs/>
          <w:color w:val="000000"/>
          <w:kern w:val="0"/>
          <w:sz w:val="36"/>
          <w:szCs w:val="36"/>
          <w:lang w:val="en-US" w:eastAsia="zh-CN"/>
        </w:rPr>
      </w:pPr>
      <w:r>
        <w:rPr>
          <w:rFonts w:hint="eastAsia" w:ascii="仿宋" w:hAnsi="仿宋" w:eastAsia="仿宋" w:cs="仿宋"/>
          <w:b/>
          <w:bCs/>
          <w:color w:val="000000"/>
          <w:kern w:val="0"/>
          <w:sz w:val="36"/>
          <w:szCs w:val="36"/>
          <w:lang w:val="en-US" w:eastAsia="zh-CN"/>
        </w:rPr>
        <w:t>怀远县经济和信息化局2022年春节期间支持企业稳产留工奖补项目支出</w:t>
      </w:r>
    </w:p>
    <w:p>
      <w:pPr>
        <w:widowControl/>
        <w:shd w:val="clear" w:color="auto" w:fill="FFFFFF"/>
        <w:spacing w:line="560" w:lineRule="atLeast"/>
        <w:ind w:firstLine="3204" w:firstLineChars="900"/>
        <w:jc w:val="both"/>
        <w:rPr>
          <w:rFonts w:hint="eastAsia" w:ascii="仿宋" w:hAnsi="仿宋" w:eastAsia="仿宋" w:cs="仿宋"/>
          <w:b/>
          <w:bCs/>
          <w:color w:val="000000"/>
          <w:kern w:val="0"/>
          <w:sz w:val="36"/>
          <w:szCs w:val="36"/>
          <w:lang w:val="en-US" w:eastAsia="zh-CN"/>
        </w:rPr>
      </w:pPr>
      <w:r>
        <w:rPr>
          <w:rFonts w:hint="eastAsia" w:ascii="仿宋" w:hAnsi="仿宋" w:eastAsia="仿宋" w:cs="仿宋"/>
          <w:b/>
          <w:bCs/>
          <w:color w:val="000000"/>
          <w:kern w:val="0"/>
          <w:sz w:val="36"/>
          <w:szCs w:val="36"/>
          <w:lang w:val="en-US" w:eastAsia="zh-CN"/>
        </w:rPr>
        <w:t xml:space="preserve">绩效评价报告             </w:t>
      </w:r>
    </w:p>
    <w:p>
      <w:pPr>
        <w:widowControl/>
        <w:shd w:val="clear" w:color="auto" w:fill="FFFFFF"/>
        <w:spacing w:line="560" w:lineRule="atLeast"/>
        <w:ind w:firstLine="2848" w:firstLineChars="800"/>
        <w:jc w:val="both"/>
        <w:rPr>
          <w:rFonts w:hint="eastAsia" w:ascii="仿宋" w:hAnsi="仿宋" w:eastAsia="仿宋" w:cs="仿宋"/>
          <w:b/>
          <w:bCs/>
          <w:color w:val="000000"/>
          <w:kern w:val="0"/>
          <w:sz w:val="36"/>
          <w:szCs w:val="36"/>
        </w:rPr>
      </w:pPr>
    </w:p>
    <w:p>
      <w:pPr>
        <w:pStyle w:val="2"/>
        <w:rPr>
          <w:rFonts w:hint="eastAsia" w:ascii="仿宋" w:hAnsi="仿宋" w:eastAsia="仿宋" w:cs="仿宋"/>
          <w:b/>
          <w:bCs/>
          <w:color w:val="000000"/>
          <w:kern w:val="0"/>
          <w:sz w:val="36"/>
          <w:szCs w:val="36"/>
        </w:rPr>
      </w:pPr>
    </w:p>
    <w:p>
      <w:pPr>
        <w:pStyle w:val="2"/>
        <w:rPr>
          <w:rFonts w:hint="eastAsia" w:ascii="仿宋" w:hAnsi="仿宋" w:eastAsia="仿宋" w:cs="仿宋"/>
          <w:b/>
          <w:bCs/>
          <w:color w:val="000000"/>
          <w:kern w:val="0"/>
          <w:sz w:val="36"/>
          <w:szCs w:val="36"/>
        </w:rPr>
      </w:pPr>
    </w:p>
    <w:p>
      <w:pPr>
        <w:widowControl/>
        <w:shd w:val="clear" w:color="auto" w:fill="FFFFFF"/>
        <w:spacing w:line="560" w:lineRule="atLeast"/>
        <w:jc w:val="center"/>
        <w:rPr>
          <w:rFonts w:ascii="Times New Roman" w:hAnsi="Times New Roman" w:eastAsia="微软雅黑"/>
          <w:color w:val="333333"/>
          <w:kern w:val="0"/>
          <w:sz w:val="30"/>
          <w:szCs w:val="30"/>
        </w:rPr>
      </w:pPr>
    </w:p>
    <w:p>
      <w:pPr>
        <w:spacing w:line="560" w:lineRule="exact"/>
        <w:ind w:firstLine="1656" w:firstLineChars="600"/>
        <w:rPr>
          <w:rFonts w:ascii="仿宋_GB2312" w:hAnsi="Times New Roman" w:eastAsia="仿宋_GB2312" w:cs="Times New Roman"/>
          <w:sz w:val="28"/>
          <w:szCs w:val="28"/>
        </w:rPr>
      </w:pPr>
      <w:r>
        <w:rPr>
          <w:rFonts w:hint="eastAsia" w:ascii="仿宋_GB2312" w:hAnsi="Times New Roman" w:eastAsia="仿宋_GB2312" w:cs="Times New Roman"/>
          <w:sz w:val="28"/>
          <w:szCs w:val="28"/>
        </w:rPr>
        <w:t>项目主管部门：</w:t>
      </w:r>
      <w:r>
        <w:rPr>
          <w:rFonts w:hint="eastAsia" w:ascii="仿宋_GB2312" w:hAnsi="Times New Roman" w:eastAsia="仿宋_GB2312" w:cs="Times New Roman"/>
          <w:sz w:val="28"/>
          <w:szCs w:val="28"/>
          <w:lang w:val="en-US" w:eastAsia="zh-CN"/>
        </w:rPr>
        <w:t>怀远县</w:t>
      </w:r>
      <w:r>
        <w:rPr>
          <w:rFonts w:hint="eastAsia" w:ascii="仿宋_GB2312" w:eastAsia="仿宋_GB2312" w:cs="Times New Roman"/>
          <w:sz w:val="28"/>
          <w:szCs w:val="28"/>
          <w:lang w:val="en-US" w:eastAsia="zh-CN"/>
        </w:rPr>
        <w:t>经济和信息化</w:t>
      </w:r>
      <w:r>
        <w:rPr>
          <w:rFonts w:hint="eastAsia" w:ascii="仿宋_GB2312" w:hAnsi="Times New Roman" w:eastAsia="仿宋_GB2312" w:cs="Times New Roman"/>
          <w:sz w:val="28"/>
          <w:szCs w:val="28"/>
          <w:lang w:val="en-US" w:eastAsia="zh-CN"/>
        </w:rPr>
        <w:t>局</w:t>
      </w:r>
    </w:p>
    <w:p>
      <w:pPr>
        <w:spacing w:line="560" w:lineRule="exact"/>
        <w:ind w:firstLine="1656" w:firstLineChars="6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rPr>
        <w:t>项目实施单位：</w:t>
      </w:r>
      <w:r>
        <w:rPr>
          <w:rFonts w:hint="eastAsia" w:ascii="仿宋_GB2312" w:hAnsi="Times New Roman" w:eastAsia="仿宋_GB2312" w:cs="Times New Roman"/>
          <w:sz w:val="28"/>
          <w:szCs w:val="28"/>
          <w:lang w:val="en-US" w:eastAsia="zh-CN"/>
        </w:rPr>
        <w:t>怀远县</w:t>
      </w:r>
      <w:r>
        <w:rPr>
          <w:rFonts w:hint="eastAsia" w:ascii="仿宋_GB2312" w:eastAsia="仿宋_GB2312" w:cs="Times New Roman"/>
          <w:sz w:val="28"/>
          <w:szCs w:val="28"/>
          <w:lang w:val="en-US" w:eastAsia="zh-CN"/>
        </w:rPr>
        <w:t>经济和信息化</w:t>
      </w:r>
      <w:r>
        <w:rPr>
          <w:rFonts w:hint="eastAsia" w:ascii="仿宋_GB2312" w:hAnsi="Times New Roman" w:eastAsia="仿宋_GB2312" w:cs="Times New Roman"/>
          <w:sz w:val="28"/>
          <w:szCs w:val="28"/>
          <w:lang w:val="en-US" w:eastAsia="zh-CN"/>
        </w:rPr>
        <w:t>局</w:t>
      </w:r>
    </w:p>
    <w:p>
      <w:pPr>
        <w:spacing w:line="560" w:lineRule="exact"/>
        <w:ind w:firstLine="1656" w:firstLineChars="600"/>
        <w:rPr>
          <w:rFonts w:ascii="仿宋_GB2312" w:hAnsi="Times New Roman" w:eastAsia="仿宋_GB2312" w:cs="Times New Roman"/>
          <w:sz w:val="28"/>
          <w:szCs w:val="28"/>
        </w:rPr>
      </w:pPr>
      <w:r>
        <w:rPr>
          <w:rFonts w:hint="eastAsia" w:ascii="仿宋_GB2312" w:hAnsi="Times New Roman" w:eastAsia="仿宋_GB2312" w:cs="Times New Roman"/>
          <w:sz w:val="28"/>
          <w:szCs w:val="28"/>
        </w:rPr>
        <w:t>委托单位：</w:t>
      </w:r>
      <w:r>
        <w:rPr>
          <w:rFonts w:hint="eastAsia" w:ascii="仿宋_GB2312" w:hAnsi="Times New Roman" w:eastAsia="仿宋_GB2312" w:cs="Times New Roman"/>
          <w:sz w:val="28"/>
          <w:szCs w:val="28"/>
          <w:lang w:val="en-US" w:eastAsia="zh-CN"/>
        </w:rPr>
        <w:t>怀远县</w:t>
      </w:r>
      <w:r>
        <w:rPr>
          <w:rFonts w:hint="eastAsia" w:ascii="仿宋_GB2312" w:hAnsi="Times New Roman" w:eastAsia="仿宋_GB2312" w:cs="Times New Roman"/>
          <w:sz w:val="28"/>
          <w:szCs w:val="28"/>
        </w:rPr>
        <w:t>财政局</w:t>
      </w:r>
    </w:p>
    <w:p>
      <w:pPr>
        <w:spacing w:line="560" w:lineRule="exact"/>
        <w:ind w:firstLine="1656" w:firstLineChars="6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rPr>
        <w:t>评价单位：</w:t>
      </w:r>
      <w:r>
        <w:rPr>
          <w:rFonts w:hint="eastAsia" w:ascii="仿宋_GB2312" w:eastAsia="仿宋_GB2312" w:cs="Times New Roman"/>
          <w:sz w:val="28"/>
          <w:szCs w:val="28"/>
          <w:lang w:val="en-US" w:eastAsia="zh-CN"/>
        </w:rPr>
        <w:t>安徽宝逸通企业咨询管理有限公司</w:t>
      </w:r>
    </w:p>
    <w:p>
      <w:pPr>
        <w:widowControl/>
        <w:shd w:val="clear" w:color="auto" w:fill="FFFFFF"/>
        <w:spacing w:line="560" w:lineRule="atLeast"/>
        <w:jc w:val="center"/>
        <w:rPr>
          <w:rFonts w:ascii="Times New Roman" w:hAnsi="Times New Roman" w:eastAsia="微软雅黑"/>
          <w:color w:val="333333"/>
          <w:kern w:val="0"/>
          <w:sz w:val="30"/>
          <w:szCs w:val="30"/>
        </w:rPr>
      </w:pPr>
      <w:r>
        <w:rPr>
          <w:rFonts w:hint="eastAsia" w:ascii="宋体" w:hAnsi="宋体" w:cs="宋体"/>
          <w:b/>
          <w:bCs/>
          <w:color w:val="000000"/>
          <w:kern w:val="0"/>
          <w:sz w:val="44"/>
          <w:szCs w:val="44"/>
        </w:rPr>
        <w:t> </w:t>
      </w:r>
    </w:p>
    <w:p>
      <w:pPr>
        <w:widowControl/>
        <w:shd w:val="clear" w:color="auto" w:fill="FFFFFF"/>
        <w:spacing w:line="560" w:lineRule="atLeast"/>
        <w:jc w:val="center"/>
        <w:rPr>
          <w:rFonts w:ascii="Times New Roman" w:hAnsi="Times New Roman" w:eastAsia="微软雅黑"/>
          <w:color w:val="333333"/>
          <w:kern w:val="0"/>
          <w:sz w:val="30"/>
          <w:szCs w:val="30"/>
        </w:rPr>
      </w:pPr>
      <w:r>
        <w:rPr>
          <w:rFonts w:hint="eastAsia" w:ascii="宋体" w:hAnsi="宋体" w:cs="宋体"/>
          <w:color w:val="000000"/>
          <w:kern w:val="0"/>
          <w:sz w:val="32"/>
          <w:szCs w:val="32"/>
        </w:rPr>
        <w:t> </w:t>
      </w:r>
    </w:p>
    <w:p>
      <w:pPr>
        <w:spacing w:line="560" w:lineRule="exact"/>
        <w:ind w:firstLine="3312" w:firstLineChars="1200"/>
        <w:jc w:val="both"/>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20</w:t>
      </w:r>
      <w:r>
        <w:rPr>
          <w:rFonts w:hint="eastAsia" w:ascii="仿宋_GB2312" w:hAnsi="Times New Roman" w:eastAsia="仿宋_GB2312" w:cs="Times New Roman"/>
          <w:sz w:val="28"/>
          <w:szCs w:val="28"/>
          <w:lang w:val="en-US" w:eastAsia="zh-CN"/>
        </w:rPr>
        <w:t>23</w:t>
      </w:r>
      <w:r>
        <w:rPr>
          <w:rFonts w:hint="eastAsia" w:ascii="仿宋_GB2312" w:hAnsi="Times New Roman" w:eastAsia="仿宋_GB2312" w:cs="Times New Roman"/>
          <w:sz w:val="28"/>
          <w:szCs w:val="28"/>
        </w:rPr>
        <w:t>年</w:t>
      </w:r>
      <w:r>
        <w:rPr>
          <w:rFonts w:hint="eastAsia" w:ascii="仿宋_GB2312" w:hAnsi="Times New Roman" w:eastAsia="仿宋_GB2312" w:cs="Times New Roman"/>
          <w:sz w:val="28"/>
          <w:szCs w:val="28"/>
          <w:lang w:val="en-US" w:eastAsia="zh-CN"/>
        </w:rPr>
        <w:t>09</w:t>
      </w:r>
      <w:r>
        <w:rPr>
          <w:rFonts w:hint="eastAsia" w:ascii="仿宋_GB2312" w:hAnsi="Times New Roman" w:eastAsia="仿宋_GB2312" w:cs="Times New Roman"/>
          <w:sz w:val="28"/>
          <w:szCs w:val="28"/>
        </w:rPr>
        <w:t>月</w:t>
      </w:r>
    </w:p>
    <w:p>
      <w:pPr>
        <w:pStyle w:val="2"/>
        <w:rPr>
          <w:rFonts w:hint="eastAsia"/>
        </w:rPr>
      </w:pPr>
    </w:p>
    <w:p>
      <w:pPr>
        <w:ind w:firstLine="3204" w:firstLineChars="900"/>
        <w:jc w:val="left"/>
        <w:rPr>
          <w:rFonts w:hint="eastAsia" w:ascii="方正小标宋简体" w:hAnsi="华文宋体" w:eastAsia="方正小标宋简体" w:cs="Times New Roman"/>
          <w:b/>
          <w:bCs/>
          <w:sz w:val="36"/>
          <w:szCs w:val="36"/>
        </w:rPr>
        <w:sectPr>
          <w:pgSz w:w="11906" w:h="16838"/>
          <w:pgMar w:top="2098" w:right="1474" w:bottom="1985" w:left="1588" w:header="851" w:footer="992" w:gutter="0"/>
          <w:pgNumType w:fmt="numberInDash" w:start="1"/>
          <w:cols w:space="425" w:num="1"/>
          <w:docGrid w:type="linesAndChars" w:linePitch="560" w:charSpace="-849"/>
        </w:sectPr>
      </w:pPr>
    </w:p>
    <w:sdt>
      <w:sdtPr>
        <w:rPr>
          <w:rFonts w:hint="eastAsia" w:ascii="方正小标宋简体" w:hAnsi="华文宋体" w:eastAsia="方正小标宋简体" w:cs="Times New Roman"/>
          <w:b/>
          <w:bCs/>
          <w:sz w:val="36"/>
          <w:szCs w:val="36"/>
        </w:rPr>
        <w:id w:val="147475326"/>
        <w:docPartObj>
          <w:docPartGallery w:val="Table of Contents"/>
          <w:docPartUnique/>
        </w:docPartObj>
      </w:sdtPr>
      <w:sdtEndPr>
        <w:rPr>
          <w:rFonts w:hint="eastAsia" w:ascii="方正小标宋简体" w:hAnsi="华文宋体" w:eastAsia="方正小标宋简体" w:cs="Times New Roman"/>
          <w:b/>
          <w:bCs/>
          <w:sz w:val="36"/>
          <w:szCs w:val="36"/>
        </w:rPr>
      </w:sdtEndPr>
      <w:sdtContent>
        <w:p>
          <w:pPr>
            <w:ind w:firstLine="3204" w:firstLineChars="900"/>
            <w:jc w:val="left"/>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lang w:val="en-US" w:eastAsia="zh-CN"/>
            </w:rPr>
            <w:t xml:space="preserve"> </w:t>
          </w:r>
          <w:r>
            <w:rPr>
              <w:rFonts w:hint="eastAsia" w:ascii="方正小标宋简体" w:hAnsi="华文宋体" w:eastAsia="方正小标宋简体" w:cs="Times New Roman"/>
              <w:b/>
              <w:bCs/>
              <w:sz w:val="36"/>
              <w:szCs w:val="36"/>
            </w:rPr>
            <w:t>目录</w:t>
          </w:r>
        </w:p>
        <w:p>
          <w:pPr>
            <w:pStyle w:val="9"/>
            <w:tabs>
              <w:tab w:val="right" w:leader="dot" w:pos="8844"/>
            </w:tabs>
            <w:ind w:firstLine="196" w:firstLineChars="100"/>
            <w:rPr>
              <w:rFonts w:hint="eastAsia" w:ascii="仿宋_GB2312" w:hAnsi="华文宋体" w:eastAsia="仿宋_GB2312"/>
              <w:kern w:val="2"/>
              <w:sz w:val="24"/>
              <w:szCs w:val="24"/>
              <w:lang w:val="en-US" w:eastAsia="zh-CN"/>
            </w:rPr>
          </w:pPr>
          <w:r>
            <w:fldChar w:fldCharType="begin"/>
          </w:r>
          <w:r>
            <w:instrText xml:space="preserve">TOC \o "1-2" \h \u </w:instrText>
          </w:r>
          <w:r>
            <w:fldChar w:fldCharType="separate"/>
          </w:r>
          <w:r>
            <w:fldChar w:fldCharType="begin"/>
          </w:r>
          <w:r>
            <w:instrText xml:space="preserve"> HYPERLINK \l "_Toc4018" </w:instrText>
          </w:r>
          <w:r>
            <w:fldChar w:fldCharType="separate"/>
          </w:r>
          <w:r>
            <w:rPr>
              <w:rFonts w:hint="eastAsia" w:ascii="仿宋_GB2312" w:hAnsi="华文宋体" w:eastAsia="仿宋_GB2312"/>
              <w:kern w:val="2"/>
              <w:sz w:val="24"/>
              <w:szCs w:val="24"/>
            </w:rPr>
            <w:t>绩效评价报告摘要</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1</w:t>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_Toc4018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9"/>
            <w:tabs>
              <w:tab w:val="right" w:leader="dot" w:pos="8844"/>
            </w:tabs>
            <w:ind w:firstLine="196" w:firstLineChars="100"/>
            <w:rPr>
              <w:rFonts w:hint="default" w:ascii="仿宋_GB2312" w:hAnsi="华文宋体" w:eastAsia="仿宋_GB2312"/>
              <w:kern w:val="2"/>
              <w:sz w:val="24"/>
              <w:szCs w:val="24"/>
              <w:lang w:val="en-US" w:eastAsia="zh-CN"/>
            </w:rPr>
          </w:pPr>
          <w:r>
            <w:fldChar w:fldCharType="begin"/>
          </w:r>
          <w:r>
            <w:instrText xml:space="preserve"> HYPERLINK \l "_Toc27814" </w:instrText>
          </w:r>
          <w:r>
            <w:fldChar w:fldCharType="separate"/>
          </w:r>
          <w:r>
            <w:rPr>
              <w:rFonts w:hint="eastAsia" w:ascii="仿宋_GB2312" w:hAnsi="华文宋体" w:eastAsia="仿宋_GB2312"/>
              <w:kern w:val="2"/>
              <w:sz w:val="24"/>
              <w:szCs w:val="24"/>
            </w:rPr>
            <w:t>一、项目基本情况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_Toc27814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11</w:t>
          </w:r>
        </w:p>
        <w:p>
          <w:pPr>
            <w:pStyle w:val="10"/>
            <w:tabs>
              <w:tab w:val="right" w:leader="dot" w:pos="8844"/>
            </w:tabs>
            <w:ind w:left="632" w:firstLine="196" w:firstLineChars="100"/>
            <w:rPr>
              <w:rFonts w:hint="eastAsia" w:ascii="仿宋_GB2312" w:hAnsi="华文宋体" w:eastAsia="仿宋_GB2312"/>
              <w:kern w:val="2"/>
              <w:sz w:val="24"/>
              <w:szCs w:val="24"/>
              <w:lang w:val="en-US" w:eastAsia="zh-CN"/>
            </w:rPr>
          </w:pPr>
          <w:r>
            <w:fldChar w:fldCharType="begin"/>
          </w:r>
          <w:r>
            <w:instrText xml:space="preserve"> HYPERLINK \l "_Toc3481" </w:instrText>
          </w:r>
          <w:r>
            <w:fldChar w:fldCharType="separate"/>
          </w:r>
          <w:r>
            <w:rPr>
              <w:rFonts w:hint="eastAsia" w:ascii="仿宋_GB2312" w:hAnsi="华文宋体" w:eastAsia="仿宋_GB2312"/>
              <w:kern w:val="2"/>
              <w:sz w:val="24"/>
              <w:szCs w:val="24"/>
            </w:rPr>
            <w:t>（一）项目概况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11</w:t>
          </w:r>
        </w:p>
        <w:p>
          <w:pPr>
            <w:pStyle w:val="10"/>
            <w:tabs>
              <w:tab w:val="right" w:leader="dot" w:pos="8844"/>
            </w:tabs>
            <w:ind w:left="632" w:firstLine="196" w:firstLineChars="100"/>
            <w:rPr>
              <w:rFonts w:hint="default" w:ascii="仿宋_GB2312" w:hAnsi="华文宋体" w:eastAsia="仿宋_GB2312"/>
              <w:kern w:val="2"/>
              <w:sz w:val="24"/>
              <w:szCs w:val="24"/>
              <w:lang w:val="en-US" w:eastAsia="zh-CN"/>
            </w:rPr>
          </w:pPr>
          <w:r>
            <w:fldChar w:fldCharType="begin"/>
          </w:r>
          <w:r>
            <w:instrText xml:space="preserve"> HYPERLINK \l "_Toc32417" </w:instrText>
          </w:r>
          <w:r>
            <w:fldChar w:fldCharType="separate"/>
          </w:r>
          <w:r>
            <w:rPr>
              <w:rFonts w:hint="eastAsia" w:ascii="仿宋_GB2312" w:hAnsi="华文宋体" w:eastAsia="仿宋_GB2312"/>
              <w:kern w:val="2"/>
              <w:sz w:val="24"/>
              <w:szCs w:val="24"/>
            </w:rPr>
            <w:t>（二）项目绩效目标</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12</w:t>
          </w:r>
        </w:p>
        <w:p>
          <w:pPr>
            <w:pStyle w:val="9"/>
            <w:tabs>
              <w:tab w:val="right" w:leader="dot" w:pos="8844"/>
            </w:tabs>
            <w:ind w:firstLine="196" w:firstLineChars="100"/>
            <w:rPr>
              <w:rFonts w:hint="default" w:ascii="仿宋_GB2312" w:hAnsi="华文宋体" w:eastAsia="仿宋_GB2312"/>
              <w:kern w:val="2"/>
              <w:sz w:val="24"/>
              <w:szCs w:val="24"/>
              <w:lang w:val="en-US" w:eastAsia="zh-CN"/>
            </w:rPr>
          </w:pPr>
          <w:r>
            <w:fldChar w:fldCharType="begin"/>
          </w:r>
          <w:r>
            <w:instrText xml:space="preserve"> HYPERLINK \l "_Toc3602" </w:instrText>
          </w:r>
          <w:r>
            <w:fldChar w:fldCharType="separate"/>
          </w:r>
          <w:r>
            <w:rPr>
              <w:rFonts w:hint="eastAsia" w:ascii="仿宋_GB2312" w:hAnsi="华文宋体" w:eastAsia="仿宋_GB2312"/>
              <w:kern w:val="2"/>
              <w:sz w:val="24"/>
              <w:szCs w:val="24"/>
            </w:rPr>
            <w:t>二、绩效评价工作开展情况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14</w:t>
          </w:r>
        </w:p>
        <w:p>
          <w:pPr>
            <w:pStyle w:val="10"/>
            <w:tabs>
              <w:tab w:val="right" w:leader="dot" w:pos="8844"/>
            </w:tabs>
            <w:ind w:left="632" w:firstLine="196" w:firstLineChars="100"/>
            <w:rPr>
              <w:rFonts w:hint="eastAsia" w:ascii="仿宋_GB2312" w:hAnsi="华文宋体" w:eastAsia="仿宋_GB2312"/>
              <w:kern w:val="2"/>
              <w:sz w:val="24"/>
              <w:szCs w:val="24"/>
              <w:lang w:val="en-US" w:eastAsia="zh-CN"/>
            </w:rPr>
          </w:pPr>
          <w:r>
            <w:fldChar w:fldCharType="begin"/>
          </w:r>
          <w:r>
            <w:instrText xml:space="preserve"> HYPERLINK \l "_Toc23951" </w:instrText>
          </w:r>
          <w:r>
            <w:fldChar w:fldCharType="separate"/>
          </w:r>
          <w:r>
            <w:rPr>
              <w:rFonts w:hint="eastAsia" w:ascii="仿宋_GB2312" w:hAnsi="华文宋体" w:eastAsia="仿宋_GB2312"/>
              <w:kern w:val="2"/>
              <w:sz w:val="24"/>
              <w:szCs w:val="24"/>
            </w:rPr>
            <w:t>（一）绩效评价目的、对象和范围</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_Toc23951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1</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5</w:t>
          </w:r>
        </w:p>
        <w:p>
          <w:pPr>
            <w:pStyle w:val="10"/>
            <w:tabs>
              <w:tab w:val="right" w:leader="dot" w:pos="8844"/>
            </w:tabs>
            <w:ind w:left="632" w:firstLine="196" w:firstLineChars="100"/>
            <w:rPr>
              <w:rFonts w:hint="default" w:ascii="仿宋_GB2312" w:hAnsi="华文宋体" w:eastAsia="仿宋_GB2312"/>
              <w:kern w:val="2"/>
              <w:sz w:val="24"/>
              <w:szCs w:val="24"/>
              <w:lang w:val="en-US" w:eastAsia="zh-CN"/>
            </w:rPr>
          </w:pPr>
          <w:r>
            <w:fldChar w:fldCharType="begin"/>
          </w:r>
          <w:r>
            <w:instrText xml:space="preserve"> HYPERLINK \l "_Toc17751" </w:instrText>
          </w:r>
          <w:r>
            <w:fldChar w:fldCharType="separate"/>
          </w:r>
          <w:r>
            <w:rPr>
              <w:rFonts w:hint="eastAsia" w:ascii="仿宋_GB2312" w:hAnsi="华文宋体" w:eastAsia="仿宋_GB2312"/>
              <w:kern w:val="2"/>
              <w:sz w:val="24"/>
              <w:szCs w:val="24"/>
            </w:rPr>
            <w:t>（二）绩效评价原则、评价指标体系、评价方法、评价标准</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16</w:t>
          </w:r>
        </w:p>
        <w:p>
          <w:pPr>
            <w:pStyle w:val="10"/>
            <w:tabs>
              <w:tab w:val="right" w:leader="dot" w:pos="8844"/>
            </w:tabs>
            <w:ind w:left="632" w:firstLine="196" w:firstLineChars="100"/>
            <w:rPr>
              <w:rFonts w:hint="default" w:ascii="仿宋_GB2312" w:hAnsi="华文宋体" w:eastAsia="仿宋_GB2312"/>
              <w:kern w:val="2"/>
              <w:sz w:val="24"/>
              <w:szCs w:val="24"/>
              <w:lang w:val="en-US" w:eastAsia="zh-CN"/>
            </w:rPr>
          </w:pPr>
          <w:r>
            <w:fldChar w:fldCharType="begin"/>
          </w:r>
          <w:r>
            <w:instrText xml:space="preserve"> HYPERLINK \l "_Toc23601" </w:instrText>
          </w:r>
          <w:r>
            <w:fldChar w:fldCharType="separate"/>
          </w:r>
          <w:r>
            <w:rPr>
              <w:rFonts w:hint="eastAsia" w:ascii="仿宋_GB2312" w:hAnsi="华文宋体" w:eastAsia="仿宋_GB2312"/>
              <w:kern w:val="2"/>
              <w:sz w:val="24"/>
              <w:szCs w:val="24"/>
            </w:rPr>
            <w:t>（三）绩效评价工作过程</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17</w:t>
          </w:r>
        </w:p>
        <w:p>
          <w:pPr>
            <w:pStyle w:val="9"/>
            <w:tabs>
              <w:tab w:val="right" w:leader="dot" w:pos="8844"/>
            </w:tabs>
            <w:ind w:firstLine="196" w:firstLineChars="100"/>
            <w:rPr>
              <w:rFonts w:hint="default" w:ascii="仿宋_GB2312" w:hAnsi="华文宋体" w:eastAsia="仿宋_GB2312"/>
              <w:kern w:val="2"/>
              <w:sz w:val="24"/>
              <w:szCs w:val="24"/>
              <w:lang w:val="en-US" w:eastAsia="zh-CN"/>
            </w:rPr>
          </w:pPr>
          <w:r>
            <w:fldChar w:fldCharType="begin"/>
          </w:r>
          <w:r>
            <w:instrText xml:space="preserve"> HYPERLINK \l "_Toc31295" </w:instrText>
          </w:r>
          <w:r>
            <w:fldChar w:fldCharType="separate"/>
          </w:r>
          <w:r>
            <w:rPr>
              <w:rFonts w:hint="eastAsia" w:ascii="仿宋_GB2312" w:hAnsi="华文宋体" w:eastAsia="仿宋_GB2312"/>
              <w:kern w:val="2"/>
              <w:sz w:val="24"/>
              <w:szCs w:val="24"/>
            </w:rPr>
            <w:t>三、综合评价情况及评价结论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18</w:t>
          </w:r>
        </w:p>
        <w:p>
          <w:pPr>
            <w:pStyle w:val="10"/>
            <w:tabs>
              <w:tab w:val="right" w:leader="dot" w:pos="8844"/>
            </w:tabs>
            <w:ind w:left="632" w:firstLine="196" w:firstLineChars="100"/>
            <w:rPr>
              <w:rFonts w:hint="default" w:ascii="仿宋_GB2312" w:hAnsi="华文宋体" w:eastAsia="仿宋_GB2312"/>
              <w:kern w:val="2"/>
              <w:sz w:val="24"/>
              <w:szCs w:val="24"/>
              <w:lang w:val="en-US" w:eastAsia="zh-CN"/>
            </w:rPr>
          </w:pPr>
          <w:r>
            <w:fldChar w:fldCharType="begin"/>
          </w:r>
          <w:r>
            <w:instrText xml:space="preserve"> HYPERLINK \l "_Toc20659" </w:instrText>
          </w:r>
          <w:r>
            <w:fldChar w:fldCharType="separate"/>
          </w:r>
          <w:r>
            <w:rPr>
              <w:rFonts w:hint="eastAsia" w:ascii="仿宋_GB2312" w:hAnsi="华文宋体" w:eastAsia="仿宋_GB2312"/>
              <w:kern w:val="2"/>
              <w:sz w:val="24"/>
              <w:szCs w:val="24"/>
            </w:rPr>
            <w:t>（一）综合评价情况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19</w:t>
          </w:r>
        </w:p>
        <w:p>
          <w:pPr>
            <w:pStyle w:val="10"/>
            <w:tabs>
              <w:tab w:val="right" w:leader="dot" w:pos="8844"/>
            </w:tabs>
            <w:ind w:left="632" w:firstLine="196" w:firstLineChars="100"/>
            <w:rPr>
              <w:rFonts w:hint="default" w:ascii="仿宋_GB2312" w:hAnsi="华文宋体" w:eastAsia="仿宋_GB2312"/>
              <w:kern w:val="2"/>
              <w:sz w:val="24"/>
              <w:szCs w:val="24"/>
              <w:lang w:val="en-US" w:eastAsia="zh-CN"/>
            </w:rPr>
          </w:pPr>
          <w:r>
            <w:fldChar w:fldCharType="begin"/>
          </w:r>
          <w:r>
            <w:instrText xml:space="preserve"> HYPERLINK \l "_Toc29228" </w:instrText>
          </w:r>
          <w:r>
            <w:fldChar w:fldCharType="separate"/>
          </w:r>
          <w:r>
            <w:rPr>
              <w:rFonts w:hint="eastAsia" w:ascii="仿宋_GB2312" w:hAnsi="华文宋体" w:eastAsia="仿宋_GB2312"/>
              <w:kern w:val="2"/>
              <w:sz w:val="24"/>
              <w:szCs w:val="24"/>
            </w:rPr>
            <w:t>（二）评价结论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20</w:t>
          </w:r>
        </w:p>
        <w:p>
          <w:pPr>
            <w:pStyle w:val="9"/>
            <w:tabs>
              <w:tab w:val="right" w:leader="dot" w:pos="8844"/>
            </w:tabs>
            <w:ind w:firstLine="196" w:firstLineChars="100"/>
            <w:rPr>
              <w:rFonts w:hint="default" w:ascii="仿宋_GB2312" w:hAnsi="华文宋体" w:eastAsia="仿宋_GB2312"/>
              <w:kern w:val="2"/>
              <w:sz w:val="24"/>
              <w:szCs w:val="24"/>
              <w:lang w:val="en-US" w:eastAsia="zh-CN"/>
            </w:rPr>
          </w:pPr>
          <w:r>
            <w:fldChar w:fldCharType="begin"/>
          </w:r>
          <w:r>
            <w:instrText xml:space="preserve"> HYPERLINK \l "_Toc15151" </w:instrText>
          </w:r>
          <w:r>
            <w:fldChar w:fldCharType="separate"/>
          </w:r>
          <w:r>
            <w:rPr>
              <w:rFonts w:hint="eastAsia" w:ascii="仿宋_GB2312" w:hAnsi="华文宋体" w:eastAsia="仿宋_GB2312"/>
              <w:kern w:val="2"/>
              <w:sz w:val="24"/>
              <w:szCs w:val="24"/>
            </w:rPr>
            <w:t>四、绩效评价指标分析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22</w:t>
          </w:r>
        </w:p>
        <w:p>
          <w:pPr>
            <w:pStyle w:val="10"/>
            <w:tabs>
              <w:tab w:val="right" w:leader="dot" w:pos="8844"/>
            </w:tabs>
            <w:ind w:left="632" w:firstLine="196" w:firstLineChars="100"/>
            <w:rPr>
              <w:rFonts w:hint="default" w:ascii="仿宋_GB2312" w:hAnsi="华文宋体" w:eastAsia="仿宋_GB2312"/>
              <w:kern w:val="2"/>
              <w:sz w:val="24"/>
              <w:szCs w:val="24"/>
              <w:lang w:val="en-US" w:eastAsia="zh-CN"/>
            </w:rPr>
          </w:pPr>
          <w:r>
            <w:fldChar w:fldCharType="begin"/>
          </w:r>
          <w:r>
            <w:instrText xml:space="preserve"> HYPERLINK \l "_Toc17424" </w:instrText>
          </w:r>
          <w:r>
            <w:fldChar w:fldCharType="separate"/>
          </w:r>
          <w:r>
            <w:rPr>
              <w:rFonts w:hint="eastAsia" w:ascii="仿宋_GB2312" w:hAnsi="华文宋体" w:eastAsia="仿宋_GB2312"/>
              <w:kern w:val="2"/>
              <w:sz w:val="24"/>
              <w:szCs w:val="24"/>
            </w:rPr>
            <w:t>（一）项目决策情况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22</w:t>
          </w:r>
        </w:p>
        <w:p>
          <w:pPr>
            <w:pStyle w:val="10"/>
            <w:tabs>
              <w:tab w:val="right" w:leader="dot" w:pos="8844"/>
            </w:tabs>
            <w:ind w:left="632" w:firstLine="196" w:firstLineChars="100"/>
            <w:rPr>
              <w:rFonts w:hint="default" w:ascii="仿宋_GB2312" w:hAnsi="华文宋体" w:eastAsia="仿宋_GB2312"/>
              <w:kern w:val="2"/>
              <w:sz w:val="24"/>
              <w:szCs w:val="24"/>
              <w:lang w:val="en-US" w:eastAsia="zh-CN"/>
            </w:rPr>
          </w:pPr>
          <w:r>
            <w:fldChar w:fldCharType="begin"/>
          </w:r>
          <w:r>
            <w:instrText xml:space="preserve"> HYPERLINK \l "_Toc31012" </w:instrText>
          </w:r>
          <w:r>
            <w:fldChar w:fldCharType="separate"/>
          </w:r>
          <w:r>
            <w:rPr>
              <w:rFonts w:hint="eastAsia" w:ascii="仿宋_GB2312" w:hAnsi="华文宋体" w:eastAsia="仿宋_GB2312"/>
              <w:kern w:val="2"/>
              <w:sz w:val="24"/>
              <w:szCs w:val="24"/>
            </w:rPr>
            <w:t>（二）项目过程情况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22</w:t>
          </w:r>
        </w:p>
        <w:p>
          <w:pPr>
            <w:pStyle w:val="10"/>
            <w:tabs>
              <w:tab w:val="right" w:leader="dot" w:pos="8844"/>
            </w:tabs>
            <w:ind w:left="632" w:firstLine="196" w:firstLineChars="100"/>
            <w:rPr>
              <w:rFonts w:hint="default" w:ascii="仿宋_GB2312" w:hAnsi="华文宋体" w:eastAsia="仿宋_GB2312"/>
              <w:kern w:val="2"/>
              <w:sz w:val="24"/>
              <w:szCs w:val="24"/>
              <w:lang w:val="en-US" w:eastAsia="zh-CN"/>
            </w:rPr>
          </w:pPr>
          <w:r>
            <w:fldChar w:fldCharType="begin"/>
          </w:r>
          <w:r>
            <w:instrText xml:space="preserve"> HYPERLINK \l "_Toc14450" </w:instrText>
          </w:r>
          <w:r>
            <w:fldChar w:fldCharType="separate"/>
          </w:r>
          <w:r>
            <w:rPr>
              <w:rFonts w:hint="eastAsia" w:ascii="仿宋_GB2312" w:hAnsi="华文宋体" w:eastAsia="仿宋_GB2312"/>
              <w:kern w:val="2"/>
              <w:sz w:val="24"/>
              <w:szCs w:val="24"/>
            </w:rPr>
            <w:t>（三）项目产出情况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24</w:t>
          </w:r>
        </w:p>
        <w:p>
          <w:pPr>
            <w:pStyle w:val="10"/>
            <w:tabs>
              <w:tab w:val="right" w:leader="dot" w:pos="8844"/>
            </w:tabs>
            <w:ind w:left="632" w:firstLine="196" w:firstLineChars="100"/>
            <w:rPr>
              <w:rFonts w:hint="default" w:ascii="仿宋_GB2312" w:hAnsi="华文宋体" w:eastAsia="仿宋_GB2312"/>
              <w:kern w:val="2"/>
              <w:sz w:val="24"/>
              <w:szCs w:val="24"/>
              <w:lang w:val="en-US" w:eastAsia="zh-CN"/>
            </w:rPr>
          </w:pPr>
          <w:r>
            <w:fldChar w:fldCharType="begin"/>
          </w:r>
          <w:r>
            <w:instrText xml:space="preserve"> HYPERLINK \l "_Toc13789" </w:instrText>
          </w:r>
          <w:r>
            <w:fldChar w:fldCharType="separate"/>
          </w:r>
          <w:r>
            <w:rPr>
              <w:rFonts w:hint="eastAsia" w:ascii="仿宋_GB2312" w:hAnsi="华文宋体" w:eastAsia="仿宋_GB2312"/>
              <w:kern w:val="2"/>
              <w:sz w:val="24"/>
              <w:szCs w:val="24"/>
            </w:rPr>
            <w:t>（四）项目效益情况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26</w:t>
          </w:r>
        </w:p>
        <w:p>
          <w:pPr>
            <w:pStyle w:val="9"/>
            <w:tabs>
              <w:tab w:val="right" w:leader="dot" w:pos="8844"/>
            </w:tabs>
            <w:ind w:firstLine="196" w:firstLineChars="100"/>
            <w:rPr>
              <w:rFonts w:hint="default" w:ascii="仿宋_GB2312" w:hAnsi="华文宋体" w:eastAsia="仿宋_GB2312"/>
              <w:kern w:val="2"/>
              <w:sz w:val="24"/>
              <w:szCs w:val="24"/>
              <w:lang w:val="en-US" w:eastAsia="zh-CN"/>
            </w:rPr>
          </w:pPr>
          <w:r>
            <w:fldChar w:fldCharType="begin"/>
          </w:r>
          <w:r>
            <w:instrText xml:space="preserve"> HYPERLINK \l "_Toc18123" </w:instrText>
          </w:r>
          <w:r>
            <w:fldChar w:fldCharType="separate"/>
          </w:r>
          <w:r>
            <w:rPr>
              <w:rFonts w:hint="eastAsia" w:ascii="仿宋_GB2312" w:hAnsi="华文宋体" w:eastAsia="仿宋_GB2312"/>
              <w:kern w:val="2"/>
              <w:sz w:val="24"/>
              <w:szCs w:val="24"/>
            </w:rPr>
            <w:t>五、 主要经验及做法</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27</w:t>
          </w:r>
        </w:p>
        <w:p>
          <w:pPr>
            <w:pStyle w:val="9"/>
            <w:tabs>
              <w:tab w:val="right" w:leader="dot" w:pos="8844"/>
            </w:tabs>
            <w:ind w:firstLine="196" w:firstLineChars="100"/>
            <w:rPr>
              <w:rFonts w:hint="default" w:ascii="仿宋_GB2312" w:hAnsi="华文宋体" w:eastAsia="仿宋_GB2312"/>
              <w:kern w:val="2"/>
              <w:sz w:val="24"/>
              <w:szCs w:val="24"/>
              <w:lang w:val="en-US" w:eastAsia="zh-CN"/>
            </w:rPr>
          </w:pPr>
          <w:r>
            <w:fldChar w:fldCharType="begin"/>
          </w:r>
          <w:r>
            <w:instrText xml:space="preserve"> HYPERLINK \l "_Toc1758" </w:instrText>
          </w:r>
          <w:r>
            <w:fldChar w:fldCharType="separate"/>
          </w:r>
          <w:r>
            <w:rPr>
              <w:rFonts w:hint="eastAsia" w:ascii="仿宋_GB2312" w:hAnsi="华文宋体" w:eastAsia="仿宋_GB2312"/>
              <w:kern w:val="2"/>
              <w:sz w:val="24"/>
              <w:szCs w:val="24"/>
            </w:rPr>
            <w:t>六、存在问题及原因分析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28</w:t>
          </w:r>
        </w:p>
        <w:p>
          <w:pPr>
            <w:pStyle w:val="9"/>
            <w:tabs>
              <w:tab w:val="right" w:leader="dot" w:pos="8844"/>
            </w:tabs>
            <w:ind w:firstLine="196" w:firstLineChars="100"/>
            <w:rPr>
              <w:rFonts w:hint="default" w:ascii="仿宋_GB2312" w:hAnsi="华文宋体" w:eastAsia="仿宋_GB2312"/>
              <w:kern w:val="2"/>
              <w:sz w:val="24"/>
              <w:szCs w:val="24"/>
              <w:lang w:val="en-US" w:eastAsia="zh-CN"/>
            </w:rPr>
          </w:pPr>
          <w:r>
            <w:fldChar w:fldCharType="begin"/>
          </w:r>
          <w:r>
            <w:instrText xml:space="preserve"> HYPERLINK \l "_Toc703" </w:instrText>
          </w:r>
          <w:r>
            <w:fldChar w:fldCharType="separate"/>
          </w:r>
          <w:r>
            <w:rPr>
              <w:rFonts w:hint="eastAsia" w:ascii="仿宋_GB2312" w:hAnsi="华文宋体" w:eastAsia="仿宋_GB2312"/>
              <w:kern w:val="2"/>
              <w:sz w:val="24"/>
              <w:szCs w:val="24"/>
            </w:rPr>
            <w:t>七、有关建议</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28</w:t>
          </w:r>
        </w:p>
        <w:p>
          <w:pPr>
            <w:pStyle w:val="9"/>
            <w:tabs>
              <w:tab w:val="right" w:leader="dot" w:pos="8844"/>
            </w:tabs>
            <w:ind w:firstLine="236" w:firstLineChars="100"/>
            <w:rPr>
              <w:rFonts w:hint="eastAsia" w:ascii="仿宋_GB2312" w:hAnsi="华文宋体" w:eastAsia="仿宋_GB2312"/>
              <w:kern w:val="2"/>
              <w:sz w:val="24"/>
              <w:szCs w:val="24"/>
            </w:rPr>
          </w:pPr>
        </w:p>
        <w:p>
          <w:pPr>
            <w:pStyle w:val="9"/>
            <w:tabs>
              <w:tab w:val="right" w:leader="dot" w:pos="8844"/>
            </w:tabs>
            <w:ind w:firstLine="236" w:firstLineChars="100"/>
            <w:rPr>
              <w:rFonts w:hint="eastAsia" w:ascii="仿宋_GB2312" w:hAnsi="华文宋体" w:eastAsia="仿宋_GB2312"/>
              <w:kern w:val="2"/>
              <w:sz w:val="24"/>
              <w:szCs w:val="24"/>
            </w:rPr>
            <w:sectPr>
              <w:footerReference r:id="rId3" w:type="default"/>
              <w:pgSz w:w="11906" w:h="16838"/>
              <w:pgMar w:top="2098" w:right="1474" w:bottom="1985" w:left="1588" w:header="851" w:footer="992" w:gutter="0"/>
              <w:pgNumType w:fmt="numberInDash" w:start="1"/>
              <w:cols w:space="425" w:num="1"/>
              <w:docGrid w:type="linesAndChars" w:linePitch="560" w:charSpace="-849"/>
            </w:sectPr>
          </w:pPr>
        </w:p>
        <w:p>
          <w:pPr>
            <w:widowControl/>
            <w:jc w:val="left"/>
            <w:rPr>
              <w:rFonts w:hint="eastAsia" w:ascii="方正小标宋简体" w:hAnsi="华文宋体" w:eastAsia="方正小标宋简体" w:cs="Times New Roman"/>
              <w:b/>
              <w:bCs/>
              <w:sz w:val="36"/>
              <w:szCs w:val="36"/>
            </w:rPr>
          </w:pPr>
          <w:r>
            <w:rPr>
              <w:b/>
            </w:rPr>
            <w:fldChar w:fldCharType="end"/>
          </w:r>
        </w:p>
      </w:sdtContent>
    </w:sdt>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597" w:leftChars="-100" w:hanging="1807" w:hangingChars="500"/>
        <w:rPr>
          <w:rFonts w:hint="eastAsia" w:ascii="仿宋" w:hAnsi="仿宋" w:eastAsia="仿宋" w:cs="仿宋"/>
          <w:b/>
          <w:bCs/>
          <w:color w:val="000000"/>
          <w:kern w:val="0"/>
          <w:sz w:val="36"/>
          <w:szCs w:val="36"/>
          <w:lang w:val="en-US" w:eastAsia="zh-CN"/>
        </w:rPr>
      </w:pPr>
      <w:r>
        <w:rPr>
          <w:rFonts w:hint="eastAsia" w:ascii="仿宋" w:hAnsi="仿宋" w:eastAsia="仿宋" w:cs="仿宋"/>
          <w:b/>
          <w:bCs/>
          <w:color w:val="000000"/>
          <w:kern w:val="0"/>
          <w:sz w:val="36"/>
          <w:szCs w:val="36"/>
          <w:lang w:val="en-US" w:eastAsia="zh-CN"/>
        </w:rPr>
        <w:t>怀远县经济和信息化局2022年春节期间支持企业稳产留工奖补项目支出绩效评价报告</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jc w:val="center"/>
        <w:textAlignment w:val="top"/>
        <w:rPr>
          <w:rFonts w:hint="eastAsia" w:ascii="仿宋" w:hAnsi="仿宋" w:eastAsia="仿宋" w:cs="仿宋"/>
          <w:b/>
          <w:bCs/>
          <w:color w:val="000000"/>
          <w:kern w:val="0"/>
          <w:sz w:val="36"/>
          <w:szCs w:val="36"/>
          <w:lang w:val="en-US" w:eastAsia="zh-CN"/>
        </w:rPr>
      </w:pPr>
      <w:r>
        <w:rPr>
          <w:rFonts w:hint="eastAsia" w:ascii="仿宋" w:hAnsi="仿宋" w:eastAsia="仿宋" w:cs="仿宋"/>
          <w:b/>
          <w:bCs/>
          <w:color w:val="000000"/>
          <w:kern w:val="0"/>
          <w:sz w:val="36"/>
          <w:szCs w:val="36"/>
          <w:lang w:val="en-US" w:eastAsia="zh-CN"/>
        </w:rPr>
        <w:t>摘 要</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420" w:firstLineChars="150"/>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为贯彻落实中央“六稳”“六保”决策部署，统筹推进2022年春节期间全市疫情防控和经济社会发展，全力做好企业稳产留工工作，确保企业生产有序、务工人员就业稳定，倡导和保障外来务工人员“留蚌过年”，确保一季度平稳开局。</w:t>
      </w:r>
    </w:p>
    <w:p>
      <w:pPr>
        <w:keepNext w:val="0"/>
        <w:keepLines w:val="0"/>
        <w:pageBreakBefore w:val="0"/>
        <w:kinsoku/>
        <w:wordWrap/>
        <w:overflowPunct/>
        <w:topLinePunct w:val="0"/>
        <w:autoSpaceDE/>
        <w:autoSpaceDN/>
        <w:bidi w:val="0"/>
        <w:adjustRightInd/>
        <w:snapToGrid/>
        <w:spacing w:line="240" w:lineRule="auto"/>
        <w:ind w:left="-210" w:leftChars="-100" w:firstLine="422" w:firstLineChars="150"/>
        <w:textAlignment w:val="auto"/>
        <w:outlineLvl w:val="0"/>
        <w:rPr>
          <w:rFonts w:hint="eastAsia" w:ascii="仿宋" w:hAnsi="仿宋" w:eastAsia="仿宋" w:cs="仿宋"/>
          <w:b/>
          <w:bCs/>
          <w:sz w:val="28"/>
          <w:szCs w:val="28"/>
        </w:rPr>
      </w:pPr>
      <w:bookmarkStart w:id="0" w:name="_Toc11742"/>
      <w:r>
        <w:rPr>
          <w:rFonts w:hint="eastAsia" w:ascii="仿宋" w:hAnsi="仿宋" w:eastAsia="仿宋" w:cs="仿宋"/>
          <w:b/>
          <w:bCs/>
          <w:sz w:val="28"/>
          <w:szCs w:val="28"/>
        </w:rPr>
        <w:t>二、项目执行情况</w:t>
      </w:r>
      <w:bookmarkEnd w:id="0"/>
    </w:p>
    <w:p>
      <w:pPr>
        <w:keepNext w:val="0"/>
        <w:keepLines w:val="0"/>
        <w:pageBreakBefore w:val="0"/>
        <w:kinsoku/>
        <w:wordWrap/>
        <w:overflowPunct/>
        <w:topLinePunct w:val="0"/>
        <w:autoSpaceDE/>
        <w:autoSpaceDN/>
        <w:bidi w:val="0"/>
        <w:adjustRightInd/>
        <w:snapToGrid/>
        <w:spacing w:line="240" w:lineRule="auto"/>
        <w:outlineLvl w:val="1"/>
        <w:rPr>
          <w:rFonts w:hint="eastAsia" w:ascii="仿宋" w:hAnsi="仿宋" w:eastAsia="仿宋" w:cs="仿宋"/>
          <w:sz w:val="28"/>
          <w:szCs w:val="28"/>
        </w:rPr>
      </w:pPr>
      <w:bookmarkStart w:id="1" w:name="_Toc14687"/>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w:t>
      </w:r>
      <w:r>
        <w:rPr>
          <w:rFonts w:hint="eastAsia" w:ascii="仿宋" w:hAnsi="仿宋" w:eastAsia="仿宋" w:cs="仿宋"/>
          <w:sz w:val="28"/>
          <w:szCs w:val="28"/>
          <w:lang w:eastAsia="zh-CN"/>
        </w:rPr>
        <w:t>）</w:t>
      </w:r>
      <w:r>
        <w:rPr>
          <w:rFonts w:hint="eastAsia" w:ascii="仿宋" w:hAnsi="仿宋" w:eastAsia="仿宋" w:cs="仿宋"/>
          <w:sz w:val="28"/>
          <w:szCs w:val="28"/>
        </w:rPr>
        <w:t>预算执行情况</w:t>
      </w:r>
      <w:bookmarkEnd w:id="1"/>
    </w:p>
    <w:p>
      <w:pPr>
        <w:pStyle w:val="2"/>
        <w:keepNext w:val="0"/>
        <w:keepLines w:val="0"/>
        <w:pageBreakBefore w:val="0"/>
        <w:widowControl w:val="0"/>
        <w:kinsoku/>
        <w:wordWrap/>
        <w:overflowPunct/>
        <w:topLinePunct w:val="0"/>
        <w:autoSpaceDE/>
        <w:autoSpaceDN/>
        <w:bidi w:val="0"/>
        <w:adjustRightInd/>
        <w:snapToGrid/>
        <w:spacing w:line="240" w:lineRule="auto"/>
        <w:ind w:left="-105" w:leftChars="-50" w:firstLine="280" w:firstLineChars="100"/>
        <w:jc w:val="left"/>
        <w:textAlignment w:val="auto"/>
        <w:rPr>
          <w:rFonts w:hint="eastAsia" w:ascii="仿宋" w:hAnsi="仿宋" w:eastAsia="仿宋" w:cs="仿宋"/>
          <w:sz w:val="28"/>
          <w:szCs w:val="28"/>
        </w:rPr>
      </w:pPr>
      <w:r>
        <w:rPr>
          <w:rFonts w:hint="eastAsia" w:ascii="仿宋" w:hAnsi="仿宋" w:eastAsia="仿宋" w:cs="仿宋"/>
          <w:sz w:val="28"/>
          <w:szCs w:val="28"/>
        </w:rPr>
        <w:t>县</w:t>
      </w:r>
      <w:r>
        <w:rPr>
          <w:rFonts w:hint="eastAsia" w:ascii="仿宋" w:hAnsi="仿宋" w:eastAsia="仿宋" w:cs="仿宋"/>
          <w:sz w:val="28"/>
          <w:szCs w:val="28"/>
          <w:lang w:val="en-US" w:eastAsia="zh-CN"/>
        </w:rPr>
        <w:t>经信局</w:t>
      </w:r>
      <w:r>
        <w:rPr>
          <w:rFonts w:hint="eastAsia" w:ascii="仿宋" w:hAnsi="仿宋" w:eastAsia="仿宋" w:cs="仿宋"/>
          <w:sz w:val="28"/>
          <w:szCs w:val="28"/>
        </w:rPr>
        <w:t>202</w:t>
      </w:r>
      <w:r>
        <w:rPr>
          <w:rFonts w:hint="eastAsia" w:ascii="仿宋" w:hAnsi="仿宋" w:eastAsia="仿宋" w:cs="仿宋"/>
          <w:sz w:val="28"/>
          <w:szCs w:val="28"/>
          <w:lang w:val="en-US" w:eastAsia="zh-CN"/>
        </w:rPr>
        <w:t>2</w:t>
      </w:r>
      <w:r>
        <w:rPr>
          <w:rFonts w:hint="eastAsia" w:ascii="仿宋" w:hAnsi="仿宋" w:eastAsia="仿宋" w:cs="仿宋"/>
          <w:sz w:val="28"/>
          <w:szCs w:val="28"/>
        </w:rPr>
        <w:t>年度“</w:t>
      </w:r>
      <w:r>
        <w:rPr>
          <w:rFonts w:hint="eastAsia" w:ascii="仿宋" w:hAnsi="仿宋" w:eastAsia="仿宋" w:cs="仿宋"/>
          <w:sz w:val="28"/>
          <w:szCs w:val="28"/>
          <w:lang w:val="en-US" w:eastAsia="zh-CN"/>
        </w:rPr>
        <w:t>春节期间企业稳产留工补助资金</w:t>
      </w:r>
      <w:r>
        <w:rPr>
          <w:rFonts w:hint="eastAsia" w:ascii="仿宋" w:hAnsi="仿宋" w:eastAsia="仿宋" w:cs="仿宋"/>
          <w:sz w:val="28"/>
          <w:szCs w:val="28"/>
        </w:rPr>
        <w:t>”预算金额</w:t>
      </w:r>
      <w:r>
        <w:rPr>
          <w:rFonts w:hint="eastAsia" w:ascii="仿宋" w:hAnsi="仿宋" w:eastAsia="仿宋" w:cs="仿宋"/>
          <w:sz w:val="28"/>
          <w:szCs w:val="28"/>
          <w:lang w:val="en-US" w:eastAsia="zh-CN"/>
        </w:rPr>
        <w:t>474.32</w:t>
      </w:r>
      <w:r>
        <w:rPr>
          <w:rFonts w:hint="eastAsia" w:ascii="仿宋" w:hAnsi="仿宋" w:eastAsia="仿宋" w:cs="仿宋"/>
          <w:sz w:val="28"/>
          <w:szCs w:val="28"/>
        </w:rPr>
        <w:t>万元，实际到位</w:t>
      </w:r>
      <w:r>
        <w:rPr>
          <w:rFonts w:hint="eastAsia" w:ascii="仿宋" w:hAnsi="仿宋" w:eastAsia="仿宋" w:cs="仿宋"/>
          <w:sz w:val="28"/>
          <w:szCs w:val="28"/>
          <w:lang w:val="en-US" w:eastAsia="zh-CN"/>
        </w:rPr>
        <w:t>474.32</w:t>
      </w:r>
      <w:r>
        <w:rPr>
          <w:rFonts w:hint="eastAsia" w:ascii="仿宋" w:hAnsi="仿宋" w:eastAsia="仿宋" w:cs="仿宋"/>
          <w:sz w:val="28"/>
          <w:szCs w:val="28"/>
        </w:rPr>
        <w:t>万元，预算执行率100%。</w:t>
      </w:r>
    </w:p>
    <w:p>
      <w:pPr>
        <w:keepNext w:val="0"/>
        <w:keepLines w:val="0"/>
        <w:pageBreakBefore w:val="0"/>
        <w:numPr>
          <w:numId w:val="0"/>
        </w:numPr>
        <w:kinsoku/>
        <w:wordWrap/>
        <w:overflowPunct/>
        <w:topLinePunct w:val="0"/>
        <w:autoSpaceDE/>
        <w:autoSpaceDN/>
        <w:bidi w:val="0"/>
        <w:adjustRightInd/>
        <w:snapToGrid/>
        <w:spacing w:line="240" w:lineRule="auto"/>
        <w:outlineLvl w:val="1"/>
        <w:rPr>
          <w:rFonts w:hint="eastAsia" w:ascii="仿宋" w:hAnsi="仿宋" w:eastAsia="仿宋" w:cs="仿宋"/>
          <w:sz w:val="28"/>
          <w:szCs w:val="28"/>
        </w:rPr>
      </w:pPr>
      <w:bookmarkStart w:id="2" w:name="_Toc9155"/>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二</w:t>
      </w:r>
      <w:r>
        <w:rPr>
          <w:rFonts w:hint="eastAsia" w:ascii="仿宋" w:hAnsi="仿宋" w:eastAsia="仿宋" w:cs="仿宋"/>
          <w:sz w:val="28"/>
          <w:szCs w:val="28"/>
          <w:lang w:eastAsia="zh-CN"/>
        </w:rPr>
        <w:t>）</w:t>
      </w:r>
      <w:r>
        <w:rPr>
          <w:rFonts w:hint="eastAsia" w:ascii="仿宋" w:hAnsi="仿宋" w:eastAsia="仿宋" w:cs="仿宋"/>
          <w:sz w:val="28"/>
          <w:szCs w:val="28"/>
        </w:rPr>
        <w:t>效益实现情况</w:t>
      </w:r>
      <w:bookmarkEnd w:id="2"/>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80" w:firstLineChars="100"/>
        <w:rPr>
          <w:rFonts w:hint="eastAsia" w:ascii="仿宋" w:hAnsi="仿宋" w:eastAsia="仿宋" w:cs="仿宋"/>
          <w:color w:val="333333"/>
          <w:kern w:val="0"/>
          <w:sz w:val="28"/>
          <w:szCs w:val="28"/>
          <w:lang w:val="en-US" w:eastAsia="zh-CN"/>
        </w:rPr>
      </w:pPr>
      <w:r>
        <w:rPr>
          <w:rFonts w:hint="eastAsia" w:ascii="仿宋" w:hAnsi="仿宋" w:eastAsia="仿宋" w:cs="仿宋"/>
          <w:color w:val="000000"/>
          <w:kern w:val="0"/>
          <w:sz w:val="28"/>
          <w:szCs w:val="28"/>
        </w:rPr>
        <w:t>202</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年</w:t>
      </w:r>
      <w:r>
        <w:rPr>
          <w:rFonts w:hint="eastAsia" w:ascii="仿宋" w:hAnsi="仿宋" w:eastAsia="仿宋" w:cs="仿宋"/>
          <w:color w:val="000000"/>
          <w:kern w:val="0"/>
          <w:sz w:val="28"/>
          <w:szCs w:val="28"/>
          <w:lang w:val="en-US" w:eastAsia="zh-CN"/>
        </w:rPr>
        <w:t>春节期间</w:t>
      </w: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怀远县经信局</w:t>
      </w:r>
      <w:r>
        <w:rPr>
          <w:rFonts w:hint="eastAsia" w:ascii="仿宋" w:hAnsi="仿宋" w:eastAsia="仿宋" w:cs="仿宋"/>
          <w:color w:val="000000"/>
          <w:kern w:val="0"/>
          <w:sz w:val="28"/>
          <w:szCs w:val="28"/>
        </w:rPr>
        <w:t>积极</w:t>
      </w:r>
      <w:r>
        <w:rPr>
          <w:rFonts w:hint="eastAsia" w:ascii="仿宋" w:hAnsi="仿宋" w:eastAsia="仿宋" w:cs="仿宋"/>
          <w:color w:val="000000"/>
          <w:kern w:val="0"/>
          <w:sz w:val="28"/>
          <w:szCs w:val="28"/>
          <w:lang w:val="en-US" w:eastAsia="zh-CN"/>
        </w:rPr>
        <w:t>根据</w:t>
      </w:r>
      <w:r>
        <w:rPr>
          <w:rFonts w:hint="eastAsia" w:ascii="仿宋" w:hAnsi="仿宋" w:eastAsia="仿宋" w:cs="仿宋"/>
          <w:color w:val="333333"/>
          <w:kern w:val="0"/>
          <w:sz w:val="28"/>
          <w:szCs w:val="28"/>
          <w:lang w:val="en-US" w:eastAsia="zh-CN"/>
        </w:rPr>
        <w:t>《蚌经信中小企业【2022】7号通知》精神，向税务局、统计局、财政局发文要求协调哪些企业符合通知要求的企业稳定、稳岗留工、重点企业项目不停工，最终筛选出符合条件的相关数据如下：</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509" w:leftChars="33" w:hanging="6440" w:hangingChars="2300"/>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2022年春节期间支持企业稳产留工奖补资金申报和兑现情况统计表                        （单位：万元）</w:t>
      </w:r>
    </w:p>
    <w:tbl>
      <w:tblPr>
        <w:tblStyle w:val="6"/>
        <w:tblW w:w="899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61"/>
        <w:gridCol w:w="863"/>
        <w:gridCol w:w="881"/>
        <w:gridCol w:w="1013"/>
        <w:gridCol w:w="1031"/>
        <w:gridCol w:w="1106"/>
        <w:gridCol w:w="1069"/>
        <w:gridCol w:w="1031"/>
        <w:gridCol w:w="10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182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支持企业稳定生产</w:t>
            </w:r>
          </w:p>
        </w:tc>
        <w:tc>
          <w:tcPr>
            <w:tcW w:w="189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支持企业稳岗留工</w:t>
            </w: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支持重点企业项目不停工</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奖补资金总额</w:t>
            </w: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需市级配套资金</w:t>
            </w:r>
          </w:p>
        </w:tc>
        <w:tc>
          <w:tcPr>
            <w:tcW w:w="10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本级财政补助资金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奖补企业数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奖补资金总额</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奖补员工数</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奖补资金总额</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奖补员工数</w:t>
            </w:r>
          </w:p>
        </w:tc>
        <w:tc>
          <w:tcPr>
            <w:tcW w:w="11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奖补资金总额</w:t>
            </w: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2"/>
                <w:szCs w:val="22"/>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2"/>
                <w:szCs w:val="22"/>
                <w:u w:val="none"/>
              </w:rPr>
            </w:pPr>
          </w:p>
        </w:tc>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7" w:hRule="atLeast"/>
        </w:trPr>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660</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17.6</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11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677.6</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203.28</w:t>
            </w: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474.32</w:t>
            </w:r>
          </w:p>
        </w:tc>
      </w:tr>
    </w:tbl>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64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怀远县经信局制定了《关于政策奖补类项目经费管理暂行办法》严格按照专项资金管理暂行办法有关规定，及时兑现企业稳产、企业稳产留工等项目拨付资金。</w:t>
      </w:r>
      <w:r>
        <w:rPr>
          <w:rFonts w:hint="eastAsia" w:ascii="仿宋" w:hAnsi="仿宋" w:eastAsia="仿宋" w:cs="仿宋"/>
          <w:color w:val="000000"/>
          <w:kern w:val="0"/>
          <w:sz w:val="28"/>
          <w:szCs w:val="28"/>
        </w:rPr>
        <w:t>主要业绩体现在以下几个方面：</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64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1、项目申报管理</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根据</w:t>
      </w:r>
      <w:r>
        <w:rPr>
          <w:rFonts w:hint="eastAsia" w:ascii="仿宋" w:hAnsi="仿宋" w:eastAsia="仿宋" w:cs="仿宋"/>
          <w:color w:val="333333"/>
          <w:kern w:val="0"/>
          <w:sz w:val="28"/>
          <w:szCs w:val="28"/>
          <w:lang w:val="en-US" w:eastAsia="zh-CN"/>
        </w:rPr>
        <w:t>《蚌经信中小企业【2022】7号通知》要求对2022年第一季度营业收入较去年同期增长10%及以上的，分别给予每户最高5-30万的补贴。对2022年1月26日（小年）至2月9日期间（以下简称“春节期间”）留蚌，且在蚌缴纳社会保险的非我市户籍员工，按照每人1000元的标准发放一次性过节补贴，</w:t>
      </w:r>
      <w:r>
        <w:rPr>
          <w:rFonts w:hint="eastAsia" w:ascii="仿宋" w:hAnsi="仿宋" w:eastAsia="仿宋" w:cs="仿宋"/>
          <w:sz w:val="28"/>
          <w:szCs w:val="28"/>
        </w:rPr>
        <w:t>支持企业稳定</w:t>
      </w:r>
      <w:r>
        <w:rPr>
          <w:rFonts w:hint="eastAsia" w:ascii="仿宋" w:hAnsi="仿宋" w:eastAsia="仿宋" w:cs="仿宋"/>
          <w:sz w:val="28"/>
          <w:szCs w:val="28"/>
          <w:lang w:val="en-US" w:eastAsia="zh-CN"/>
        </w:rPr>
        <w:t>生产符合政策的企业免申即享，在4月25日前，各县、区经济和信息化都门会同财政部门梳理符合稳产奖补条件的企业名单，并于4月底前将奖补资金拨付至企业账户。对符合条件的市外籍员工补贴，申报企业在2022年1月30日前先行将一次性留蚌奖补发放给符合条件的员工个人;政策申报主体为企业，由员工所在企业统一申报。各县、区经济和信息化都门会同财政部门审核无误后，2022年2月28日前将奖补资金拨付支企业账户。对支持重点项目不停工符合条件的市外籍员工， 按照每人1000元的标准发放一次性过节补贴;申报项目企业在2022年1 月30日前先行将-次性留蚌奖补发放给符合条件的员工个人; 政策申报主体为项目实施单位。工业类重点项目向所在县(区)经济和信息化部门和人力资源社会保障部门提交申报材料;非工业类重点项目向所在县(区)住房城乡建设部门和人力资源社会保障部门提交申报材料。</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各县、区经济和信息化都门会同财政部门审核无误后，2022年2月28日前将奖补资金拨付支企业账户。</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企业未按时按要求报送相关资料的视为自动放弃，不再受理。</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80" w:firstLineChars="1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2、资金落实情况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在6-8号出新的通知严格按照专项资金管理有关规定，及时兑现奖补资金。</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80" w:firstLineChars="1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3、项目管理过程情况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怀远县经信局联合县财政局、税务局、人社局对符合要求企业的税收、营业收入，企业职工的行程码、社保等进行审核，确保专项经费专项开支，未被其他费用挤占，保障各项惠企优企政策措施落地见效， 有效做好我县企业稳产留工工作。最后筛选出符合条件的企业有116户，员工176位，共计奖补677.60万。</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80" w:firstLineChars="1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4、财务管理情况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怀远县经信局制定了《关于政策奖补类项目经费管理暂行办法》没能严格按照专项资金管理暂行办法有关规定进行管理，因没有提供资金来源凭证无法判断是否做到专款专用，能按照项目程序办事，但未做到及时准确拨付到相关实施主体。手续相对完备，因未提供资金来源凭证无法准确分析是否有截留、挤占、挪用、虚报套取等现象。在抽查中发现怀远县双桥镇人民政府拨付给怀远县瑞丰粮贸有限公司5万元奖补，没有转到企业账户，却转给企业指定的个人账户即李明霞银行卡上，经查李明霞系公司法人，但不符合现金管理办法。</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80" w:firstLineChars="1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5、项目产出情况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数量指标：支持2022年春节期间稳产留工的人员176人，2022年春节期间稳定生产的企业116家；</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质量指标：2022年第一季度营业收入较去年同期增长10%及以上的企业116家；</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时效指标：资金到位率较及时；但与文件规定还是有一定的差距。</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成本指标：严格按文件要求，在预算范围内，奖补资金为677.60万。</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80" w:firstLineChars="1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6、</w:t>
      </w:r>
      <w:r>
        <w:rPr>
          <w:rFonts w:hint="eastAsia" w:ascii="仿宋" w:hAnsi="仿宋" w:eastAsia="仿宋" w:cs="仿宋"/>
          <w:color w:val="000000"/>
          <w:kern w:val="0"/>
          <w:sz w:val="28"/>
          <w:szCs w:val="28"/>
        </w:rPr>
        <w:t>发挥</w:t>
      </w:r>
      <w:r>
        <w:rPr>
          <w:rFonts w:hint="eastAsia" w:ascii="仿宋" w:hAnsi="仿宋" w:eastAsia="仿宋" w:cs="仿宋"/>
          <w:color w:val="000000"/>
          <w:kern w:val="0"/>
          <w:sz w:val="28"/>
          <w:szCs w:val="28"/>
          <w:lang w:val="en-US" w:eastAsia="zh-CN"/>
        </w:rPr>
        <w:t>经济</w:t>
      </w:r>
      <w:r>
        <w:rPr>
          <w:rFonts w:hint="eastAsia" w:ascii="仿宋" w:hAnsi="仿宋" w:eastAsia="仿宋" w:cs="仿宋"/>
          <w:color w:val="000000"/>
          <w:kern w:val="0"/>
          <w:sz w:val="28"/>
          <w:szCs w:val="28"/>
        </w:rPr>
        <w:t>效益</w:t>
      </w:r>
      <w:r>
        <w:rPr>
          <w:rFonts w:hint="eastAsia" w:ascii="仿宋" w:hAnsi="仿宋" w:eastAsia="仿宋" w:cs="仿宋"/>
          <w:color w:val="000000"/>
          <w:kern w:val="0"/>
          <w:sz w:val="28"/>
          <w:szCs w:val="28"/>
          <w:lang w:val="en-US" w:eastAsia="zh-CN"/>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2022年第一季度营业收入较去年同期增长10%及以上企业共有116家，没有分析本县经济稳定数据，无法判断是否达到稳定企业生产的目的。</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80" w:firstLineChars="1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7、</w:t>
      </w:r>
      <w:r>
        <w:rPr>
          <w:rFonts w:hint="eastAsia" w:ascii="仿宋" w:hAnsi="仿宋" w:eastAsia="仿宋" w:cs="仿宋"/>
          <w:color w:val="000000"/>
          <w:kern w:val="0"/>
          <w:sz w:val="28"/>
          <w:szCs w:val="28"/>
        </w:rPr>
        <w:t>发挥</w:t>
      </w:r>
      <w:r>
        <w:rPr>
          <w:rFonts w:hint="eastAsia" w:ascii="仿宋" w:hAnsi="仿宋" w:eastAsia="仿宋" w:cs="仿宋"/>
          <w:color w:val="000000"/>
          <w:kern w:val="0"/>
          <w:sz w:val="28"/>
          <w:szCs w:val="28"/>
          <w:lang w:val="en-US" w:eastAsia="zh-CN"/>
        </w:rPr>
        <w:t>社会</w:t>
      </w:r>
      <w:r>
        <w:rPr>
          <w:rFonts w:hint="eastAsia" w:ascii="仿宋" w:hAnsi="仿宋" w:eastAsia="仿宋" w:cs="仿宋"/>
          <w:color w:val="000000"/>
          <w:kern w:val="0"/>
          <w:sz w:val="28"/>
          <w:szCs w:val="28"/>
        </w:rPr>
        <w:t>效益</w:t>
      </w:r>
      <w:r>
        <w:rPr>
          <w:rFonts w:hint="eastAsia" w:ascii="仿宋" w:hAnsi="仿宋" w:eastAsia="仿宋" w:cs="仿宋"/>
          <w:color w:val="000000"/>
          <w:kern w:val="0"/>
          <w:sz w:val="28"/>
          <w:szCs w:val="28"/>
          <w:lang w:val="en-US" w:eastAsia="zh-CN"/>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80" w:firstLineChars="1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营造鼓励和支持企业稳产留工的社会氛围达到预期效果。</w:t>
      </w:r>
    </w:p>
    <w:p>
      <w:pPr>
        <w:keepNext w:val="0"/>
        <w:keepLines w:val="0"/>
        <w:pageBreakBefore w:val="0"/>
        <w:kinsoku/>
        <w:wordWrap/>
        <w:overflowPunct/>
        <w:topLinePunct w:val="0"/>
        <w:autoSpaceDE/>
        <w:autoSpaceDN/>
        <w:bidi w:val="0"/>
        <w:adjustRightInd/>
        <w:snapToGrid/>
        <w:spacing w:line="240" w:lineRule="auto"/>
        <w:ind w:firstLine="281" w:firstLineChars="100"/>
        <w:outlineLvl w:val="0"/>
        <w:rPr>
          <w:rFonts w:hint="eastAsia" w:ascii="仿宋" w:hAnsi="仿宋" w:eastAsia="仿宋" w:cs="仿宋"/>
          <w:b/>
          <w:bCs w:val="0"/>
          <w:sz w:val="28"/>
          <w:szCs w:val="28"/>
        </w:rPr>
      </w:pPr>
      <w:bookmarkStart w:id="3" w:name="_Toc16658"/>
      <w:r>
        <w:rPr>
          <w:rFonts w:hint="eastAsia" w:ascii="仿宋" w:hAnsi="仿宋" w:eastAsia="仿宋" w:cs="仿宋"/>
          <w:b/>
          <w:bCs w:val="0"/>
          <w:sz w:val="28"/>
          <w:szCs w:val="28"/>
        </w:rPr>
        <w:t>三、绩效评价工作情况及评价结论</w:t>
      </w:r>
      <w:bookmarkEnd w:id="3"/>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4" w:name="_Toc2595"/>
      <w:r>
        <w:rPr>
          <w:rFonts w:hint="eastAsia" w:ascii="仿宋" w:hAnsi="仿宋" w:eastAsia="仿宋" w:cs="仿宋"/>
          <w:sz w:val="28"/>
          <w:szCs w:val="28"/>
        </w:rPr>
        <w:t>（一）评价范围及目的</w:t>
      </w:r>
      <w:bookmarkEnd w:id="4"/>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本次评价的范围是202</w:t>
      </w:r>
      <w:r>
        <w:rPr>
          <w:rFonts w:hint="eastAsia" w:ascii="仿宋" w:hAnsi="仿宋" w:eastAsia="仿宋" w:cs="仿宋"/>
          <w:sz w:val="28"/>
          <w:szCs w:val="28"/>
          <w:lang w:val="en-US" w:eastAsia="zh-CN"/>
        </w:rPr>
        <w:t>2</w:t>
      </w:r>
      <w:r>
        <w:rPr>
          <w:rFonts w:hint="eastAsia" w:ascii="仿宋" w:hAnsi="仿宋" w:eastAsia="仿宋" w:cs="仿宋"/>
          <w:sz w:val="28"/>
          <w:szCs w:val="28"/>
        </w:rPr>
        <w:t>年</w:t>
      </w:r>
      <w:r>
        <w:rPr>
          <w:rFonts w:hint="eastAsia" w:ascii="仿宋" w:hAnsi="仿宋" w:eastAsia="仿宋" w:cs="仿宋"/>
          <w:sz w:val="28"/>
          <w:szCs w:val="28"/>
          <w:lang w:val="en-US" w:eastAsia="zh-CN"/>
        </w:rPr>
        <w:t>度“春节期间支持企业稳产留工奖补资金”</w:t>
      </w:r>
      <w:r>
        <w:rPr>
          <w:rFonts w:hint="eastAsia" w:ascii="仿宋" w:hAnsi="仿宋" w:eastAsia="仿宋" w:cs="仿宋"/>
          <w:sz w:val="28"/>
          <w:szCs w:val="28"/>
        </w:rPr>
        <w:t>，评价其绩效目标设定情况，资金投入和使用情况，为实现设定的绩效目标所制定的制度、采取的措施等，以及绩效目标最终的实现程度及效果。通过评价，深入了解202</w:t>
      </w:r>
      <w:r>
        <w:rPr>
          <w:rFonts w:hint="eastAsia" w:ascii="仿宋" w:hAnsi="仿宋" w:eastAsia="仿宋" w:cs="仿宋"/>
          <w:sz w:val="28"/>
          <w:szCs w:val="28"/>
          <w:lang w:val="en-US" w:eastAsia="zh-CN"/>
        </w:rPr>
        <w:t>2</w:t>
      </w:r>
      <w:r>
        <w:rPr>
          <w:rFonts w:hint="eastAsia" w:ascii="仿宋" w:hAnsi="仿宋" w:eastAsia="仿宋" w:cs="仿宋"/>
          <w:sz w:val="28"/>
          <w:szCs w:val="28"/>
        </w:rPr>
        <w:t>年</w:t>
      </w:r>
      <w:r>
        <w:rPr>
          <w:rFonts w:hint="eastAsia" w:ascii="仿宋" w:hAnsi="仿宋" w:eastAsia="仿宋" w:cs="仿宋"/>
          <w:sz w:val="28"/>
          <w:szCs w:val="28"/>
          <w:lang w:val="en-US" w:eastAsia="zh-CN"/>
        </w:rPr>
        <w:t>度“春节期间支持企业稳产留工奖补资金”</w:t>
      </w:r>
      <w:r>
        <w:rPr>
          <w:rFonts w:hint="eastAsia" w:ascii="仿宋" w:hAnsi="仿宋" w:eastAsia="仿宋" w:cs="仿宋"/>
          <w:sz w:val="28"/>
          <w:szCs w:val="28"/>
        </w:rPr>
        <w:t>的决策、产出、过程和效益方面的详细情况，总结项目资金使用中的主要经验及存在问题，提出有针对性和可操作性的政策建议，不断提高财政资金管理水平和使用效益，为预算安排提供重要依据。</w:t>
      </w:r>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5" w:name="_Toc26786"/>
      <w:r>
        <w:rPr>
          <w:rFonts w:hint="eastAsia" w:ascii="仿宋" w:hAnsi="仿宋" w:eastAsia="仿宋" w:cs="仿宋"/>
          <w:sz w:val="28"/>
          <w:szCs w:val="28"/>
        </w:rPr>
        <w:t>（二）评价指标体系</w:t>
      </w:r>
      <w:bookmarkEnd w:id="5"/>
    </w:p>
    <w:p>
      <w:pPr>
        <w:keepNext w:val="0"/>
        <w:keepLines w:val="0"/>
        <w:pageBreakBefore w:val="0"/>
        <w:kinsoku/>
        <w:wordWrap/>
        <w:overflowPunct/>
        <w:topLinePunct w:val="0"/>
        <w:autoSpaceDE/>
        <w:autoSpaceDN/>
        <w:bidi w:val="0"/>
        <w:adjustRightInd/>
        <w:snapToGrid/>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本次绩效评价指标体系包括项目决策、项目过程、项目产出、</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项目效益 4 个一级指标，满分为 100 分。其中：项目决策（</w:t>
      </w:r>
      <w:r>
        <w:rPr>
          <w:rFonts w:hint="eastAsia" w:ascii="仿宋" w:hAnsi="仿宋" w:eastAsia="仿宋" w:cs="仿宋"/>
          <w:sz w:val="28"/>
          <w:szCs w:val="28"/>
          <w:lang w:val="en-US" w:eastAsia="zh-CN"/>
        </w:rPr>
        <w:t>30</w:t>
      </w:r>
      <w:r>
        <w:rPr>
          <w:rFonts w:hint="eastAsia" w:ascii="仿宋" w:hAnsi="仿宋" w:eastAsia="仿宋" w:cs="仿宋"/>
          <w:sz w:val="28"/>
          <w:szCs w:val="28"/>
        </w:rPr>
        <w:t>分）主要评价项目立项、绩效目标、资金投入情况，重点关注项目绩效目标设定情况、预算编制和资金分配情况。项目过程（28分）主要评价资金管理和组织实施情况，其中资金方面重点关注资金支出的合法合规性和绩效自评情况，组织实施重点关注管理制度的健全性和制度执行的有效性的情况。项目产出（2</w:t>
      </w:r>
      <w:r>
        <w:rPr>
          <w:rFonts w:hint="eastAsia" w:ascii="仿宋" w:hAnsi="仿宋" w:eastAsia="仿宋" w:cs="仿宋"/>
          <w:sz w:val="28"/>
          <w:szCs w:val="28"/>
          <w:lang w:val="en-US" w:eastAsia="zh-CN"/>
        </w:rPr>
        <w:t>2</w:t>
      </w:r>
      <w:r>
        <w:rPr>
          <w:rFonts w:hint="eastAsia" w:ascii="仿宋" w:hAnsi="仿宋" w:eastAsia="仿宋" w:cs="仿宋"/>
          <w:sz w:val="28"/>
          <w:szCs w:val="28"/>
        </w:rPr>
        <w:t>分）主要评价项目在本年度的实际产出数量、产出质量、产出成本等产出完成情况，根据项目申报内容，重点核实产出数量是否达到设定目标、产出质量、产出成本是否符合设定标准。项目效益（</w:t>
      </w:r>
      <w:r>
        <w:rPr>
          <w:rFonts w:hint="eastAsia" w:ascii="仿宋" w:hAnsi="仿宋" w:eastAsia="仿宋" w:cs="仿宋"/>
          <w:sz w:val="28"/>
          <w:szCs w:val="28"/>
          <w:lang w:val="en-US" w:eastAsia="zh-CN"/>
        </w:rPr>
        <w:t>20</w:t>
      </w:r>
      <w:r>
        <w:rPr>
          <w:rFonts w:hint="eastAsia" w:ascii="仿宋" w:hAnsi="仿宋" w:eastAsia="仿宋" w:cs="仿宋"/>
          <w:sz w:val="28"/>
          <w:szCs w:val="28"/>
        </w:rPr>
        <w:t>分）主要评价社会效益、经济效益、可持续影响及服务对象满意度情况，重点关注项目在社会发展方面发挥的实际作用情况和社会公众等服务对象的满意度情况。</w:t>
      </w:r>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6" w:name="_Toc2560"/>
      <w:r>
        <w:rPr>
          <w:rFonts w:hint="eastAsia" w:ascii="仿宋" w:hAnsi="仿宋" w:eastAsia="仿宋" w:cs="仿宋"/>
          <w:sz w:val="28"/>
          <w:szCs w:val="28"/>
        </w:rPr>
        <w:t>（三）评价方法与实施</w:t>
      </w:r>
      <w:bookmarkEnd w:id="6"/>
    </w:p>
    <w:p>
      <w:pPr>
        <w:keepNext w:val="0"/>
        <w:keepLines w:val="0"/>
        <w:pageBreakBefore w:val="0"/>
        <w:kinsoku/>
        <w:wordWrap/>
        <w:overflowPunct/>
        <w:topLinePunct w:val="0"/>
        <w:autoSpaceDE/>
        <w:autoSpaceDN/>
        <w:bidi w:val="0"/>
        <w:adjustRightInd/>
        <w:snapToGrid/>
        <w:spacing w:line="240" w:lineRule="auto"/>
        <w:ind w:left="69" w:leftChars="33" w:firstLine="0" w:firstLineChars="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分）、良（≥80分、＜90分）、中（≥60分、＜80分）、差（＜60分），以下为具体评价方法：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1.成本效益分析法，通过将投入与产出、效益进行关联性分析，</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评价绩效目标实现程度。</w:t>
      </w:r>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rPr>
        <w:t>2.比较法，通过对绩效目标与实施效果、历史与当期情况的比较，综合分析绩效目标实现程度。</w:t>
      </w:r>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rPr>
        <w:t>3.因素分析法，通过综合分析影响绩效目标实现、实施效果的内外因素，评价绩效目标实现程度。</w:t>
      </w:r>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rPr>
        <w:t>4.公众评判法，通过公众问卷及抽样调查等对财政支出效果进行评判，评价绩效目标实现程度。</w:t>
      </w:r>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7" w:name="_Toc29062"/>
      <w:r>
        <w:rPr>
          <w:rFonts w:hint="eastAsia" w:ascii="仿宋" w:hAnsi="仿宋" w:eastAsia="仿宋" w:cs="仿宋"/>
          <w:sz w:val="28"/>
          <w:szCs w:val="28"/>
        </w:rPr>
        <w:t>（四）评价结论</w:t>
      </w:r>
      <w:bookmarkEnd w:id="7"/>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rPr>
        <w:t>根据评价指标体系对本项目的绩效进行评价,</w:t>
      </w:r>
      <w:r>
        <w:rPr>
          <w:rFonts w:hint="eastAsia" w:ascii="仿宋" w:hAnsi="仿宋" w:eastAsia="仿宋" w:cs="仿宋"/>
          <w:sz w:val="28"/>
          <w:szCs w:val="28"/>
          <w:lang w:val="en-US" w:eastAsia="zh-CN"/>
        </w:rPr>
        <w:t>“春节期间支持企业稳产留工奖补资金”</w:t>
      </w:r>
      <w:r>
        <w:rPr>
          <w:rFonts w:hint="eastAsia" w:ascii="仿宋" w:hAnsi="仿宋" w:eastAsia="仿宋" w:cs="仿宋"/>
          <w:sz w:val="28"/>
          <w:szCs w:val="28"/>
        </w:rPr>
        <w:t>项目综合评价得分</w:t>
      </w:r>
      <w:r>
        <w:rPr>
          <w:rFonts w:hint="eastAsia" w:ascii="仿宋" w:hAnsi="仿宋" w:eastAsia="仿宋" w:cs="仿宋"/>
          <w:sz w:val="28"/>
          <w:szCs w:val="28"/>
          <w:lang w:val="en-US" w:eastAsia="zh-CN"/>
        </w:rPr>
        <w:t>59</w:t>
      </w:r>
      <w:r>
        <w:rPr>
          <w:rFonts w:hint="eastAsia" w:ascii="仿宋" w:hAnsi="仿宋" w:eastAsia="仿宋" w:cs="仿宋"/>
          <w:sz w:val="28"/>
          <w:szCs w:val="28"/>
        </w:rPr>
        <w:t>分，评价等级为“</w:t>
      </w:r>
      <w:r>
        <w:rPr>
          <w:rFonts w:hint="eastAsia" w:ascii="仿宋" w:hAnsi="仿宋" w:eastAsia="仿宋" w:cs="仿宋"/>
          <w:sz w:val="28"/>
          <w:szCs w:val="28"/>
          <w:lang w:val="en-US" w:eastAsia="zh-CN"/>
        </w:rPr>
        <w:t>差</w:t>
      </w:r>
      <w:r>
        <w:rPr>
          <w:rFonts w:hint="eastAsia" w:ascii="仿宋" w:hAnsi="仿宋" w:eastAsia="仿宋" w:cs="仿宋"/>
          <w:sz w:val="28"/>
          <w:szCs w:val="28"/>
        </w:rPr>
        <w:t>”。202</w:t>
      </w:r>
      <w:r>
        <w:rPr>
          <w:rFonts w:hint="eastAsia" w:ascii="仿宋" w:hAnsi="仿宋" w:eastAsia="仿宋" w:cs="仿宋"/>
          <w:sz w:val="28"/>
          <w:szCs w:val="28"/>
          <w:lang w:val="en-US" w:eastAsia="zh-CN"/>
        </w:rPr>
        <w:t>2</w:t>
      </w:r>
      <w:r>
        <w:rPr>
          <w:rFonts w:hint="eastAsia" w:ascii="仿宋" w:hAnsi="仿宋" w:eastAsia="仿宋" w:cs="仿宋"/>
          <w:sz w:val="28"/>
          <w:szCs w:val="28"/>
        </w:rPr>
        <w:t>年度</w:t>
      </w:r>
      <w:r>
        <w:rPr>
          <w:rFonts w:hint="eastAsia" w:ascii="仿宋" w:hAnsi="仿宋" w:eastAsia="仿宋" w:cs="仿宋"/>
          <w:sz w:val="28"/>
          <w:szCs w:val="28"/>
          <w:lang w:val="en-US" w:eastAsia="zh-CN"/>
        </w:rPr>
        <w:t>“春节期间支持企业稳产留工奖补资金”</w:t>
      </w:r>
      <w:r>
        <w:rPr>
          <w:rFonts w:hint="eastAsia" w:ascii="仿宋" w:hAnsi="仿宋" w:eastAsia="仿宋" w:cs="仿宋"/>
          <w:sz w:val="28"/>
          <w:szCs w:val="28"/>
        </w:rPr>
        <w:t>项目基本按照计划完成工作任务，</w:t>
      </w:r>
      <w:r>
        <w:rPr>
          <w:rFonts w:hint="eastAsia" w:ascii="仿宋" w:hAnsi="仿宋" w:eastAsia="仿宋" w:cs="仿宋"/>
          <w:sz w:val="28"/>
          <w:szCs w:val="28"/>
          <w:lang w:val="en-US" w:eastAsia="zh-CN"/>
        </w:rPr>
        <w:t>因没有具体规定</w:t>
      </w:r>
      <w:r>
        <w:rPr>
          <w:rFonts w:hint="eastAsia" w:ascii="仿宋" w:hAnsi="仿宋" w:eastAsia="仿宋" w:cs="仿宋"/>
          <w:sz w:val="28"/>
          <w:szCs w:val="28"/>
        </w:rPr>
        <w:t>年度绩效目标</w:t>
      </w:r>
      <w:r>
        <w:rPr>
          <w:rFonts w:hint="eastAsia" w:ascii="仿宋" w:hAnsi="仿宋" w:eastAsia="仿宋" w:cs="仿宋"/>
          <w:sz w:val="28"/>
          <w:szCs w:val="28"/>
          <w:lang w:val="en-US" w:eastAsia="zh-CN"/>
        </w:rPr>
        <w:t>无法分析是否完成</w:t>
      </w:r>
      <w:r>
        <w:rPr>
          <w:rFonts w:hint="eastAsia" w:ascii="仿宋" w:hAnsi="仿宋" w:eastAsia="仿宋" w:cs="仿宋"/>
          <w:sz w:val="28"/>
          <w:szCs w:val="28"/>
        </w:rPr>
        <w:t>，</w:t>
      </w:r>
      <w:r>
        <w:rPr>
          <w:rFonts w:hint="eastAsia" w:ascii="仿宋" w:hAnsi="仿宋" w:eastAsia="仿宋" w:cs="仿宋"/>
          <w:sz w:val="28"/>
          <w:szCs w:val="28"/>
          <w:lang w:val="en-US" w:eastAsia="zh-CN"/>
        </w:rPr>
        <w:t>因兑现出现不及时现象导致效果不太理想，但也</w:t>
      </w:r>
      <w:r>
        <w:rPr>
          <w:rFonts w:hint="eastAsia" w:ascii="仿宋" w:hAnsi="仿宋" w:eastAsia="仿宋" w:cs="仿宋"/>
          <w:sz w:val="28"/>
          <w:szCs w:val="28"/>
        </w:rPr>
        <w:t>取得了</w:t>
      </w:r>
      <w:r>
        <w:rPr>
          <w:rFonts w:hint="eastAsia" w:ascii="仿宋" w:hAnsi="仿宋" w:eastAsia="仿宋" w:cs="仿宋"/>
          <w:sz w:val="28"/>
          <w:szCs w:val="28"/>
          <w:lang w:val="en-US" w:eastAsia="zh-CN"/>
        </w:rPr>
        <w:t>一定</w:t>
      </w:r>
      <w:r>
        <w:rPr>
          <w:rFonts w:hint="eastAsia" w:ascii="仿宋" w:hAnsi="仿宋" w:eastAsia="仿宋" w:cs="仿宋"/>
          <w:sz w:val="28"/>
          <w:szCs w:val="28"/>
        </w:rPr>
        <w:t>的社会、经济效益，服务对象满意度</w:t>
      </w:r>
      <w:r>
        <w:rPr>
          <w:rFonts w:hint="eastAsia" w:ascii="仿宋" w:hAnsi="仿宋" w:eastAsia="仿宋" w:cs="仿宋"/>
          <w:sz w:val="28"/>
          <w:szCs w:val="28"/>
          <w:lang w:val="en-US" w:eastAsia="zh-CN"/>
        </w:rPr>
        <w:t>不</w:t>
      </w:r>
      <w:r>
        <w:rPr>
          <w:rFonts w:hint="eastAsia" w:ascii="仿宋" w:hAnsi="仿宋" w:eastAsia="仿宋" w:cs="仿宋"/>
          <w:sz w:val="28"/>
          <w:szCs w:val="28"/>
        </w:rPr>
        <w:t>高。项目还存在绩效指标设定不明确、细化程度不高，创城氛围不够浓厚等问题。</w:t>
      </w:r>
    </w:p>
    <w:p>
      <w:pPr>
        <w:keepNext w:val="0"/>
        <w:keepLines w:val="0"/>
        <w:pageBreakBefore w:val="0"/>
        <w:kinsoku/>
        <w:wordWrap/>
        <w:overflowPunct/>
        <w:topLinePunct w:val="0"/>
        <w:autoSpaceDE/>
        <w:autoSpaceDN/>
        <w:bidi w:val="0"/>
        <w:adjustRightInd/>
        <w:snapToGrid/>
        <w:spacing w:line="240" w:lineRule="auto"/>
        <w:ind w:firstLine="281" w:firstLineChars="100"/>
        <w:outlineLvl w:val="0"/>
        <w:rPr>
          <w:rFonts w:hint="eastAsia" w:ascii="仿宋" w:hAnsi="仿宋" w:eastAsia="仿宋" w:cs="仿宋"/>
          <w:b/>
          <w:bCs w:val="0"/>
          <w:sz w:val="28"/>
          <w:szCs w:val="28"/>
        </w:rPr>
      </w:pPr>
      <w:bookmarkStart w:id="8" w:name="_Toc4485"/>
      <w:r>
        <w:rPr>
          <w:rFonts w:hint="eastAsia" w:ascii="仿宋" w:hAnsi="仿宋" w:eastAsia="仿宋" w:cs="仿宋"/>
          <w:b/>
          <w:bCs w:val="0"/>
          <w:sz w:val="28"/>
          <w:szCs w:val="28"/>
        </w:rPr>
        <w:t>四、绩效评价指标完成情况</w:t>
      </w:r>
      <w:bookmarkEnd w:id="8"/>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9" w:name="_Toc16774"/>
      <w:r>
        <w:rPr>
          <w:rFonts w:hint="eastAsia" w:ascii="仿宋" w:hAnsi="仿宋" w:eastAsia="仿宋" w:cs="仿宋"/>
          <w:sz w:val="28"/>
          <w:szCs w:val="28"/>
        </w:rPr>
        <w:t>（一）决策指标分析</w:t>
      </w:r>
      <w:bookmarkEnd w:id="9"/>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rPr>
        <w:t>该指标分</w:t>
      </w:r>
      <w:r>
        <w:rPr>
          <w:rFonts w:hint="eastAsia" w:ascii="仿宋" w:hAnsi="仿宋" w:eastAsia="仿宋" w:cs="仿宋"/>
          <w:sz w:val="28"/>
          <w:szCs w:val="28"/>
          <w:highlight w:val="none"/>
        </w:rPr>
        <w:t>值</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分，得分</w:t>
      </w:r>
      <w:r>
        <w:rPr>
          <w:rFonts w:hint="eastAsia" w:ascii="仿宋" w:hAnsi="仿宋" w:eastAsia="仿宋" w:cs="仿宋"/>
          <w:sz w:val="28"/>
          <w:szCs w:val="28"/>
          <w:highlight w:val="none"/>
          <w:lang w:val="en-US" w:eastAsia="zh-CN"/>
        </w:rPr>
        <w:t>22</w:t>
      </w:r>
      <w:r>
        <w:rPr>
          <w:rFonts w:hint="eastAsia" w:ascii="仿宋" w:hAnsi="仿宋" w:eastAsia="仿宋" w:cs="仿宋"/>
          <w:sz w:val="28"/>
          <w:szCs w:val="28"/>
          <w:highlight w:val="none"/>
        </w:rPr>
        <w:t>分，</w:t>
      </w:r>
      <w:r>
        <w:rPr>
          <w:rFonts w:hint="eastAsia" w:ascii="仿宋" w:hAnsi="仿宋" w:eastAsia="仿宋" w:cs="仿宋"/>
          <w:sz w:val="28"/>
          <w:szCs w:val="28"/>
        </w:rPr>
        <w:t>得分率</w:t>
      </w:r>
      <w:r>
        <w:rPr>
          <w:rFonts w:hint="eastAsia" w:ascii="仿宋" w:hAnsi="仿宋" w:eastAsia="仿宋" w:cs="仿宋"/>
          <w:sz w:val="28"/>
          <w:szCs w:val="28"/>
          <w:lang w:val="en-US" w:eastAsia="zh-CN"/>
        </w:rPr>
        <w:t>73.3</w:t>
      </w:r>
      <w:r>
        <w:rPr>
          <w:rFonts w:hint="eastAsia" w:ascii="仿宋" w:hAnsi="仿宋" w:eastAsia="仿宋" w:cs="仿宋"/>
          <w:sz w:val="28"/>
          <w:szCs w:val="28"/>
        </w:rPr>
        <w:t>%。项目立项依据充分，程序规范。项目绩效目标细化分解为具体的绩效指标，但是细化程度不高，部分绩效指标不够全面、不够明确，分类不够清晰，部分细化的三级指标与二级指标匹配性不高，质量指标量化不明确。</w:t>
      </w:r>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10" w:name="_Toc1661"/>
      <w:r>
        <w:rPr>
          <w:rFonts w:hint="eastAsia" w:ascii="仿宋" w:hAnsi="仿宋" w:eastAsia="仿宋" w:cs="仿宋"/>
          <w:sz w:val="28"/>
          <w:szCs w:val="28"/>
        </w:rPr>
        <w:t>（二）过程指标分析</w:t>
      </w:r>
      <w:bookmarkEnd w:id="10"/>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rPr>
        <w:t>该</w:t>
      </w:r>
      <w:r>
        <w:rPr>
          <w:rFonts w:hint="eastAsia" w:ascii="仿宋" w:hAnsi="仿宋" w:eastAsia="仿宋" w:cs="仿宋"/>
          <w:sz w:val="28"/>
          <w:szCs w:val="28"/>
          <w:highlight w:val="none"/>
        </w:rPr>
        <w:t>指标分值28分，得分</w:t>
      </w:r>
      <w:r>
        <w:rPr>
          <w:rFonts w:hint="eastAsia" w:ascii="仿宋" w:hAnsi="仿宋" w:eastAsia="仿宋" w:cs="仿宋"/>
          <w:sz w:val="28"/>
          <w:szCs w:val="28"/>
          <w:highlight w:val="none"/>
          <w:lang w:val="en-US" w:eastAsia="zh-CN"/>
        </w:rPr>
        <w:t>14</w:t>
      </w:r>
      <w:r>
        <w:rPr>
          <w:rFonts w:hint="eastAsia" w:ascii="仿宋" w:hAnsi="仿宋" w:eastAsia="仿宋" w:cs="仿宋"/>
          <w:sz w:val="28"/>
          <w:szCs w:val="28"/>
          <w:highlight w:val="none"/>
        </w:rPr>
        <w:t>分，得</w:t>
      </w:r>
      <w:r>
        <w:rPr>
          <w:rFonts w:hint="eastAsia" w:ascii="仿宋" w:hAnsi="仿宋" w:eastAsia="仿宋" w:cs="仿宋"/>
          <w:sz w:val="28"/>
          <w:szCs w:val="28"/>
        </w:rPr>
        <w:t>分率</w:t>
      </w:r>
      <w:r>
        <w:rPr>
          <w:rFonts w:hint="eastAsia" w:ascii="仿宋" w:hAnsi="仿宋" w:eastAsia="仿宋" w:cs="仿宋"/>
          <w:sz w:val="28"/>
          <w:szCs w:val="28"/>
          <w:lang w:val="en-US" w:eastAsia="zh-CN"/>
        </w:rPr>
        <w:t>50</w:t>
      </w:r>
      <w:r>
        <w:rPr>
          <w:rFonts w:hint="eastAsia" w:ascii="仿宋" w:hAnsi="仿宋" w:eastAsia="仿宋" w:cs="仿宋"/>
          <w:sz w:val="28"/>
          <w:szCs w:val="28"/>
        </w:rPr>
        <w:t>%。项目资金</w:t>
      </w:r>
      <w:r>
        <w:rPr>
          <w:rFonts w:hint="eastAsia" w:ascii="仿宋" w:hAnsi="仿宋" w:eastAsia="仿宋" w:cs="仿宋"/>
          <w:sz w:val="28"/>
          <w:szCs w:val="28"/>
          <w:lang w:val="en-US" w:eastAsia="zh-CN"/>
        </w:rPr>
        <w:t>未能</w:t>
      </w:r>
      <w:r>
        <w:rPr>
          <w:rFonts w:hint="eastAsia" w:ascii="仿宋" w:hAnsi="仿宋" w:eastAsia="仿宋" w:cs="仿宋"/>
          <w:sz w:val="28"/>
          <w:szCs w:val="28"/>
        </w:rPr>
        <w:t>及时足额拨付到位，资金拨付具有</w:t>
      </w:r>
      <w:r>
        <w:rPr>
          <w:rFonts w:hint="eastAsia" w:ascii="仿宋" w:hAnsi="仿宋" w:eastAsia="仿宋" w:cs="仿宋"/>
          <w:sz w:val="28"/>
          <w:szCs w:val="28"/>
          <w:lang w:val="en-US" w:eastAsia="zh-CN"/>
        </w:rPr>
        <w:t>未能提供</w:t>
      </w:r>
      <w:r>
        <w:rPr>
          <w:rFonts w:hint="eastAsia" w:ascii="仿宋" w:hAnsi="仿宋" w:eastAsia="仿宋" w:cs="仿宋"/>
          <w:sz w:val="28"/>
          <w:szCs w:val="28"/>
        </w:rPr>
        <w:t>完整的审批程序，</w:t>
      </w:r>
      <w:r>
        <w:rPr>
          <w:rFonts w:hint="eastAsia" w:ascii="仿宋" w:hAnsi="仿宋" w:eastAsia="仿宋" w:cs="仿宋"/>
          <w:sz w:val="28"/>
          <w:szCs w:val="28"/>
          <w:lang w:val="en-US" w:eastAsia="zh-CN"/>
        </w:rPr>
        <w:t>资金链不太连续无法分析</w:t>
      </w:r>
      <w:r>
        <w:rPr>
          <w:rFonts w:hint="eastAsia" w:ascii="仿宋" w:hAnsi="仿宋" w:eastAsia="仿宋" w:cs="仿宋"/>
          <w:sz w:val="28"/>
          <w:szCs w:val="28"/>
        </w:rPr>
        <w:t>资金使用合规</w:t>
      </w:r>
      <w:r>
        <w:rPr>
          <w:rFonts w:hint="eastAsia" w:ascii="仿宋" w:hAnsi="仿宋" w:eastAsia="仿宋" w:cs="仿宋"/>
          <w:sz w:val="28"/>
          <w:szCs w:val="28"/>
          <w:lang w:val="en-US" w:eastAsia="zh-CN"/>
        </w:rPr>
        <w:t>性</w:t>
      </w:r>
      <w:r>
        <w:rPr>
          <w:rFonts w:hint="eastAsia" w:ascii="仿宋" w:hAnsi="仿宋" w:eastAsia="仿宋" w:cs="仿宋"/>
          <w:sz w:val="28"/>
          <w:szCs w:val="28"/>
        </w:rPr>
        <w:t>，项目建立了财务及业务管理制度，</w:t>
      </w:r>
      <w:r>
        <w:rPr>
          <w:rFonts w:hint="eastAsia" w:ascii="仿宋" w:hAnsi="仿宋" w:eastAsia="仿宋" w:cs="仿宋"/>
          <w:sz w:val="28"/>
          <w:szCs w:val="28"/>
          <w:lang w:val="en-US" w:eastAsia="zh-CN"/>
        </w:rPr>
        <w:t>在执行</w:t>
      </w:r>
      <w:r>
        <w:rPr>
          <w:rFonts w:hint="eastAsia" w:ascii="仿宋" w:hAnsi="仿宋" w:eastAsia="仿宋" w:cs="仿宋"/>
          <w:sz w:val="28"/>
          <w:szCs w:val="28"/>
        </w:rPr>
        <w:t>相关制度</w:t>
      </w:r>
      <w:r>
        <w:rPr>
          <w:rFonts w:hint="eastAsia" w:ascii="仿宋" w:hAnsi="仿宋" w:eastAsia="仿宋" w:cs="仿宋"/>
          <w:sz w:val="28"/>
          <w:szCs w:val="28"/>
          <w:lang w:val="en-US" w:eastAsia="zh-CN"/>
        </w:rPr>
        <w:t>时出现一定的偏差</w:t>
      </w:r>
      <w:r>
        <w:rPr>
          <w:rFonts w:hint="eastAsia" w:ascii="仿宋" w:hAnsi="仿宋" w:eastAsia="仿宋" w:cs="仿宋"/>
          <w:sz w:val="28"/>
          <w:szCs w:val="28"/>
        </w:rPr>
        <w:t>。绩效自评内容不够完整，</w:t>
      </w:r>
      <w:r>
        <w:rPr>
          <w:rFonts w:hint="eastAsia" w:ascii="仿宋" w:hAnsi="仿宋" w:eastAsia="仿宋" w:cs="仿宋"/>
          <w:sz w:val="28"/>
          <w:szCs w:val="28"/>
          <w:lang w:val="en-US" w:eastAsia="zh-CN"/>
        </w:rPr>
        <w:t>拨付款不及时，准确性要加强，</w:t>
      </w:r>
      <w:r>
        <w:rPr>
          <w:rFonts w:hint="eastAsia" w:ascii="仿宋" w:hAnsi="仿宋" w:eastAsia="仿宋" w:cs="仿宋"/>
          <w:sz w:val="28"/>
          <w:szCs w:val="28"/>
        </w:rPr>
        <w:t>数据填写不够规范，自评结论不真实，</w:t>
      </w:r>
      <w:bookmarkStart w:id="11" w:name="_Hlk80221096"/>
      <w:r>
        <w:rPr>
          <w:rFonts w:hint="eastAsia" w:ascii="仿宋" w:hAnsi="仿宋" w:eastAsia="仿宋" w:cs="仿宋"/>
          <w:sz w:val="28"/>
          <w:szCs w:val="28"/>
        </w:rPr>
        <w:t>未能真实反映项目执行情况</w:t>
      </w:r>
      <w:bookmarkEnd w:id="11"/>
      <w:r>
        <w:rPr>
          <w:rFonts w:hint="eastAsia" w:ascii="仿宋" w:hAnsi="仿宋" w:eastAsia="仿宋" w:cs="仿宋"/>
          <w:sz w:val="28"/>
          <w:szCs w:val="28"/>
        </w:rPr>
        <w:t>。</w:t>
      </w:r>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12" w:name="_Toc27095"/>
      <w:r>
        <w:rPr>
          <w:rFonts w:hint="eastAsia" w:ascii="仿宋" w:hAnsi="仿宋" w:eastAsia="仿宋" w:cs="仿宋"/>
          <w:sz w:val="28"/>
          <w:szCs w:val="28"/>
        </w:rPr>
        <w:t>（三）产出指标分析</w:t>
      </w:r>
      <w:bookmarkEnd w:id="12"/>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highlight w:val="yellow"/>
          <w:lang w:eastAsia="zh-CN"/>
        </w:rPr>
      </w:pPr>
      <w:r>
        <w:rPr>
          <w:rFonts w:hint="eastAsia" w:ascii="仿宋" w:hAnsi="仿宋" w:eastAsia="仿宋" w:cs="仿宋"/>
          <w:sz w:val="28"/>
          <w:szCs w:val="28"/>
        </w:rPr>
        <w:t>该指标分</w:t>
      </w:r>
      <w:r>
        <w:rPr>
          <w:rFonts w:hint="eastAsia" w:ascii="仿宋" w:hAnsi="仿宋" w:eastAsia="仿宋" w:cs="仿宋"/>
          <w:sz w:val="28"/>
          <w:szCs w:val="28"/>
          <w:highlight w:val="none"/>
        </w:rPr>
        <w:t>值2</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分，得分</w:t>
      </w: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分</w:t>
      </w:r>
      <w:r>
        <w:rPr>
          <w:rFonts w:hint="eastAsia" w:ascii="仿宋" w:hAnsi="仿宋" w:eastAsia="仿宋" w:cs="仿宋"/>
          <w:sz w:val="28"/>
          <w:szCs w:val="28"/>
        </w:rPr>
        <w:t>，得分率</w:t>
      </w:r>
      <w:r>
        <w:rPr>
          <w:rFonts w:hint="eastAsia" w:ascii="仿宋" w:hAnsi="仿宋" w:eastAsia="仿宋" w:cs="仿宋"/>
          <w:sz w:val="28"/>
          <w:szCs w:val="28"/>
          <w:lang w:val="en-US" w:eastAsia="zh-CN"/>
        </w:rPr>
        <w:t>54.5</w:t>
      </w:r>
      <w:r>
        <w:rPr>
          <w:rFonts w:hint="eastAsia" w:ascii="仿宋" w:hAnsi="仿宋" w:eastAsia="仿宋" w:cs="仿宋"/>
          <w:sz w:val="28"/>
          <w:szCs w:val="28"/>
        </w:rPr>
        <w:t>%。全县</w:t>
      </w:r>
      <w:r>
        <w:rPr>
          <w:rFonts w:hint="eastAsia" w:ascii="仿宋" w:hAnsi="仿宋" w:eastAsia="仿宋" w:cs="仿宋"/>
          <w:sz w:val="28"/>
          <w:szCs w:val="28"/>
          <w:lang w:val="en-US" w:eastAsia="zh-CN"/>
        </w:rPr>
        <w:t>动员多次宣传春节期间支持企业稳产留工奖补政策</w:t>
      </w:r>
      <w:r>
        <w:rPr>
          <w:rFonts w:hint="eastAsia" w:ascii="仿宋" w:hAnsi="仿宋" w:eastAsia="仿宋" w:cs="仿宋"/>
          <w:sz w:val="28"/>
          <w:szCs w:val="28"/>
          <w:lang w:eastAsia="zh-CN"/>
        </w:rPr>
        <w:t>，</w:t>
      </w:r>
      <w:r>
        <w:rPr>
          <w:rFonts w:hint="eastAsia" w:ascii="仿宋" w:hAnsi="仿宋" w:eastAsia="仿宋" w:cs="仿宋"/>
          <w:sz w:val="28"/>
          <w:szCs w:val="28"/>
        </w:rPr>
        <w:t>各项任务</w:t>
      </w:r>
      <w:r>
        <w:rPr>
          <w:rFonts w:hint="eastAsia" w:ascii="仿宋" w:hAnsi="仿宋" w:eastAsia="仿宋" w:cs="仿宋"/>
          <w:sz w:val="28"/>
          <w:szCs w:val="28"/>
          <w:lang w:val="en-US" w:eastAsia="zh-CN"/>
        </w:rPr>
        <w:t>也能</w:t>
      </w:r>
      <w:r>
        <w:rPr>
          <w:rFonts w:hint="eastAsia" w:ascii="仿宋" w:hAnsi="仿宋" w:eastAsia="仿宋" w:cs="仿宋"/>
          <w:sz w:val="28"/>
          <w:szCs w:val="28"/>
        </w:rPr>
        <w:t>完成</w:t>
      </w:r>
      <w:r>
        <w:rPr>
          <w:rFonts w:hint="eastAsia" w:ascii="仿宋" w:hAnsi="仿宋" w:eastAsia="仿宋" w:cs="仿宋"/>
          <w:sz w:val="28"/>
          <w:szCs w:val="28"/>
          <w:lang w:eastAsia="zh-CN"/>
        </w:rPr>
        <w:t>，</w:t>
      </w:r>
      <w:r>
        <w:rPr>
          <w:rFonts w:hint="eastAsia" w:ascii="仿宋" w:hAnsi="仿宋" w:eastAsia="仿宋" w:cs="仿宋"/>
          <w:sz w:val="28"/>
          <w:szCs w:val="28"/>
        </w:rPr>
        <w:t>预算执行完成率</w:t>
      </w:r>
      <w:r>
        <w:rPr>
          <w:rFonts w:hint="eastAsia" w:ascii="仿宋" w:hAnsi="仿宋" w:eastAsia="仿宋" w:cs="仿宋"/>
          <w:sz w:val="28"/>
          <w:szCs w:val="28"/>
          <w:lang w:val="en-US" w:eastAsia="zh-CN"/>
        </w:rPr>
        <w:t>100%</w:t>
      </w:r>
      <w:r>
        <w:rPr>
          <w:rFonts w:hint="eastAsia" w:ascii="仿宋" w:hAnsi="仿宋" w:eastAsia="仿宋" w:cs="仿宋"/>
          <w:sz w:val="28"/>
          <w:szCs w:val="28"/>
          <w:lang w:eastAsia="zh-CN"/>
        </w:rPr>
        <w:t>，</w:t>
      </w:r>
      <w:r>
        <w:rPr>
          <w:rFonts w:hint="eastAsia" w:ascii="仿宋" w:hAnsi="仿宋" w:eastAsia="仿宋" w:cs="仿宋"/>
          <w:sz w:val="28"/>
          <w:szCs w:val="28"/>
        </w:rPr>
        <w:t>主要</w:t>
      </w:r>
      <w:r>
        <w:rPr>
          <w:rFonts w:hint="eastAsia" w:ascii="仿宋" w:hAnsi="仿宋" w:eastAsia="仿宋" w:cs="仿宋"/>
          <w:sz w:val="28"/>
          <w:szCs w:val="28"/>
          <w:lang w:eastAsia="zh-CN"/>
        </w:rPr>
        <w:t>扣分原因</w:t>
      </w:r>
      <w:r>
        <w:rPr>
          <w:rFonts w:hint="eastAsia" w:ascii="仿宋" w:hAnsi="仿宋" w:eastAsia="仿宋" w:cs="仿宋"/>
          <w:sz w:val="28"/>
          <w:szCs w:val="28"/>
        </w:rPr>
        <w:t>在</w:t>
      </w:r>
      <w:r>
        <w:rPr>
          <w:rFonts w:hint="eastAsia" w:ascii="仿宋" w:hAnsi="仿宋" w:eastAsia="仿宋" w:cs="仿宋"/>
          <w:sz w:val="28"/>
          <w:szCs w:val="28"/>
          <w:lang w:val="en-US" w:eastAsia="zh-CN"/>
        </w:rPr>
        <w:t>拨付款不及时，流程不清晰，未设定具体目标无法分析完成情况</w:t>
      </w:r>
      <w:r>
        <w:rPr>
          <w:rFonts w:hint="eastAsia" w:ascii="仿宋" w:hAnsi="仿宋" w:eastAsia="仿宋" w:cs="仿宋"/>
          <w:sz w:val="28"/>
          <w:szCs w:val="28"/>
          <w:lang w:eastAsia="zh-CN"/>
        </w:rPr>
        <w:t>。</w:t>
      </w:r>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13" w:name="_Toc21880"/>
      <w:r>
        <w:rPr>
          <w:rFonts w:hint="eastAsia" w:ascii="仿宋" w:hAnsi="仿宋" w:eastAsia="仿宋" w:cs="仿宋"/>
          <w:sz w:val="28"/>
          <w:szCs w:val="28"/>
        </w:rPr>
        <w:t>（四）效益指标分析</w:t>
      </w:r>
      <w:bookmarkEnd w:id="13"/>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highlight w:val="none"/>
        </w:rPr>
        <w:t>该指标分值</w:t>
      </w:r>
      <w:r>
        <w:rPr>
          <w:rFonts w:hint="eastAsia" w:ascii="仿宋" w:hAnsi="仿宋" w:eastAsia="仿宋" w:cs="仿宋"/>
          <w:sz w:val="28"/>
          <w:szCs w:val="28"/>
          <w:highlight w:val="none"/>
          <w:lang w:val="en-US" w:eastAsia="zh-CN"/>
        </w:rPr>
        <w:t>20</w:t>
      </w:r>
      <w:r>
        <w:rPr>
          <w:rFonts w:hint="eastAsia" w:ascii="仿宋" w:hAnsi="仿宋" w:eastAsia="仿宋" w:cs="仿宋"/>
          <w:sz w:val="28"/>
          <w:szCs w:val="28"/>
          <w:highlight w:val="none"/>
        </w:rPr>
        <w:t>分，得分</w:t>
      </w:r>
      <w:r>
        <w:rPr>
          <w:rFonts w:hint="eastAsia" w:ascii="仿宋" w:hAnsi="仿宋" w:eastAsia="仿宋" w:cs="仿宋"/>
          <w:sz w:val="28"/>
          <w:szCs w:val="28"/>
          <w:highlight w:val="none"/>
          <w:lang w:val="en-US" w:eastAsia="zh-CN"/>
        </w:rPr>
        <w:t>11</w:t>
      </w:r>
      <w:r>
        <w:rPr>
          <w:rFonts w:hint="eastAsia" w:ascii="仿宋" w:hAnsi="仿宋" w:eastAsia="仿宋" w:cs="仿宋"/>
          <w:sz w:val="28"/>
          <w:szCs w:val="28"/>
          <w:highlight w:val="none"/>
        </w:rPr>
        <w:t>分，得分率</w:t>
      </w:r>
      <w:r>
        <w:rPr>
          <w:rFonts w:hint="eastAsia" w:ascii="仿宋" w:hAnsi="仿宋" w:eastAsia="仿宋" w:cs="仿宋"/>
          <w:sz w:val="28"/>
          <w:szCs w:val="28"/>
          <w:highlight w:val="none"/>
          <w:lang w:val="en-US" w:eastAsia="zh-CN"/>
        </w:rPr>
        <w:t>55.00</w:t>
      </w:r>
      <w:r>
        <w:rPr>
          <w:rFonts w:hint="eastAsia" w:ascii="仿宋" w:hAnsi="仿宋" w:eastAsia="仿宋" w:cs="仿宋"/>
          <w:sz w:val="28"/>
          <w:szCs w:val="28"/>
          <w:highlight w:val="none"/>
        </w:rPr>
        <w:t>%。通过</w:t>
      </w:r>
      <w:r>
        <w:rPr>
          <w:rFonts w:hint="eastAsia" w:ascii="仿宋" w:hAnsi="仿宋" w:eastAsia="仿宋" w:cs="仿宋"/>
          <w:sz w:val="28"/>
          <w:szCs w:val="28"/>
          <w:highlight w:val="none"/>
          <w:lang w:val="en-US" w:eastAsia="zh-CN"/>
        </w:rPr>
        <w:t>项目实</w:t>
      </w:r>
      <w:r>
        <w:rPr>
          <w:rFonts w:hint="eastAsia" w:ascii="仿宋" w:hAnsi="仿宋" w:eastAsia="仿宋" w:cs="仿宋"/>
          <w:color w:val="333333"/>
          <w:kern w:val="0"/>
          <w:sz w:val="28"/>
          <w:szCs w:val="28"/>
          <w:highlight w:val="none"/>
          <w:lang w:val="en-US" w:eastAsia="zh-CN"/>
        </w:rPr>
        <w:t>施企业稳产与留蚌职工达到预期效果</w:t>
      </w:r>
      <w:r>
        <w:rPr>
          <w:rFonts w:hint="eastAsia" w:ascii="仿宋" w:hAnsi="仿宋" w:eastAsia="仿宋" w:cs="仿宋"/>
          <w:color w:val="333333"/>
          <w:kern w:val="0"/>
          <w:sz w:val="28"/>
          <w:szCs w:val="28"/>
          <w:highlight w:val="none"/>
        </w:rPr>
        <w:t>，</w:t>
      </w:r>
      <w:r>
        <w:rPr>
          <w:rFonts w:hint="eastAsia" w:ascii="仿宋" w:hAnsi="仿宋" w:eastAsia="仿宋" w:cs="仿宋"/>
          <w:color w:val="333333"/>
          <w:kern w:val="0"/>
          <w:sz w:val="28"/>
          <w:szCs w:val="28"/>
          <w:highlight w:val="none"/>
          <w:lang w:val="en-US" w:eastAsia="zh-CN"/>
        </w:rPr>
        <w:t>达到或超过去年营业收入</w:t>
      </w:r>
      <w:r>
        <w:rPr>
          <w:rFonts w:hint="eastAsia" w:ascii="仿宋" w:hAnsi="仿宋" w:eastAsia="仿宋" w:cs="仿宋"/>
          <w:color w:val="333333"/>
          <w:kern w:val="0"/>
          <w:sz w:val="28"/>
          <w:szCs w:val="28"/>
          <w:lang w:val="en-US" w:eastAsia="zh-CN"/>
        </w:rPr>
        <w:t>10%以上企业有116家。</w:t>
      </w:r>
      <w:r>
        <w:rPr>
          <w:rFonts w:hint="eastAsia" w:ascii="仿宋" w:hAnsi="仿宋" w:eastAsia="仿宋" w:cs="仿宋"/>
          <w:color w:val="333333"/>
          <w:kern w:val="0"/>
          <w:sz w:val="28"/>
          <w:szCs w:val="28"/>
          <w:highlight w:val="none"/>
        </w:rPr>
        <w:t>营造</w:t>
      </w:r>
      <w:r>
        <w:rPr>
          <w:rFonts w:hint="eastAsia" w:ascii="仿宋" w:hAnsi="仿宋" w:eastAsia="仿宋" w:cs="仿宋"/>
          <w:color w:val="333333"/>
          <w:kern w:val="0"/>
          <w:sz w:val="28"/>
          <w:szCs w:val="28"/>
          <w:highlight w:val="none"/>
          <w:lang w:eastAsia="zh-CN"/>
        </w:rPr>
        <w:t>了</w:t>
      </w:r>
      <w:r>
        <w:rPr>
          <w:rFonts w:hint="eastAsia" w:ascii="仿宋" w:hAnsi="仿宋" w:eastAsia="仿宋" w:cs="仿宋"/>
          <w:color w:val="333333"/>
          <w:kern w:val="0"/>
          <w:sz w:val="28"/>
          <w:szCs w:val="28"/>
          <w:highlight w:val="none"/>
        </w:rPr>
        <w:t>美好、积极向上的城市氛围，</w:t>
      </w:r>
      <w:r>
        <w:rPr>
          <w:rFonts w:hint="eastAsia" w:ascii="仿宋" w:hAnsi="仿宋" w:eastAsia="仿宋" w:cs="仿宋"/>
          <w:color w:val="333333"/>
          <w:kern w:val="0"/>
          <w:sz w:val="28"/>
          <w:szCs w:val="28"/>
          <w:highlight w:val="none"/>
          <w:lang w:val="en-US" w:eastAsia="zh-CN"/>
        </w:rPr>
        <w:t>因没有设定具体标准不好判断对</w:t>
      </w:r>
      <w:r>
        <w:rPr>
          <w:rFonts w:hint="eastAsia" w:ascii="仿宋" w:hAnsi="仿宋" w:eastAsia="仿宋" w:cs="仿宋"/>
          <w:color w:val="333333"/>
          <w:kern w:val="0"/>
          <w:sz w:val="28"/>
          <w:szCs w:val="28"/>
          <w:highlight w:val="none"/>
        </w:rPr>
        <w:t>社会效益</w:t>
      </w:r>
      <w:r>
        <w:rPr>
          <w:rFonts w:hint="eastAsia" w:ascii="仿宋" w:hAnsi="仿宋" w:eastAsia="仿宋" w:cs="仿宋"/>
          <w:color w:val="333333"/>
          <w:kern w:val="0"/>
          <w:sz w:val="28"/>
          <w:szCs w:val="28"/>
          <w:highlight w:val="none"/>
          <w:lang w:eastAsia="zh-CN"/>
        </w:rPr>
        <w:t>、</w:t>
      </w:r>
      <w:r>
        <w:rPr>
          <w:rFonts w:hint="eastAsia" w:ascii="仿宋" w:hAnsi="仿宋" w:eastAsia="仿宋" w:cs="仿宋"/>
          <w:color w:val="333333"/>
          <w:kern w:val="0"/>
          <w:sz w:val="28"/>
          <w:szCs w:val="28"/>
          <w:highlight w:val="none"/>
          <w:lang w:val="en-US" w:eastAsia="zh-CN"/>
        </w:rPr>
        <w:t>经济效益影响程度</w:t>
      </w:r>
      <w:r>
        <w:rPr>
          <w:rFonts w:hint="eastAsia" w:ascii="仿宋" w:hAnsi="仿宋" w:eastAsia="仿宋" w:cs="仿宋"/>
          <w:color w:val="333333"/>
          <w:kern w:val="0"/>
          <w:sz w:val="28"/>
          <w:szCs w:val="28"/>
        </w:rPr>
        <w:t>，</w:t>
      </w:r>
      <w:r>
        <w:rPr>
          <w:rFonts w:hint="eastAsia" w:ascii="仿宋" w:hAnsi="仿宋" w:eastAsia="仿宋" w:cs="仿宋"/>
          <w:color w:val="333333"/>
          <w:kern w:val="0"/>
          <w:sz w:val="28"/>
          <w:szCs w:val="28"/>
          <w:lang w:val="en-US" w:eastAsia="zh-CN"/>
        </w:rPr>
        <w:t>但也</w:t>
      </w:r>
      <w:r>
        <w:rPr>
          <w:rFonts w:hint="eastAsia" w:ascii="仿宋" w:hAnsi="仿宋" w:eastAsia="仿宋" w:cs="仿宋"/>
          <w:color w:val="333333"/>
          <w:kern w:val="0"/>
          <w:sz w:val="28"/>
          <w:szCs w:val="28"/>
        </w:rPr>
        <w:t>取得</w:t>
      </w:r>
      <w:r>
        <w:rPr>
          <w:rFonts w:hint="eastAsia" w:ascii="仿宋" w:hAnsi="仿宋" w:eastAsia="仿宋" w:cs="仿宋"/>
          <w:color w:val="333333"/>
          <w:kern w:val="0"/>
          <w:sz w:val="28"/>
          <w:szCs w:val="28"/>
          <w:lang w:val="en-US" w:eastAsia="zh-CN"/>
        </w:rPr>
        <w:t>了一定</w:t>
      </w:r>
      <w:r>
        <w:rPr>
          <w:rFonts w:hint="eastAsia" w:ascii="仿宋" w:hAnsi="仿宋" w:eastAsia="仿宋" w:cs="仿宋"/>
          <w:color w:val="333333"/>
          <w:kern w:val="0"/>
          <w:sz w:val="28"/>
          <w:szCs w:val="28"/>
        </w:rPr>
        <w:t>的</w:t>
      </w:r>
      <w:r>
        <w:rPr>
          <w:rFonts w:hint="eastAsia" w:ascii="仿宋" w:hAnsi="仿宋" w:eastAsia="仿宋" w:cs="仿宋"/>
          <w:color w:val="333333"/>
          <w:kern w:val="0"/>
          <w:sz w:val="28"/>
          <w:szCs w:val="28"/>
          <w:lang w:val="en-US" w:eastAsia="zh-CN"/>
        </w:rPr>
        <w:t>社会、经济</w:t>
      </w:r>
      <w:r>
        <w:rPr>
          <w:rFonts w:hint="eastAsia" w:ascii="仿宋" w:hAnsi="仿宋" w:eastAsia="仿宋" w:cs="仿宋"/>
          <w:color w:val="333333"/>
          <w:kern w:val="0"/>
          <w:sz w:val="28"/>
          <w:szCs w:val="28"/>
        </w:rPr>
        <w:t>效益；</w:t>
      </w:r>
      <w:r>
        <w:rPr>
          <w:rFonts w:hint="eastAsia" w:ascii="仿宋" w:hAnsi="仿宋" w:eastAsia="仿宋" w:cs="仿宋"/>
          <w:color w:val="333333"/>
          <w:kern w:val="0"/>
          <w:sz w:val="28"/>
          <w:szCs w:val="28"/>
          <w:lang w:val="en-US" w:eastAsia="zh-CN"/>
        </w:rPr>
        <w:t>关注企业</w:t>
      </w:r>
      <w:r>
        <w:rPr>
          <w:rFonts w:hint="eastAsia" w:ascii="仿宋" w:hAnsi="仿宋" w:eastAsia="仿宋" w:cs="仿宋"/>
          <w:color w:val="333333"/>
          <w:kern w:val="0"/>
          <w:sz w:val="28"/>
          <w:szCs w:val="28"/>
        </w:rPr>
        <w:t>工作常态化，</w:t>
      </w:r>
      <w:r>
        <w:rPr>
          <w:rFonts w:hint="eastAsia" w:ascii="仿宋" w:hAnsi="仿宋" w:eastAsia="仿宋" w:cs="仿宋"/>
          <w:color w:val="333333"/>
          <w:kern w:val="0"/>
          <w:sz w:val="28"/>
          <w:szCs w:val="28"/>
          <w:lang w:val="en-US" w:eastAsia="zh-CN"/>
        </w:rPr>
        <w:t>企业对政策</w:t>
      </w:r>
      <w:r>
        <w:rPr>
          <w:rFonts w:hint="eastAsia" w:ascii="仿宋" w:hAnsi="仿宋" w:eastAsia="仿宋" w:cs="仿宋"/>
          <w:color w:val="333333"/>
          <w:kern w:val="0"/>
          <w:sz w:val="28"/>
          <w:szCs w:val="28"/>
        </w:rPr>
        <w:t>满意度高</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但兑现不及时导致满意度下降</w:t>
      </w:r>
      <w:r>
        <w:rPr>
          <w:rFonts w:hint="eastAsia" w:ascii="仿宋" w:hAnsi="仿宋" w:eastAsia="仿宋" w:cs="仿宋"/>
          <w:color w:val="333333"/>
          <w:kern w:val="0"/>
          <w:sz w:val="28"/>
          <w:szCs w:val="28"/>
        </w:rPr>
        <w:t>。</w:t>
      </w:r>
    </w:p>
    <w:p>
      <w:pPr>
        <w:keepNext w:val="0"/>
        <w:keepLines w:val="0"/>
        <w:pageBreakBefore w:val="0"/>
        <w:kinsoku/>
        <w:wordWrap/>
        <w:overflowPunct/>
        <w:topLinePunct w:val="0"/>
        <w:autoSpaceDE/>
        <w:autoSpaceDN/>
        <w:bidi w:val="0"/>
        <w:adjustRightInd/>
        <w:snapToGrid/>
        <w:spacing w:line="240" w:lineRule="auto"/>
        <w:ind w:firstLine="281" w:firstLineChars="100"/>
        <w:outlineLvl w:val="0"/>
        <w:rPr>
          <w:rFonts w:hint="eastAsia" w:ascii="仿宋" w:hAnsi="仿宋" w:eastAsia="仿宋" w:cs="仿宋"/>
          <w:b/>
          <w:bCs w:val="0"/>
          <w:sz w:val="28"/>
          <w:szCs w:val="28"/>
        </w:rPr>
      </w:pPr>
      <w:bookmarkStart w:id="14" w:name="_Toc3128"/>
      <w:r>
        <w:rPr>
          <w:rFonts w:hint="eastAsia" w:ascii="仿宋" w:hAnsi="仿宋" w:eastAsia="仿宋" w:cs="仿宋"/>
          <w:b/>
          <w:bCs w:val="0"/>
          <w:sz w:val="28"/>
          <w:szCs w:val="28"/>
        </w:rPr>
        <w:t>五、主要经验及做法</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9" w:leftChars="33" w:firstLine="280" w:firstLineChars="100"/>
        <w:jc w:val="both"/>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为贯彻落实</w:t>
      </w:r>
      <w:r>
        <w:rPr>
          <w:rFonts w:hint="eastAsia" w:ascii="仿宋" w:hAnsi="仿宋" w:eastAsia="仿宋" w:cs="仿宋"/>
          <w:color w:val="333333"/>
          <w:kern w:val="0"/>
          <w:sz w:val="28"/>
          <w:szCs w:val="28"/>
        </w:rPr>
        <w:t>中央“六稳”“六保”决策部署，统筹推进2022年春节期间全市疫情防控和经济社会发展，全力做好企业稳产留工工作，</w:t>
      </w:r>
      <w:r>
        <w:rPr>
          <w:rFonts w:hint="eastAsia" w:ascii="仿宋" w:hAnsi="仿宋" w:eastAsia="仿宋" w:cs="仿宋"/>
          <w:color w:val="333333"/>
          <w:kern w:val="0"/>
          <w:sz w:val="28"/>
          <w:szCs w:val="28"/>
          <w:lang w:val="en-US" w:eastAsia="zh-CN"/>
        </w:rPr>
        <w:t>《蚌埠市经济和信息化局、蚌埠市人力资源和社会保障局、蚌埠市住房和城乡建设局、蚌埠市财政局</w:t>
      </w:r>
      <w:r>
        <w:rPr>
          <w:rFonts w:hint="eastAsia" w:ascii="仿宋" w:hAnsi="仿宋" w:eastAsia="仿宋" w:cs="仿宋"/>
          <w:color w:val="333333"/>
          <w:kern w:val="0"/>
          <w:sz w:val="28"/>
          <w:szCs w:val="28"/>
        </w:rPr>
        <w:t>关于蚌埠市2022 年春节期间支持企业稳产留工奖补措施的通知》</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蚌经信中小企业【2022】7号</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进一步规范我县奖补资金投入，充分发挥财政资金的扶持作用，支持重点项目不停工，促进县域经济持续健康发展，根据文件精神，领导重视等经验及时落实做法如下：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(一)成立“春节期间”奖补政策领导小组。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县政府成立“春节期间”奖补政策领导小组（以下简称领导小组)，各主要领导当组长与副组长亲自监督和落实。</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(二)“春节期间”奖补资金来源。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9" w:leftChars="33" w:firstLine="560" w:firstLineChars="200"/>
        <w:jc w:val="both"/>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由</w:t>
      </w:r>
      <w:r>
        <w:rPr>
          <w:rFonts w:hint="eastAsia" w:ascii="仿宋" w:hAnsi="仿宋" w:eastAsia="仿宋" w:cs="仿宋"/>
          <w:color w:val="333333"/>
          <w:kern w:val="0"/>
          <w:sz w:val="28"/>
          <w:szCs w:val="28"/>
          <w:lang w:val="en-US" w:eastAsia="zh-CN"/>
        </w:rPr>
        <w:t>怀远县经信局申请企业稳产与留工补助资金677.6万元，其中市级承担奖补资金203.28万元，本级承担奖补资金474.32万元</w:t>
      </w:r>
      <w:r>
        <w:rPr>
          <w:rFonts w:hint="eastAsia" w:ascii="仿宋" w:hAnsi="仿宋" w:eastAsia="仿宋" w:cs="仿宋"/>
          <w:color w:val="333333"/>
          <w:kern w:val="0"/>
          <w:sz w:val="28"/>
          <w:szCs w:val="28"/>
        </w:rPr>
        <w:t>。</w:t>
      </w:r>
      <w:r>
        <w:rPr>
          <w:rFonts w:hint="eastAsia" w:ascii="仿宋" w:hAnsi="仿宋" w:eastAsia="仿宋" w:cs="仿宋"/>
          <w:color w:val="333333"/>
          <w:kern w:val="0"/>
          <w:sz w:val="28"/>
          <w:szCs w:val="28"/>
          <w:lang w:val="en-US" w:eastAsia="zh-CN"/>
        </w:rPr>
        <w:t>怀远县财政局根据县长会议精神保障奖补资金项目能按时拨付。</w:t>
      </w:r>
    </w:p>
    <w:p>
      <w:pPr>
        <w:pStyle w:val="2"/>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（三）资金使用范围</w:t>
      </w:r>
    </w:p>
    <w:p>
      <w:pPr>
        <w:pStyle w:val="2"/>
        <w:keepNext w:val="0"/>
        <w:keepLines w:val="0"/>
        <w:pageBreakBefore w:val="0"/>
        <w:numPr>
          <w:ilvl w:val="0"/>
          <w:numId w:val="0"/>
        </w:numPr>
        <w:kinsoku/>
        <w:wordWrap/>
        <w:overflowPunct/>
        <w:topLinePunct w:val="0"/>
        <w:autoSpaceDE/>
        <w:autoSpaceDN/>
        <w:bidi w:val="0"/>
        <w:adjustRightInd/>
        <w:snapToGrid/>
        <w:spacing w:line="240" w:lineRule="auto"/>
        <w:ind w:left="69" w:leftChars="33" w:firstLine="0" w:firstLineChars="0"/>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春节期间”奖补资金使用范围：对2022年第一季度营业收入较去年同期增长10%及以上的，分别给予每户最高5-30万的补贴。对2022年1月26日（小年）至2月9日期间留蚌，且在蚌缴纳社会保险的非我市户籍员工，按照每人1000元的标准发放一次性过节补贴。为了确保规范使用资金，会议上也明确资金使用范围，保证专款专用。</w:t>
      </w:r>
    </w:p>
    <w:p>
      <w:pPr>
        <w:pStyle w:val="2"/>
        <w:keepNext w:val="0"/>
        <w:keepLines w:val="0"/>
        <w:pageBreakBefore w:val="0"/>
        <w:numPr>
          <w:ilvl w:val="0"/>
          <w:numId w:val="0"/>
        </w:numPr>
        <w:kinsoku/>
        <w:wordWrap/>
        <w:overflowPunct/>
        <w:topLinePunct w:val="0"/>
        <w:autoSpaceDE/>
        <w:autoSpaceDN/>
        <w:bidi w:val="0"/>
        <w:adjustRightInd/>
        <w:snapToGrid/>
        <w:spacing w:line="240" w:lineRule="auto"/>
        <w:ind w:left="-210" w:leftChars="-100"/>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 xml:space="preserve">    （四）各职能部门协调联动，有效的促进项目资金的准确落实。</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62" w:firstLineChars="200"/>
        <w:jc w:val="left"/>
        <w:rPr>
          <w:rFonts w:hint="eastAsia" w:ascii="仿宋" w:hAnsi="仿宋" w:eastAsia="仿宋" w:cs="仿宋"/>
          <w:color w:val="333333"/>
          <w:kern w:val="0"/>
          <w:sz w:val="28"/>
          <w:szCs w:val="28"/>
        </w:rPr>
      </w:pPr>
      <w:r>
        <w:rPr>
          <w:rFonts w:hint="eastAsia" w:ascii="仿宋" w:hAnsi="仿宋" w:eastAsia="仿宋" w:cs="仿宋"/>
          <w:b/>
          <w:bCs/>
          <w:color w:val="000000"/>
          <w:kern w:val="0"/>
          <w:sz w:val="28"/>
          <w:szCs w:val="28"/>
        </w:rPr>
        <w:t>六</w:t>
      </w:r>
      <w:r>
        <w:rPr>
          <w:rFonts w:hint="eastAsia" w:ascii="仿宋" w:hAnsi="仿宋" w:eastAsia="仿宋" w:cs="仿宋"/>
          <w:color w:val="000000"/>
          <w:kern w:val="0"/>
          <w:sz w:val="28"/>
          <w:szCs w:val="28"/>
        </w:rPr>
        <w:t>、</w:t>
      </w:r>
      <w:r>
        <w:rPr>
          <w:rFonts w:hint="eastAsia" w:ascii="仿宋" w:hAnsi="仿宋" w:eastAsia="仿宋" w:cs="仿宋"/>
          <w:b/>
          <w:bCs/>
          <w:color w:val="000000"/>
          <w:kern w:val="0"/>
          <w:sz w:val="28"/>
          <w:szCs w:val="28"/>
        </w:rPr>
        <w:t>项目存在的主要问题</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9" w:leftChars="33" w:firstLine="560" w:firstLineChars="200"/>
        <w:jc w:val="left"/>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一是</w:t>
      </w:r>
      <w:r>
        <w:rPr>
          <w:rFonts w:hint="eastAsia" w:ascii="仿宋" w:hAnsi="仿宋" w:eastAsia="仿宋" w:cs="仿宋"/>
          <w:color w:val="333333"/>
          <w:kern w:val="0"/>
          <w:sz w:val="28"/>
          <w:szCs w:val="28"/>
        </w:rPr>
        <w:t>绩效目标设置较为简单，</w:t>
      </w:r>
      <w:r>
        <w:rPr>
          <w:rFonts w:hint="eastAsia" w:ascii="仿宋" w:hAnsi="仿宋" w:eastAsia="仿宋" w:cs="仿宋"/>
          <w:color w:val="333333"/>
          <w:kern w:val="0"/>
          <w:sz w:val="28"/>
          <w:szCs w:val="28"/>
          <w:lang w:val="en-US" w:eastAsia="zh-CN"/>
        </w:rPr>
        <w:t>不能很好的体现工作的主次，抓不住工作重点，难以考核</w:t>
      </w:r>
      <w:r>
        <w:rPr>
          <w:rFonts w:hint="eastAsia" w:ascii="仿宋" w:hAnsi="仿宋" w:eastAsia="仿宋" w:cs="仿宋"/>
          <w:color w:val="333333"/>
          <w:kern w:val="0"/>
          <w:sz w:val="28"/>
          <w:szCs w:val="28"/>
        </w:rPr>
        <w:t>。</w:t>
      </w:r>
      <w:r>
        <w:rPr>
          <w:rFonts w:hint="eastAsia" w:ascii="仿宋" w:hAnsi="仿宋" w:eastAsia="仿宋" w:cs="仿宋"/>
          <w:color w:val="333333"/>
          <w:kern w:val="0"/>
          <w:sz w:val="28"/>
          <w:szCs w:val="28"/>
          <w:lang w:val="en-US" w:eastAsia="zh-CN"/>
        </w:rPr>
        <w:t>不能细化量化考核实际效果；</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9" w:leftChars="33" w:firstLine="560" w:firstLineChars="200"/>
        <w:jc w:val="left"/>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二是各项规章制度要完善，要制定并落实，所有申报资料要求全部是根据</w:t>
      </w:r>
      <w:r>
        <w:rPr>
          <w:rFonts w:hint="eastAsia" w:ascii="仿宋" w:hAnsi="仿宋" w:eastAsia="仿宋" w:cs="仿宋"/>
          <w:sz w:val="28"/>
          <w:szCs w:val="28"/>
          <w:lang w:val="en-US" w:eastAsia="zh-CN"/>
        </w:rPr>
        <w:t>《</w:t>
      </w:r>
      <w:r>
        <w:rPr>
          <w:rFonts w:hint="eastAsia" w:ascii="仿宋" w:hAnsi="仿宋" w:eastAsia="仿宋" w:cs="仿宋"/>
          <w:color w:val="333333"/>
          <w:kern w:val="0"/>
          <w:sz w:val="28"/>
          <w:szCs w:val="28"/>
          <w:lang w:val="en-US" w:eastAsia="zh-CN"/>
        </w:rPr>
        <w:t>蚌埠市经济和信息化局、蚌埠市人力资源和社会保障局、蚌埠市住房和城乡建设局、蚌埠市财政局</w:t>
      </w:r>
      <w:r>
        <w:rPr>
          <w:rFonts w:hint="eastAsia" w:ascii="仿宋" w:hAnsi="仿宋" w:eastAsia="仿宋" w:cs="仿宋"/>
          <w:color w:val="333333"/>
          <w:kern w:val="0"/>
          <w:sz w:val="28"/>
          <w:szCs w:val="28"/>
        </w:rPr>
        <w:t>关于蚌埠市2022 年春节期间支持企业稳产留工奖补措施的通知》</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蚌经信中小企业【2022】7号）文件规定来提供的，不能保证奖补资金何时落实到位，只看到有相关申请，事实上文件也规定资料收集时间与资金拨付截止时间，但没能准确到位，影响企业对政策实施的满意度。</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74" w:leftChars="83" w:firstLine="560" w:firstLineChars="20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三是加强内控流程的设置，从申请资料到复审都要经过所有岗位人员的审核，没见到怀远县财政何时转账支付到经信局，只看到经信局转账到符合规定的企业所在地的乡镇账户上，不能查看整个流程是否符合财务规定，时效性无法核对。</w:t>
      </w:r>
    </w:p>
    <w:p>
      <w:pPr>
        <w:pStyle w:val="2"/>
        <w:keepNext w:val="0"/>
        <w:keepLines w:val="0"/>
        <w:pageBreakBefore w:val="0"/>
        <w:widowControl w:val="0"/>
        <w:kinsoku/>
        <w:wordWrap/>
        <w:overflowPunct/>
        <w:topLinePunct w:val="0"/>
        <w:autoSpaceDE/>
        <w:autoSpaceDN/>
        <w:bidi w:val="0"/>
        <w:adjustRightInd/>
        <w:snapToGrid/>
        <w:spacing w:line="240" w:lineRule="auto"/>
        <w:ind w:left="174" w:leftChars="83" w:firstLine="560" w:firstLineChars="200"/>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四是监管环节不连贯，虽然筛选出符合条件的企业与留蚌员工，但没做到按文件规定及时拨付资金。后期怀远县经信局拨付到乡镇，但乡镇又不能及时转给企业，有的乡镇写情况说明说受网络影响所以转账时间受影响等情况。另外主管部门未能监督整个流程准确筛选企业与留蚌人员，导致部分人员出现不符合文件规定情况的出现，如财政局审核出一个单位上报上来的人员社保在蚌购买。</w:t>
      </w:r>
    </w:p>
    <w:p>
      <w:pPr>
        <w:pStyle w:val="2"/>
        <w:keepNext w:val="0"/>
        <w:keepLines w:val="0"/>
        <w:pageBreakBefore w:val="0"/>
        <w:widowControl w:val="0"/>
        <w:kinsoku/>
        <w:wordWrap/>
        <w:overflowPunct/>
        <w:topLinePunct w:val="0"/>
        <w:autoSpaceDE/>
        <w:autoSpaceDN/>
        <w:bidi w:val="0"/>
        <w:adjustRightInd/>
        <w:snapToGrid/>
        <w:spacing w:line="240" w:lineRule="auto"/>
        <w:ind w:left="174" w:leftChars="83" w:firstLine="560" w:firstLineChars="200"/>
        <w:textAlignment w:val="auto"/>
        <w:rPr>
          <w:rFonts w:hint="eastAsia" w:ascii="仿宋" w:hAnsi="仿宋" w:eastAsia="仿宋" w:cs="仿宋"/>
          <w:color w:val="333333"/>
          <w:kern w:val="0"/>
          <w:sz w:val="28"/>
          <w:szCs w:val="28"/>
          <w:lang w:val="en-US" w:eastAsia="zh-CN" w:bidi="ar-SA"/>
        </w:rPr>
      </w:pPr>
      <w:r>
        <w:rPr>
          <w:rFonts w:hint="eastAsia" w:ascii="仿宋" w:hAnsi="仿宋" w:eastAsia="仿宋" w:cs="仿宋"/>
          <w:color w:val="333333"/>
          <w:kern w:val="0"/>
          <w:sz w:val="28"/>
          <w:szCs w:val="28"/>
          <w:lang w:val="en-US" w:eastAsia="zh-CN" w:bidi="ar-SA"/>
        </w:rPr>
        <w:t>五</w:t>
      </w:r>
      <w:r>
        <w:rPr>
          <w:rFonts w:hint="eastAsia" w:ascii="仿宋" w:hAnsi="仿宋" w:eastAsia="仿宋" w:cs="仿宋"/>
          <w:color w:val="333333"/>
          <w:kern w:val="0"/>
          <w:sz w:val="28"/>
          <w:szCs w:val="28"/>
          <w:lang w:val="en-US" w:eastAsia="zh-CN"/>
        </w:rPr>
        <w:t>是落实通过四送一服、走访调研等形式来服务企业，没有制定具体标准和操作流程，很难把握住乡镇对企业的服务落实情况。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843" w:firstLineChars="300"/>
        <w:jc w:val="left"/>
        <w:rPr>
          <w:rFonts w:hint="eastAsia" w:ascii="仿宋" w:hAnsi="仿宋" w:eastAsia="仿宋" w:cs="仿宋"/>
          <w:b/>
          <w:bCs/>
          <w:color w:val="333333"/>
          <w:kern w:val="0"/>
          <w:sz w:val="28"/>
          <w:szCs w:val="28"/>
        </w:rPr>
      </w:pPr>
      <w:r>
        <w:rPr>
          <w:rFonts w:hint="eastAsia" w:ascii="仿宋" w:hAnsi="仿宋" w:eastAsia="仿宋" w:cs="仿宋"/>
          <w:b/>
          <w:bCs/>
          <w:color w:val="000000"/>
          <w:kern w:val="0"/>
          <w:sz w:val="28"/>
          <w:szCs w:val="28"/>
        </w:rPr>
        <w:t>七、有关建议</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350" w:leftChars="-100" w:hanging="560" w:hangingChars="200"/>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rPr>
        <w:t> </w:t>
      </w:r>
      <w:r>
        <w:rPr>
          <w:rFonts w:hint="eastAsia" w:ascii="仿宋" w:hAnsi="仿宋" w:eastAsia="仿宋" w:cs="仿宋"/>
          <w:color w:val="000000"/>
          <w:kern w:val="0"/>
          <w:sz w:val="28"/>
          <w:szCs w:val="28"/>
          <w:lang w:val="en-US" w:eastAsia="zh-CN"/>
        </w:rPr>
        <w:t xml:space="preserve">      </w:t>
      </w:r>
      <w:r>
        <w:rPr>
          <w:rFonts w:hint="eastAsia" w:ascii="仿宋" w:hAnsi="仿宋" w:eastAsia="仿宋" w:cs="仿宋"/>
          <w:sz w:val="28"/>
          <w:szCs w:val="28"/>
          <w:lang w:val="en-US" w:eastAsia="zh-CN"/>
        </w:rPr>
        <w:t>为进一步提高“春节期间”奖补资金使用效益，针对存在的问题，提出如下建议：</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210" w:leftChars="-100" w:firstLine="840" w:firstLineChars="3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一是完善绩效目标编制，细化绩效指标值；在编制绩效目标时，</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174" w:leftChars="83" w:firstLine="0" w:firstLineChars="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怀远县经信局应加强财务部门与项目实施部门之间的信息沟通，共同参与绩效目标编制，根据项目的实际情况、工作计划等合理设置绩效目标，细化量化指标值，便于项目绩效管理。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349" w:leftChars="166" w:firstLine="280" w:firstLine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二是加强业务条线管理，做好项目尽快落实，要根据文件规定来执行奖补项目资金支付，保质保量完成各项规定。带动地方经济效益持续发展。</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349" w:leftChars="166" w:firstLine="280" w:firstLine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三是强化内部流程制度的制定与落实。根据奖补申请到项目落实及后期的管理要制定一个具体的管理办法，完善财务制度，保证专款专用不准挪用项目资金。</w:t>
      </w:r>
    </w:p>
    <w:p>
      <w:pPr>
        <w:pStyle w:val="2"/>
        <w:keepNext w:val="0"/>
        <w:keepLines w:val="0"/>
        <w:pageBreakBefore w:val="0"/>
        <w:kinsoku/>
        <w:wordWrap/>
        <w:overflowPunct/>
        <w:topLinePunct w:val="0"/>
        <w:autoSpaceDE/>
        <w:autoSpaceDN/>
        <w:bidi w:val="0"/>
        <w:adjustRightInd/>
        <w:snapToGrid/>
        <w:spacing w:line="240" w:lineRule="auto"/>
        <w:ind w:left="349" w:leftChars="166" w:firstLine="280" w:firstLine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四是强化监管力度，规定的时间内必须严格执行文件精神，拨付资金及时准确兑现，不允许有各种理由资金到位及时性，否则影响满意度和政府的公信力。</w:t>
      </w:r>
    </w:p>
    <w:p>
      <w:pPr>
        <w:keepNext w:val="0"/>
        <w:keepLines w:val="0"/>
        <w:pageBreakBefore w:val="0"/>
        <w:kinsoku/>
        <w:wordWrap/>
        <w:overflowPunct/>
        <w:topLinePunct w:val="0"/>
        <w:autoSpaceDE/>
        <w:autoSpaceDN/>
        <w:bidi w:val="0"/>
        <w:adjustRightInd/>
        <w:snapToGrid/>
        <w:spacing w:line="240" w:lineRule="auto"/>
        <w:ind w:left="-210" w:leftChars="-100" w:firstLine="480" w:firstLineChars="200"/>
        <w:rPr>
          <w:rFonts w:ascii="楷体_GB2312" w:hAnsi="Times New Roman" w:eastAsia="楷体_GB2312" w:cs="Times New Roman"/>
          <w:sz w:val="24"/>
          <w:szCs w:val="24"/>
        </w:rPr>
      </w:pPr>
    </w:p>
    <w:p>
      <w:pPr>
        <w:pStyle w:val="2"/>
        <w:keepNext w:val="0"/>
        <w:keepLines w:val="0"/>
        <w:pageBreakBefore w:val="0"/>
        <w:kinsoku/>
        <w:wordWrap/>
        <w:overflowPunct/>
        <w:topLinePunct w:val="0"/>
        <w:autoSpaceDE/>
        <w:autoSpaceDN/>
        <w:bidi w:val="0"/>
        <w:adjustRightInd/>
        <w:snapToGrid/>
        <w:spacing w:line="240" w:lineRule="auto"/>
        <w:ind w:left="-210" w:leftChars="-100"/>
        <w:rPr>
          <w:rFonts w:ascii="楷体_GB2312" w:hAnsi="Times New Roman" w:eastAsia="楷体_GB2312" w:cs="Times New Roman"/>
          <w:sz w:val="24"/>
          <w:szCs w:val="24"/>
        </w:rPr>
      </w:pPr>
    </w:p>
    <w:p>
      <w:pPr>
        <w:pStyle w:val="2"/>
        <w:keepNext w:val="0"/>
        <w:keepLines w:val="0"/>
        <w:pageBreakBefore w:val="0"/>
        <w:kinsoku/>
        <w:wordWrap/>
        <w:overflowPunct/>
        <w:topLinePunct w:val="0"/>
        <w:autoSpaceDE/>
        <w:autoSpaceDN/>
        <w:bidi w:val="0"/>
        <w:adjustRightInd/>
        <w:snapToGrid/>
        <w:spacing w:line="240" w:lineRule="auto"/>
        <w:ind w:left="-210" w:leftChars="-100"/>
        <w:rPr>
          <w:rFonts w:ascii="楷体_GB2312" w:hAnsi="Times New Roman" w:eastAsia="楷体_GB2312" w:cs="Times New Roman"/>
          <w:sz w:val="24"/>
          <w:szCs w:val="24"/>
        </w:rPr>
      </w:pPr>
    </w:p>
    <w:p>
      <w:pPr>
        <w:pStyle w:val="2"/>
        <w:keepNext w:val="0"/>
        <w:keepLines w:val="0"/>
        <w:pageBreakBefore w:val="0"/>
        <w:kinsoku/>
        <w:wordWrap/>
        <w:overflowPunct/>
        <w:topLinePunct w:val="0"/>
        <w:autoSpaceDE/>
        <w:autoSpaceDN/>
        <w:bidi w:val="0"/>
        <w:adjustRightInd/>
        <w:snapToGrid/>
        <w:spacing w:line="240" w:lineRule="auto"/>
        <w:ind w:left="-210" w:leftChars="-100"/>
        <w:rPr>
          <w:rFonts w:ascii="楷体_GB2312" w:hAnsi="Times New Roman" w:eastAsia="楷体_GB2312" w:cs="Times New Roman"/>
          <w:sz w:val="24"/>
          <w:szCs w:val="24"/>
        </w:rPr>
      </w:pPr>
    </w:p>
    <w:p>
      <w:pPr>
        <w:pStyle w:val="2"/>
        <w:keepNext w:val="0"/>
        <w:keepLines w:val="0"/>
        <w:pageBreakBefore w:val="0"/>
        <w:kinsoku/>
        <w:wordWrap/>
        <w:overflowPunct/>
        <w:topLinePunct w:val="0"/>
        <w:autoSpaceDE/>
        <w:autoSpaceDN/>
        <w:bidi w:val="0"/>
        <w:adjustRightInd/>
        <w:snapToGrid/>
        <w:spacing w:line="240" w:lineRule="auto"/>
        <w:ind w:left="-210" w:leftChars="-100"/>
        <w:rPr>
          <w:rFonts w:ascii="楷体_GB2312" w:hAnsi="Times New Roman" w:eastAsia="楷体_GB2312" w:cs="Times New Roman"/>
          <w:sz w:val="24"/>
          <w:szCs w:val="24"/>
        </w:rPr>
      </w:pPr>
    </w:p>
    <w:p>
      <w:pPr>
        <w:pStyle w:val="2"/>
        <w:keepNext w:val="0"/>
        <w:keepLines w:val="0"/>
        <w:pageBreakBefore w:val="0"/>
        <w:kinsoku/>
        <w:wordWrap/>
        <w:overflowPunct/>
        <w:topLinePunct w:val="0"/>
        <w:autoSpaceDE/>
        <w:autoSpaceDN/>
        <w:bidi w:val="0"/>
        <w:adjustRightInd/>
        <w:snapToGrid/>
        <w:spacing w:line="240" w:lineRule="auto"/>
        <w:ind w:left="-210" w:leftChars="-100"/>
        <w:rPr>
          <w:rFonts w:ascii="楷体_GB2312" w:hAnsi="Times New Roman" w:eastAsia="楷体_GB2312" w:cs="Times New Roman"/>
          <w:sz w:val="24"/>
          <w:szCs w:val="24"/>
        </w:rPr>
      </w:pPr>
    </w:p>
    <w:p>
      <w:pPr>
        <w:pStyle w:val="2"/>
        <w:keepNext w:val="0"/>
        <w:keepLines w:val="0"/>
        <w:pageBreakBefore w:val="0"/>
        <w:kinsoku/>
        <w:wordWrap/>
        <w:overflowPunct/>
        <w:topLinePunct w:val="0"/>
        <w:autoSpaceDE/>
        <w:autoSpaceDN/>
        <w:bidi w:val="0"/>
        <w:adjustRightInd/>
        <w:snapToGrid/>
        <w:spacing w:line="240" w:lineRule="auto"/>
        <w:ind w:left="-210" w:leftChars="-100"/>
        <w:rPr>
          <w:rFonts w:ascii="楷体_GB2312" w:hAnsi="Times New Roman" w:eastAsia="楷体_GB2312" w:cs="Times New Roman"/>
          <w:sz w:val="24"/>
          <w:szCs w:val="24"/>
        </w:rPr>
      </w:pPr>
    </w:p>
    <w:p>
      <w:pPr>
        <w:pStyle w:val="2"/>
        <w:keepNext w:val="0"/>
        <w:keepLines w:val="0"/>
        <w:pageBreakBefore w:val="0"/>
        <w:kinsoku/>
        <w:wordWrap/>
        <w:overflowPunct/>
        <w:topLinePunct w:val="0"/>
        <w:autoSpaceDE/>
        <w:autoSpaceDN/>
        <w:bidi w:val="0"/>
        <w:adjustRightInd/>
        <w:snapToGrid/>
        <w:spacing w:line="240" w:lineRule="auto"/>
        <w:ind w:left="-210" w:leftChars="-100"/>
        <w:rPr>
          <w:rFonts w:ascii="楷体_GB2312" w:hAnsi="Times New Roman" w:eastAsia="楷体_GB2312" w:cs="Times New Roman"/>
          <w:sz w:val="24"/>
          <w:szCs w:val="24"/>
        </w:rPr>
      </w:pPr>
    </w:p>
    <w:p>
      <w:pPr>
        <w:pStyle w:val="2"/>
        <w:keepNext w:val="0"/>
        <w:keepLines w:val="0"/>
        <w:pageBreakBefore w:val="0"/>
        <w:kinsoku/>
        <w:wordWrap/>
        <w:overflowPunct/>
        <w:topLinePunct w:val="0"/>
        <w:autoSpaceDE/>
        <w:autoSpaceDN/>
        <w:bidi w:val="0"/>
        <w:adjustRightInd/>
        <w:snapToGrid/>
        <w:spacing w:line="240" w:lineRule="auto"/>
        <w:ind w:left="-210" w:leftChars="-100"/>
        <w:rPr>
          <w:rFonts w:ascii="楷体_GB2312" w:hAnsi="Times New Roman" w:eastAsia="楷体_GB2312" w:cs="Times New Roman"/>
          <w:sz w:val="24"/>
          <w:szCs w:val="24"/>
        </w:rPr>
      </w:pPr>
    </w:p>
    <w:p>
      <w:pPr>
        <w:pStyle w:val="2"/>
        <w:keepNext w:val="0"/>
        <w:keepLines w:val="0"/>
        <w:pageBreakBefore w:val="0"/>
        <w:kinsoku/>
        <w:wordWrap/>
        <w:overflowPunct/>
        <w:topLinePunct w:val="0"/>
        <w:autoSpaceDE/>
        <w:autoSpaceDN/>
        <w:bidi w:val="0"/>
        <w:adjustRightInd/>
        <w:snapToGrid/>
        <w:spacing w:line="240" w:lineRule="auto"/>
        <w:ind w:left="-210" w:leftChars="-100"/>
        <w:rPr>
          <w:rFonts w:ascii="楷体_GB2312" w:hAnsi="Times New Roman" w:eastAsia="楷体_GB2312" w:cs="Times New Roman"/>
          <w:sz w:val="24"/>
          <w:szCs w:val="24"/>
        </w:rPr>
      </w:pPr>
    </w:p>
    <w:p>
      <w:pPr>
        <w:pStyle w:val="2"/>
        <w:keepNext w:val="0"/>
        <w:keepLines w:val="0"/>
        <w:pageBreakBefore w:val="0"/>
        <w:kinsoku/>
        <w:wordWrap/>
        <w:overflowPunct/>
        <w:topLinePunct w:val="0"/>
        <w:autoSpaceDE/>
        <w:autoSpaceDN/>
        <w:bidi w:val="0"/>
        <w:adjustRightInd/>
        <w:snapToGrid/>
        <w:spacing w:line="240" w:lineRule="auto"/>
        <w:ind w:left="-210" w:leftChars="-100"/>
        <w:rPr>
          <w:rFonts w:ascii="楷体_GB2312" w:hAnsi="Times New Roman" w:eastAsia="楷体_GB2312" w:cs="Times New Roman"/>
          <w:sz w:val="24"/>
          <w:szCs w:val="24"/>
        </w:rPr>
      </w:pPr>
    </w:p>
    <w:p>
      <w:pPr>
        <w:pStyle w:val="2"/>
        <w:keepNext w:val="0"/>
        <w:keepLines w:val="0"/>
        <w:pageBreakBefore w:val="0"/>
        <w:kinsoku/>
        <w:wordWrap/>
        <w:overflowPunct/>
        <w:topLinePunct w:val="0"/>
        <w:autoSpaceDE/>
        <w:autoSpaceDN/>
        <w:bidi w:val="0"/>
        <w:adjustRightInd/>
        <w:snapToGrid/>
        <w:spacing w:line="240" w:lineRule="auto"/>
        <w:ind w:left="-210" w:leftChars="-100"/>
        <w:rPr>
          <w:rFonts w:ascii="楷体_GB2312" w:hAnsi="Times New Roman" w:eastAsia="楷体_GB2312" w:cs="Times New Roman"/>
          <w:sz w:val="24"/>
          <w:szCs w:val="24"/>
        </w:rPr>
      </w:pPr>
    </w:p>
    <w:p>
      <w:pPr>
        <w:pStyle w:val="2"/>
        <w:keepNext w:val="0"/>
        <w:keepLines w:val="0"/>
        <w:pageBreakBefore w:val="0"/>
        <w:kinsoku/>
        <w:wordWrap/>
        <w:overflowPunct/>
        <w:topLinePunct w:val="0"/>
        <w:autoSpaceDE/>
        <w:autoSpaceDN/>
        <w:bidi w:val="0"/>
        <w:adjustRightInd/>
        <w:snapToGrid/>
        <w:spacing w:line="240" w:lineRule="auto"/>
        <w:ind w:left="-210" w:leftChars="-100"/>
        <w:rPr>
          <w:rFonts w:ascii="楷体_GB2312" w:hAnsi="Times New Roman" w:eastAsia="楷体_GB2312" w:cs="Times New Roman"/>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320" w:leftChars="-100" w:hanging="2530" w:hangingChars="700"/>
        <w:rPr>
          <w:rFonts w:hint="eastAsia" w:ascii="仿宋" w:hAnsi="仿宋" w:eastAsia="仿宋" w:cs="仿宋"/>
          <w:b/>
          <w:bCs/>
          <w:color w:val="000000"/>
          <w:kern w:val="0"/>
          <w:sz w:val="36"/>
          <w:szCs w:val="36"/>
          <w:lang w:val="en-US" w:eastAsia="zh-CN"/>
        </w:rPr>
      </w:pPr>
      <w:r>
        <w:rPr>
          <w:rFonts w:hint="eastAsia" w:ascii="仿宋" w:hAnsi="仿宋" w:eastAsia="仿宋" w:cs="仿宋"/>
          <w:b/>
          <w:bCs/>
          <w:color w:val="000000"/>
          <w:kern w:val="0"/>
          <w:sz w:val="36"/>
          <w:szCs w:val="36"/>
          <w:lang w:val="en-US" w:eastAsia="zh-CN"/>
        </w:rPr>
        <w:t>怀远县经济和信息化局2022年春节期间支持企业稳产留工奖补项目支出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100" w:firstLine="2891" w:firstLineChars="800"/>
        <w:jc w:val="both"/>
        <w:textAlignment w:val="auto"/>
        <w:rPr>
          <w:rFonts w:hint="eastAsia" w:ascii="仿宋" w:hAnsi="仿宋" w:eastAsia="仿宋" w:cs="仿宋"/>
          <w:b/>
          <w:bCs/>
          <w:color w:val="000000"/>
          <w:kern w:val="0"/>
          <w:sz w:val="36"/>
          <w:szCs w:val="36"/>
          <w:lang w:val="en-US" w:eastAsia="zh-CN"/>
        </w:rPr>
      </w:pPr>
      <w:r>
        <w:rPr>
          <w:rFonts w:hint="eastAsia" w:ascii="仿宋" w:hAnsi="仿宋" w:eastAsia="仿宋" w:cs="仿宋"/>
          <w:b/>
          <w:bCs/>
          <w:color w:val="000000"/>
          <w:kern w:val="0"/>
          <w:sz w:val="36"/>
          <w:szCs w:val="36"/>
          <w:lang w:val="en-US" w:eastAsia="zh-CN"/>
        </w:rPr>
        <w:t xml:space="preserve">绩效评价报告  </w:t>
      </w:r>
    </w:p>
    <w:p>
      <w:pPr>
        <w:pStyle w:val="2"/>
        <w:keepNext w:val="0"/>
        <w:keepLines w:val="0"/>
        <w:pageBreakBefore w:val="0"/>
        <w:kinsoku/>
        <w:wordWrap/>
        <w:overflowPunct/>
        <w:topLinePunct w:val="0"/>
        <w:autoSpaceDE/>
        <w:autoSpaceDN/>
        <w:bidi w:val="0"/>
        <w:adjustRightInd/>
        <w:snapToGrid/>
        <w:spacing w:line="240" w:lineRule="auto"/>
        <w:ind w:left="-210" w:left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怀远县财政局文件（怀财监(2022) 16号）为贯彻落实《中共怀远县委、怀远县人民政府关于印发&lt;全面实施预算绩效管理的实施办法&gt;的通知》(怀发(2020) 5号)等要求，加强怀远县奖补资金项目管理，进一步强化绩效意识，提高财政资金使用效益，受怀远县财政局委托，安徽宝逸通企业咨询管理有限公司组成评价小组，于2023年09月，对怀远县经济和信息化局实施的“2022年春节期间支持企业稳产留工奖补项目”（以下简称“项目”）开展绩效评价工作，现将绩效评价情况报告如下：</w:t>
      </w:r>
    </w:p>
    <w:p>
      <w:pPr>
        <w:keepNext w:val="0"/>
        <w:keepLines w:val="0"/>
        <w:pageBreakBefore w:val="0"/>
        <w:kinsoku/>
        <w:wordWrap/>
        <w:overflowPunct/>
        <w:topLinePunct w:val="0"/>
        <w:autoSpaceDE/>
        <w:autoSpaceDN/>
        <w:bidi w:val="0"/>
        <w:adjustRightInd/>
        <w:snapToGrid/>
        <w:spacing w:line="240" w:lineRule="auto"/>
        <w:ind w:firstLine="281" w:firstLineChars="100"/>
        <w:outlineLvl w:val="0"/>
        <w:rPr>
          <w:rFonts w:hint="eastAsia" w:ascii="仿宋" w:hAnsi="仿宋" w:eastAsia="仿宋" w:cs="仿宋"/>
          <w:b/>
          <w:bCs/>
          <w:sz w:val="28"/>
          <w:szCs w:val="28"/>
        </w:rPr>
      </w:pPr>
      <w:bookmarkStart w:id="15" w:name="_Toc27814"/>
      <w:r>
        <w:rPr>
          <w:rFonts w:hint="eastAsia" w:ascii="仿宋" w:hAnsi="仿宋" w:eastAsia="仿宋" w:cs="仿宋"/>
          <w:b/>
          <w:bCs/>
          <w:sz w:val="28"/>
          <w:szCs w:val="28"/>
        </w:rPr>
        <w:t>一、项目基本情况</w:t>
      </w:r>
      <w:bookmarkEnd w:id="15"/>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16" w:name="_Toc3481"/>
      <w:r>
        <w:rPr>
          <w:rFonts w:hint="eastAsia" w:ascii="仿宋" w:hAnsi="仿宋" w:eastAsia="仿宋" w:cs="仿宋"/>
          <w:sz w:val="28"/>
          <w:szCs w:val="28"/>
        </w:rPr>
        <w:t>（一）项目概况</w:t>
      </w:r>
      <w:bookmarkEnd w:id="16"/>
    </w:p>
    <w:p>
      <w:pPr>
        <w:keepNext w:val="0"/>
        <w:keepLines w:val="0"/>
        <w:pageBreakBefore w:val="0"/>
        <w:kinsoku/>
        <w:wordWrap/>
        <w:overflowPunct/>
        <w:topLinePunct w:val="0"/>
        <w:autoSpaceDE/>
        <w:autoSpaceDN/>
        <w:bidi w:val="0"/>
        <w:adjustRightInd/>
        <w:snapToGrid/>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1.项目背景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100" w:firstLine="560" w:firstLineChars="200"/>
        <w:jc w:val="both"/>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为贯彻落实中央“六稳”“六保”决策部署，统筹推进2022年春节期间全市疫情防控和经济社会发展，全力做好企业稳产留工工作，确保企业生产有序、务工人员就业稳定，倡导和保障外来务工人员“留蚌过年”，确保一季度平稳开局。</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100" w:firstLine="560" w:firstLineChars="200"/>
        <w:jc w:val="both"/>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《蚌埠市经济和信息化局、蚌埠市人力资源和社会保障局、蚌埠市住房和城乡建设局、蚌埠市财政局</w:t>
      </w:r>
      <w:r>
        <w:rPr>
          <w:rFonts w:hint="eastAsia" w:ascii="仿宋" w:hAnsi="仿宋" w:eastAsia="仿宋" w:cs="仿宋"/>
          <w:color w:val="333333"/>
          <w:kern w:val="0"/>
          <w:sz w:val="28"/>
          <w:szCs w:val="28"/>
        </w:rPr>
        <w:t>关于蚌埠市2022 年春节期间支持企业稳产留工奖补措施的通知》</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蚌经信中小企业【2022】7号</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rPr>
        <w:t>要求</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以下简称《蚌经信中小企业【2022】7号通知》</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rPr>
        <w:t>统筹推进全县2022年春节期间疫情防控和经济社会发展，全力做好企业稳产留工工作。</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2.项目主要内容及实施情况</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（1）项目主要内容</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lang w:eastAsia="zh-CN"/>
        </w:rPr>
      </w:pPr>
      <w:r>
        <w:rPr>
          <w:rFonts w:hint="eastAsia" w:ascii="仿宋" w:hAnsi="仿宋" w:eastAsia="仿宋" w:cs="仿宋"/>
          <w:sz w:val="28"/>
          <w:szCs w:val="28"/>
        </w:rPr>
        <w:t>为贯彻落实《关于蚌埠市2022年春节期间支持企业稳产留工奖补措施的通知》精神，本着统筹协调、公开透明、简化流程和提高效能的原则，明确各政策条款的申报要求、申报材料、申报流程和责任单位，制订本实施细则</w:t>
      </w:r>
      <w:r>
        <w:rPr>
          <w:rFonts w:hint="eastAsia" w:ascii="仿宋" w:hAnsi="仿宋" w:eastAsia="仿宋" w:cs="仿宋"/>
          <w:sz w:val="28"/>
          <w:szCs w:val="28"/>
          <w:lang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firstLine="840" w:firstLineChars="300"/>
        <w:rPr>
          <w:rFonts w:hint="eastAsia" w:ascii="仿宋" w:hAnsi="仿宋" w:eastAsia="仿宋" w:cs="仿宋"/>
          <w:sz w:val="28"/>
          <w:szCs w:val="28"/>
        </w:rPr>
      </w:pPr>
      <w:r>
        <w:rPr>
          <w:rFonts w:hint="eastAsia" w:ascii="仿宋" w:hAnsi="仿宋" w:eastAsia="仿宋" w:cs="仿宋"/>
          <w:sz w:val="28"/>
          <w:szCs w:val="28"/>
        </w:rPr>
        <w:t>①支持企业稳定生产</w:t>
      </w:r>
    </w:p>
    <w:p>
      <w:pPr>
        <w:keepNext w:val="0"/>
        <w:keepLines w:val="0"/>
        <w:pageBreakBefore w:val="0"/>
        <w:numPr>
          <w:ilvl w:val="0"/>
          <w:numId w:val="0"/>
        </w:numPr>
        <w:kinsoku/>
        <w:wordWrap/>
        <w:overflowPunct/>
        <w:topLinePunct w:val="0"/>
        <w:autoSpaceDE/>
        <w:autoSpaceDN/>
        <w:bidi w:val="0"/>
        <w:adjustRightInd/>
        <w:snapToGrid/>
        <w:spacing w:line="240" w:lineRule="auto"/>
        <w:ind w:left="70" w:leftChars="-100" w:hanging="280" w:hanging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2021年度应税销售收入在10亿元以上(含10亿元)的，一次性奖补30万元; 5亿元-10亿元(含5亿元)的，一次性奖补20万元; 1亿元-5亿元(含1亿元)的，一次性奖补10万元; 1亿元以下的，一次性奖补5万元。</w:t>
      </w:r>
    </w:p>
    <w:p>
      <w:pPr>
        <w:keepNext w:val="0"/>
        <w:keepLines w:val="0"/>
        <w:pageBreakBefore w:val="0"/>
        <w:numPr>
          <w:ilvl w:val="0"/>
          <w:numId w:val="0"/>
        </w:numPr>
        <w:kinsoku/>
        <w:wordWrap/>
        <w:overflowPunct/>
        <w:topLinePunct w:val="0"/>
        <w:autoSpaceDE/>
        <w:autoSpaceDN/>
        <w:bidi w:val="0"/>
        <w:adjustRightInd/>
        <w:snapToGrid/>
        <w:spacing w:line="240" w:lineRule="auto"/>
        <w:ind w:left="69" w:leftChars="33"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以上政策企业免申即享，4月25日前，各县、区经济和信息化都门会同财政部门梳理符合稳产奖补条件的企业名单，并于4月底前将奖补资金拨付至企业账户</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firstLine="840" w:firstLineChars="3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②支持企业稳岗留工</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firstLine="840" w:firstLineChars="3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对符合条件的市外籍员工，按照每人1000元的标准发放一次</w:t>
      </w:r>
    </w:p>
    <w:p>
      <w:pPr>
        <w:keepNext w:val="0"/>
        <w:keepLines w:val="0"/>
        <w:pageBreakBefore w:val="0"/>
        <w:numPr>
          <w:ilvl w:val="0"/>
          <w:numId w:val="0"/>
        </w:numPr>
        <w:kinsoku/>
        <w:wordWrap/>
        <w:overflowPunct/>
        <w:topLinePunct w:val="0"/>
        <w:autoSpaceDE/>
        <w:autoSpaceDN/>
        <w:bidi w:val="0"/>
        <w:adjustRightInd/>
        <w:snapToGrid/>
        <w:spacing w:line="240" w:lineRule="auto"/>
        <w:ind w:left="69" w:leftChars="33"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性过节补贴;申报企业在2022年1月30日前先行将一次性留蚌奖补发放给符合条件的员工个人;政策申报主体为企业，由员工所在企业统一申报。</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申报时间：2022年2月10日一2月16日，申报企业向所在县(区)                   </w:t>
      </w:r>
    </w:p>
    <w:p>
      <w:pPr>
        <w:keepNext w:val="0"/>
        <w:keepLines w:val="0"/>
        <w:pageBreakBefore w:val="0"/>
        <w:numPr>
          <w:ilvl w:val="0"/>
          <w:numId w:val="0"/>
        </w:numPr>
        <w:kinsoku/>
        <w:wordWrap/>
        <w:overflowPunct/>
        <w:topLinePunct w:val="0"/>
        <w:autoSpaceDE/>
        <w:autoSpaceDN/>
        <w:bidi w:val="0"/>
        <w:adjustRightInd/>
        <w:snapToGrid/>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经济和信息化部门提交申报材料。</w:t>
      </w:r>
    </w:p>
    <w:p>
      <w:pPr>
        <w:keepNext w:val="0"/>
        <w:keepLines w:val="0"/>
        <w:pageBreakBefore w:val="0"/>
        <w:numPr>
          <w:ilvl w:val="0"/>
          <w:numId w:val="0"/>
        </w:numPr>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各县、区经济和信息化都门会同财政部门审核无误后，2022年2月28日前将奖补资金拨付支企业账户。</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firstLine="840" w:firstLineChars="3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③支持重点项目不停工</w:t>
      </w:r>
    </w:p>
    <w:p>
      <w:pPr>
        <w:keepNext w:val="0"/>
        <w:keepLines w:val="0"/>
        <w:pageBreakBefore w:val="0"/>
        <w:numPr>
          <w:ilvl w:val="0"/>
          <w:numId w:val="0"/>
        </w:numPr>
        <w:kinsoku/>
        <w:wordWrap/>
        <w:overflowPunct/>
        <w:topLinePunct w:val="0"/>
        <w:autoSpaceDE/>
        <w:autoSpaceDN/>
        <w:bidi w:val="0"/>
        <w:adjustRightInd/>
        <w:snapToGrid/>
        <w:spacing w:line="240" w:lineRule="auto"/>
        <w:ind w:left="69" w:leftChars="33"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对符合条件的市外籍员工， 按照每人1000元的标准发放一次性过节补贴;申报项目企业在2022年1 月30日前先行将-次性留   蚌奖补发放给符合条件的员工个人; 政策申报主体为项目实施单位。</w:t>
      </w:r>
    </w:p>
    <w:p>
      <w:pPr>
        <w:keepNext w:val="0"/>
        <w:keepLines w:val="0"/>
        <w:pageBreakBefore w:val="0"/>
        <w:numPr>
          <w:ilvl w:val="0"/>
          <w:numId w:val="0"/>
        </w:numPr>
        <w:kinsoku/>
        <w:wordWrap/>
        <w:overflowPunct/>
        <w:topLinePunct w:val="0"/>
        <w:autoSpaceDE/>
        <w:autoSpaceDN/>
        <w:bidi w:val="0"/>
        <w:adjustRightInd/>
        <w:snapToGrid/>
        <w:spacing w:line="240" w:lineRule="auto"/>
        <w:ind w:left="69" w:leftChars="33"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申报时间2022年2月10日一2月16日，工业类重点项目向所在县(区)经济和信息化部门和人力资源社会保障部门提交申报材料;非工业类重点项目向所在县(区)住房城乡建设部门和人力资源社会保障部门提交申报材料。</w:t>
      </w:r>
    </w:p>
    <w:p>
      <w:pPr>
        <w:keepNext w:val="0"/>
        <w:keepLines w:val="0"/>
        <w:pageBreakBefore w:val="0"/>
        <w:numPr>
          <w:ilvl w:val="0"/>
          <w:numId w:val="0"/>
        </w:numPr>
        <w:kinsoku/>
        <w:wordWrap/>
        <w:overflowPunct/>
        <w:topLinePunct w:val="0"/>
        <w:autoSpaceDE/>
        <w:autoSpaceDN/>
        <w:bidi w:val="0"/>
        <w:adjustRightInd/>
        <w:snapToGrid/>
        <w:spacing w:line="240" w:lineRule="auto"/>
        <w:ind w:left="70" w:leftChars="-100" w:hanging="280" w:hanging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各县、区经济和信息化都门会同财政部门审核无误后，2022年2月28日前将奖补资金拨付支企业账户。</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企业未按时按要求报送相关资料的视为自动放弃，不再受理。</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9" w:leftChars="33" w:firstLine="694" w:firstLineChars="248"/>
        <w:rPr>
          <w:rFonts w:hint="eastAsia" w:ascii="仿宋" w:hAnsi="仿宋" w:eastAsia="仿宋" w:cs="仿宋"/>
          <w:color w:val="333333"/>
          <w:kern w:val="0"/>
          <w:sz w:val="28"/>
          <w:szCs w:val="28"/>
        </w:rPr>
      </w:pPr>
      <w:r>
        <w:rPr>
          <w:rFonts w:hint="eastAsia" w:ascii="仿宋" w:hAnsi="仿宋" w:eastAsia="仿宋" w:cs="仿宋"/>
          <w:b w:val="0"/>
          <w:bCs w:val="0"/>
          <w:i w:val="0"/>
          <w:iCs w:val="0"/>
          <w:caps w:val="0"/>
          <w:color w:val="333333"/>
          <w:spacing w:val="0"/>
          <w:sz w:val="28"/>
          <w:szCs w:val="28"/>
          <w:shd w:val="clear" w:fill="FFFFFF"/>
        </w:rPr>
        <w:t>④</w:t>
      </w:r>
      <w:r>
        <w:rPr>
          <w:rFonts w:hint="eastAsia" w:ascii="仿宋" w:hAnsi="仿宋" w:eastAsia="仿宋" w:cs="仿宋"/>
          <w:color w:val="000000"/>
          <w:kern w:val="0"/>
          <w:sz w:val="28"/>
          <w:szCs w:val="28"/>
        </w:rPr>
        <w:t>项目计划完成时间</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1408" w:firstLineChars="503"/>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所有</w:t>
      </w:r>
      <w:r>
        <w:rPr>
          <w:rFonts w:hint="eastAsia" w:ascii="仿宋" w:hAnsi="仿宋" w:eastAsia="仿宋" w:cs="仿宋"/>
          <w:color w:val="333333"/>
          <w:kern w:val="0"/>
          <w:sz w:val="28"/>
          <w:szCs w:val="28"/>
        </w:rPr>
        <w:t>项目的申报、评审、资金发放</w:t>
      </w:r>
      <w:r>
        <w:rPr>
          <w:rFonts w:hint="eastAsia" w:ascii="仿宋" w:hAnsi="仿宋" w:eastAsia="仿宋" w:cs="仿宋"/>
          <w:color w:val="333333"/>
          <w:kern w:val="0"/>
          <w:sz w:val="28"/>
          <w:szCs w:val="28"/>
          <w:lang w:val="en-US" w:eastAsia="zh-CN"/>
        </w:rPr>
        <w:t>时间如下表：</w:t>
      </w:r>
    </w:p>
    <w:tbl>
      <w:tblPr>
        <w:tblStyle w:val="7"/>
        <w:tblW w:w="8803" w:type="dxa"/>
        <w:tblInd w:w="-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4"/>
        <w:gridCol w:w="2812"/>
        <w:gridCol w:w="3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84" w:type="dxa"/>
          </w:tcPr>
          <w:p>
            <w:pPr>
              <w:keepNext w:val="0"/>
              <w:keepLines w:val="0"/>
              <w:pageBreakBefore w:val="0"/>
              <w:widowControl/>
              <w:kinsoku/>
              <w:wordWrap/>
              <w:overflowPunct/>
              <w:topLinePunct w:val="0"/>
              <w:autoSpaceDE/>
              <w:autoSpaceDN/>
              <w:bidi w:val="0"/>
              <w:adjustRightInd/>
              <w:snapToGrid/>
              <w:spacing w:line="240" w:lineRule="auto"/>
              <w:ind w:left="-210" w:leftChars="-100" w:firstLine="280" w:firstLineChars="100"/>
              <w:jc w:val="center"/>
              <w:rPr>
                <w:rFonts w:hint="default" w:ascii="仿宋" w:hAnsi="仿宋" w:eastAsia="仿宋"/>
                <w:color w:val="333333"/>
                <w:kern w:val="0"/>
                <w:sz w:val="28"/>
                <w:szCs w:val="28"/>
                <w:vertAlign w:val="baseline"/>
                <w:lang w:val="en-US" w:eastAsia="zh-CN"/>
              </w:rPr>
            </w:pPr>
            <w:r>
              <w:rPr>
                <w:rFonts w:hint="eastAsia" w:ascii="仿宋" w:hAnsi="仿宋" w:eastAsia="仿宋"/>
                <w:color w:val="333333"/>
                <w:kern w:val="0"/>
                <w:sz w:val="28"/>
                <w:szCs w:val="28"/>
                <w:vertAlign w:val="baseline"/>
                <w:lang w:val="en-US" w:eastAsia="zh-CN"/>
              </w:rPr>
              <w:t>项目名称</w:t>
            </w:r>
          </w:p>
        </w:tc>
        <w:tc>
          <w:tcPr>
            <w:tcW w:w="2812" w:type="dxa"/>
          </w:tcPr>
          <w:p>
            <w:pPr>
              <w:keepNext w:val="0"/>
              <w:keepLines w:val="0"/>
              <w:pageBreakBefore w:val="0"/>
              <w:widowControl/>
              <w:kinsoku/>
              <w:wordWrap/>
              <w:overflowPunct/>
              <w:topLinePunct w:val="0"/>
              <w:autoSpaceDE/>
              <w:autoSpaceDN/>
              <w:bidi w:val="0"/>
              <w:adjustRightInd/>
              <w:snapToGrid/>
              <w:spacing w:line="240" w:lineRule="auto"/>
              <w:ind w:left="-210" w:leftChars="-100" w:firstLine="280" w:firstLineChars="100"/>
              <w:rPr>
                <w:rFonts w:hint="default" w:ascii="仿宋" w:hAnsi="仿宋" w:eastAsia="仿宋"/>
                <w:color w:val="333333"/>
                <w:kern w:val="0"/>
                <w:sz w:val="28"/>
                <w:szCs w:val="28"/>
                <w:vertAlign w:val="baseline"/>
                <w:lang w:val="en-US" w:eastAsia="zh-CN"/>
              </w:rPr>
            </w:pPr>
            <w:r>
              <w:rPr>
                <w:rFonts w:hint="eastAsia" w:ascii="仿宋" w:hAnsi="仿宋" w:eastAsia="仿宋"/>
                <w:color w:val="333333"/>
                <w:kern w:val="0"/>
                <w:sz w:val="28"/>
                <w:szCs w:val="28"/>
                <w:vertAlign w:val="baseline"/>
                <w:lang w:val="en-US" w:eastAsia="zh-CN"/>
              </w:rPr>
              <w:t>报送时间</w:t>
            </w:r>
          </w:p>
        </w:tc>
        <w:tc>
          <w:tcPr>
            <w:tcW w:w="3207" w:type="dxa"/>
          </w:tcPr>
          <w:p>
            <w:pPr>
              <w:keepNext w:val="0"/>
              <w:keepLines w:val="0"/>
              <w:pageBreakBefore w:val="0"/>
              <w:widowControl/>
              <w:kinsoku/>
              <w:wordWrap/>
              <w:overflowPunct/>
              <w:topLinePunct w:val="0"/>
              <w:autoSpaceDE/>
              <w:autoSpaceDN/>
              <w:bidi w:val="0"/>
              <w:adjustRightInd/>
              <w:snapToGrid/>
              <w:spacing w:line="240" w:lineRule="auto"/>
              <w:ind w:left="-210" w:leftChars="-100" w:firstLine="280" w:firstLineChars="100"/>
              <w:jc w:val="center"/>
              <w:rPr>
                <w:rFonts w:hint="default" w:ascii="仿宋" w:hAnsi="仿宋" w:eastAsia="仿宋"/>
                <w:color w:val="333333"/>
                <w:kern w:val="0"/>
                <w:sz w:val="28"/>
                <w:szCs w:val="28"/>
                <w:vertAlign w:val="baseline"/>
                <w:lang w:val="en-US" w:eastAsia="zh-CN"/>
              </w:rPr>
            </w:pPr>
            <w:r>
              <w:rPr>
                <w:rFonts w:hint="eastAsia" w:ascii="仿宋" w:hAnsi="仿宋" w:eastAsia="仿宋"/>
                <w:color w:val="333333"/>
                <w:kern w:val="0"/>
                <w:sz w:val="28"/>
                <w:szCs w:val="28"/>
                <w:vertAlign w:val="baseline"/>
                <w:lang w:val="en-US" w:eastAsia="zh-CN"/>
              </w:rPr>
              <w:t>资金拨付时间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278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olor w:val="333333"/>
                <w:kern w:val="0"/>
                <w:sz w:val="28"/>
                <w:szCs w:val="28"/>
                <w:vertAlign w:val="baseline"/>
              </w:rPr>
            </w:pPr>
            <w:r>
              <w:rPr>
                <w:rFonts w:hint="eastAsia" w:ascii="仿宋" w:hAnsi="仿宋" w:eastAsia="仿宋" w:cs="仿宋"/>
                <w:sz w:val="28"/>
                <w:szCs w:val="28"/>
              </w:rPr>
              <w:t>企业稳定生产</w:t>
            </w:r>
          </w:p>
        </w:tc>
        <w:tc>
          <w:tcPr>
            <w:tcW w:w="2812" w:type="dxa"/>
          </w:tcPr>
          <w:p>
            <w:pPr>
              <w:keepNext w:val="0"/>
              <w:keepLines w:val="0"/>
              <w:pageBreakBefore w:val="0"/>
              <w:widowControl/>
              <w:kinsoku/>
              <w:wordWrap/>
              <w:overflowPunct/>
              <w:topLinePunct w:val="0"/>
              <w:autoSpaceDE/>
              <w:autoSpaceDN/>
              <w:bidi w:val="0"/>
              <w:adjustRightInd/>
              <w:snapToGrid/>
              <w:spacing w:line="360" w:lineRule="auto"/>
              <w:ind w:left="-105" w:leftChars="-50" w:firstLine="280" w:firstLineChars="100"/>
              <w:textAlignment w:val="auto"/>
              <w:rPr>
                <w:rFonts w:hint="default" w:ascii="仿宋" w:hAnsi="仿宋" w:eastAsia="仿宋"/>
                <w:color w:val="333333"/>
                <w:kern w:val="0"/>
                <w:sz w:val="28"/>
                <w:szCs w:val="28"/>
                <w:vertAlign w:val="baseline"/>
                <w:lang w:val="en-US" w:eastAsia="zh-CN"/>
              </w:rPr>
            </w:pPr>
            <w:r>
              <w:rPr>
                <w:rFonts w:hint="eastAsia" w:ascii="仿宋" w:hAnsi="仿宋" w:eastAsia="仿宋"/>
                <w:color w:val="333333"/>
                <w:kern w:val="0"/>
                <w:sz w:val="28"/>
                <w:szCs w:val="28"/>
                <w:vertAlign w:val="baseline"/>
                <w:lang w:val="en-US" w:eastAsia="zh-CN"/>
              </w:rPr>
              <w:t>2022年4月25前</w:t>
            </w:r>
          </w:p>
        </w:tc>
        <w:tc>
          <w:tcPr>
            <w:tcW w:w="3207" w:type="dxa"/>
          </w:tcPr>
          <w:p>
            <w:pPr>
              <w:keepNext w:val="0"/>
              <w:keepLines w:val="0"/>
              <w:pageBreakBefore w:val="0"/>
              <w:widowControl/>
              <w:kinsoku/>
              <w:wordWrap/>
              <w:overflowPunct/>
              <w:topLinePunct w:val="0"/>
              <w:autoSpaceDE/>
              <w:autoSpaceDN/>
              <w:bidi w:val="0"/>
              <w:adjustRightInd/>
              <w:snapToGrid/>
              <w:spacing w:line="360" w:lineRule="auto"/>
              <w:ind w:left="-105" w:leftChars="-50"/>
              <w:jc w:val="center"/>
              <w:textAlignment w:val="auto"/>
              <w:rPr>
                <w:rFonts w:hint="default" w:ascii="仿宋" w:hAnsi="仿宋" w:eastAsia="仿宋"/>
                <w:color w:val="333333"/>
                <w:kern w:val="0"/>
                <w:sz w:val="28"/>
                <w:szCs w:val="28"/>
                <w:vertAlign w:val="baseline"/>
                <w:lang w:val="en-US" w:eastAsia="zh-CN"/>
              </w:rPr>
            </w:pPr>
            <w:r>
              <w:rPr>
                <w:rFonts w:hint="eastAsia" w:ascii="仿宋" w:hAnsi="仿宋" w:eastAsia="仿宋"/>
                <w:color w:val="333333"/>
                <w:kern w:val="0"/>
                <w:sz w:val="28"/>
                <w:szCs w:val="28"/>
                <w:vertAlign w:val="baseline"/>
                <w:lang w:val="en-US" w:eastAsia="zh-CN"/>
              </w:rPr>
              <w:t>2022年4月底前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78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olor w:val="333333"/>
                <w:kern w:val="0"/>
                <w:sz w:val="28"/>
                <w:szCs w:val="28"/>
                <w:vertAlign w:val="baseline"/>
              </w:rPr>
            </w:pPr>
            <w:r>
              <w:rPr>
                <w:rFonts w:hint="eastAsia" w:ascii="仿宋" w:hAnsi="仿宋" w:eastAsia="仿宋" w:cs="仿宋"/>
                <w:sz w:val="28"/>
                <w:szCs w:val="28"/>
                <w:lang w:val="en-US" w:eastAsia="zh-CN"/>
              </w:rPr>
              <w:t>企业稳岗留工</w:t>
            </w:r>
          </w:p>
        </w:tc>
        <w:tc>
          <w:tcPr>
            <w:tcW w:w="2812" w:type="dxa"/>
          </w:tcPr>
          <w:p>
            <w:pPr>
              <w:keepNext w:val="0"/>
              <w:keepLines w:val="0"/>
              <w:pageBreakBefore w:val="0"/>
              <w:widowControl/>
              <w:kinsoku/>
              <w:wordWrap/>
              <w:overflowPunct/>
              <w:topLinePunct w:val="0"/>
              <w:autoSpaceDE/>
              <w:autoSpaceDN/>
              <w:bidi w:val="0"/>
              <w:adjustRightInd/>
              <w:snapToGrid/>
              <w:spacing w:line="360" w:lineRule="auto"/>
              <w:ind w:left="0" w:leftChars="0" w:firstLine="280" w:firstLineChars="100"/>
              <w:textAlignment w:val="auto"/>
              <w:rPr>
                <w:rFonts w:hint="eastAsia" w:ascii="仿宋" w:hAnsi="仿宋" w:eastAsia="仿宋"/>
                <w:color w:val="333333"/>
                <w:kern w:val="0"/>
                <w:sz w:val="28"/>
                <w:szCs w:val="28"/>
                <w:vertAlign w:val="baseline"/>
              </w:rPr>
            </w:pPr>
            <w:r>
              <w:rPr>
                <w:rFonts w:hint="default" w:ascii="仿宋" w:hAnsi="仿宋" w:eastAsia="仿宋" w:cs="仿宋"/>
                <w:sz w:val="28"/>
                <w:szCs w:val="28"/>
                <w:lang w:val="en-US" w:eastAsia="zh-CN"/>
              </w:rPr>
              <w:t>2月10一2月16</w:t>
            </w:r>
          </w:p>
        </w:tc>
        <w:tc>
          <w:tcPr>
            <w:tcW w:w="3207" w:type="dxa"/>
          </w:tcPr>
          <w:p>
            <w:pPr>
              <w:keepNext w:val="0"/>
              <w:keepLines w:val="0"/>
              <w:pageBreakBefore w:val="0"/>
              <w:widowControl/>
              <w:kinsoku/>
              <w:wordWrap/>
              <w:overflowPunct/>
              <w:topLinePunct w:val="0"/>
              <w:autoSpaceDE/>
              <w:autoSpaceDN/>
              <w:bidi w:val="0"/>
              <w:adjustRightInd/>
              <w:snapToGrid/>
              <w:spacing w:line="360" w:lineRule="auto"/>
              <w:ind w:left="-105" w:leftChars="-50"/>
              <w:jc w:val="center"/>
              <w:textAlignment w:val="auto"/>
              <w:rPr>
                <w:rFonts w:hint="default" w:ascii="仿宋" w:hAnsi="仿宋" w:eastAsia="仿宋"/>
                <w:color w:val="333333"/>
                <w:kern w:val="0"/>
                <w:sz w:val="28"/>
                <w:szCs w:val="28"/>
                <w:vertAlign w:val="baseline"/>
                <w:lang w:val="en-US"/>
              </w:rPr>
            </w:pPr>
            <w:r>
              <w:rPr>
                <w:rFonts w:hint="eastAsia" w:ascii="仿宋" w:hAnsi="仿宋" w:eastAsia="仿宋" w:cs="仿宋"/>
                <w:sz w:val="28"/>
                <w:szCs w:val="28"/>
                <w:lang w:val="en-US" w:eastAsia="zh-CN"/>
              </w:rPr>
              <w:t>2022年2月28前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8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olor w:val="333333"/>
                <w:kern w:val="0"/>
                <w:sz w:val="28"/>
                <w:szCs w:val="28"/>
                <w:vertAlign w:val="baseline"/>
              </w:rPr>
            </w:pPr>
            <w:r>
              <w:rPr>
                <w:rFonts w:hint="eastAsia" w:ascii="仿宋" w:hAnsi="仿宋" w:eastAsia="仿宋" w:cs="仿宋"/>
                <w:sz w:val="28"/>
                <w:szCs w:val="28"/>
                <w:lang w:val="en-US" w:eastAsia="zh-CN"/>
              </w:rPr>
              <w:t>重点项目不停工</w:t>
            </w:r>
          </w:p>
        </w:tc>
        <w:tc>
          <w:tcPr>
            <w:tcW w:w="2812" w:type="dxa"/>
          </w:tcPr>
          <w:p>
            <w:pPr>
              <w:keepNext w:val="0"/>
              <w:keepLines w:val="0"/>
              <w:pageBreakBefore w:val="0"/>
              <w:widowControl/>
              <w:kinsoku/>
              <w:wordWrap/>
              <w:overflowPunct/>
              <w:topLinePunct w:val="0"/>
              <w:autoSpaceDE/>
              <w:autoSpaceDN/>
              <w:bidi w:val="0"/>
              <w:adjustRightInd/>
              <w:snapToGrid/>
              <w:spacing w:line="360" w:lineRule="auto"/>
              <w:ind w:left="0" w:leftChars="0" w:firstLine="280" w:firstLineChars="100"/>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2月10一2月16</w:t>
            </w:r>
          </w:p>
        </w:tc>
        <w:tc>
          <w:tcPr>
            <w:tcW w:w="3207" w:type="dxa"/>
          </w:tcPr>
          <w:p>
            <w:pPr>
              <w:keepNext w:val="0"/>
              <w:keepLines w:val="0"/>
              <w:pageBreakBefore w:val="0"/>
              <w:widowControl/>
              <w:kinsoku/>
              <w:wordWrap/>
              <w:overflowPunct/>
              <w:topLinePunct w:val="0"/>
              <w:autoSpaceDE/>
              <w:autoSpaceDN/>
              <w:bidi w:val="0"/>
              <w:adjustRightInd/>
              <w:snapToGrid/>
              <w:spacing w:line="360" w:lineRule="auto"/>
              <w:ind w:left="-105" w:leftChars="-5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2022年2月28前</w:t>
            </w:r>
          </w:p>
        </w:tc>
      </w:tr>
    </w:tbl>
    <w:p>
      <w:pPr>
        <w:keepNext w:val="0"/>
        <w:keepLines w:val="0"/>
        <w:pageBreakBefore w:val="0"/>
        <w:numPr>
          <w:ilvl w:val="0"/>
          <w:numId w:val="1"/>
        </w:numPr>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项目实施情况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9" w:leftChars="33" w:firstLine="571" w:firstLineChars="204"/>
        <w:rPr>
          <w:rFonts w:hint="eastAsia" w:ascii="仿宋" w:hAnsi="仿宋" w:eastAsia="仿宋" w:cs="仿宋"/>
          <w:color w:val="333333"/>
          <w:kern w:val="0"/>
          <w:sz w:val="28"/>
          <w:szCs w:val="28"/>
          <w:lang w:val="en-US" w:eastAsia="zh-CN"/>
        </w:rPr>
      </w:pPr>
      <w:r>
        <w:rPr>
          <w:rFonts w:hint="eastAsia" w:ascii="仿宋" w:hAnsi="仿宋" w:eastAsia="仿宋" w:cs="仿宋"/>
          <w:color w:val="000000"/>
          <w:kern w:val="0"/>
          <w:sz w:val="28"/>
          <w:szCs w:val="28"/>
        </w:rPr>
        <w:t>202</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年</w:t>
      </w:r>
      <w:r>
        <w:rPr>
          <w:rFonts w:hint="eastAsia" w:ascii="仿宋" w:hAnsi="仿宋" w:eastAsia="仿宋" w:cs="仿宋"/>
          <w:color w:val="000000"/>
          <w:kern w:val="0"/>
          <w:sz w:val="28"/>
          <w:szCs w:val="28"/>
          <w:lang w:val="en-US" w:eastAsia="zh-CN"/>
        </w:rPr>
        <w:t>春节期间</w:t>
      </w: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怀远县经信局</w:t>
      </w:r>
      <w:r>
        <w:rPr>
          <w:rFonts w:hint="eastAsia" w:ascii="仿宋" w:hAnsi="仿宋" w:eastAsia="仿宋" w:cs="仿宋"/>
          <w:color w:val="000000"/>
          <w:kern w:val="0"/>
          <w:sz w:val="28"/>
          <w:szCs w:val="28"/>
        </w:rPr>
        <w:t>积极</w:t>
      </w:r>
      <w:r>
        <w:rPr>
          <w:rFonts w:hint="eastAsia" w:ascii="仿宋" w:hAnsi="仿宋" w:eastAsia="仿宋" w:cs="仿宋"/>
          <w:color w:val="000000"/>
          <w:kern w:val="0"/>
          <w:sz w:val="28"/>
          <w:szCs w:val="28"/>
          <w:lang w:val="en-US" w:eastAsia="zh-CN"/>
        </w:rPr>
        <w:t>根据</w:t>
      </w:r>
      <w:r>
        <w:rPr>
          <w:rFonts w:hint="eastAsia" w:ascii="仿宋" w:hAnsi="仿宋" w:eastAsia="仿宋" w:cs="仿宋"/>
          <w:color w:val="333333"/>
          <w:kern w:val="0"/>
          <w:sz w:val="28"/>
          <w:szCs w:val="28"/>
          <w:lang w:val="en-US" w:eastAsia="zh-CN"/>
        </w:rPr>
        <w:t>《蚌经信中小企业【2022】7号通知》精神，向税务局、统计局、财政局发文要求协调哪些企业符合通知要求的企业稳定、稳岗留工、重点企业项目不停工，最终筛选出符合条件的相关数据如下：</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720" w:hanging="6720" w:hangingChars="2400"/>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2022年春节期间支持企业稳产留工奖补资金申报和兑现情况统计表                        （单位：万元）</w:t>
      </w:r>
    </w:p>
    <w:tbl>
      <w:tblPr>
        <w:tblStyle w:val="6"/>
        <w:tblW w:w="899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61"/>
        <w:gridCol w:w="863"/>
        <w:gridCol w:w="881"/>
        <w:gridCol w:w="1013"/>
        <w:gridCol w:w="1031"/>
        <w:gridCol w:w="1106"/>
        <w:gridCol w:w="1069"/>
        <w:gridCol w:w="1031"/>
        <w:gridCol w:w="10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182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支持企业稳定生产</w:t>
            </w:r>
          </w:p>
        </w:tc>
        <w:tc>
          <w:tcPr>
            <w:tcW w:w="189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支持企业稳岗留工</w:t>
            </w:r>
          </w:p>
        </w:tc>
        <w:tc>
          <w:tcPr>
            <w:tcW w:w="213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支持重点企业项目不停工</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奖补资金总额</w:t>
            </w: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需市级配套资金</w:t>
            </w:r>
          </w:p>
        </w:tc>
        <w:tc>
          <w:tcPr>
            <w:tcW w:w="10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本级财政补助资金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奖补企业数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奖补资金总额</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奖补员工数</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奖补资金总额</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奖补员工数</w:t>
            </w:r>
          </w:p>
        </w:tc>
        <w:tc>
          <w:tcPr>
            <w:tcW w:w="11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lang w:val="en-US" w:eastAsia="zh-CN" w:bidi="ar"/>
              </w:rPr>
              <w:t>奖补资金总额</w:t>
            </w: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eastAsia" w:ascii="仿宋" w:hAnsi="仿宋" w:eastAsia="仿宋" w:cs="仿宋"/>
                <w:i w:val="0"/>
                <w:iCs w:val="0"/>
                <w:color w:val="000000"/>
                <w:sz w:val="22"/>
                <w:szCs w:val="22"/>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eastAsia" w:ascii="仿宋" w:hAnsi="仿宋" w:eastAsia="仿宋" w:cs="仿宋"/>
                <w:i w:val="0"/>
                <w:iCs w:val="0"/>
                <w:color w:val="000000"/>
                <w:sz w:val="22"/>
                <w:szCs w:val="22"/>
                <w:u w:val="none"/>
              </w:rPr>
            </w:pPr>
          </w:p>
        </w:tc>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eastAsia" w:ascii="仿宋" w:hAnsi="仿宋" w:eastAsia="仿宋" w:cs="仿宋"/>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7" w:hRule="atLeast"/>
        </w:trPr>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660</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176</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17.6</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11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677.6</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203.28</w:t>
            </w:r>
          </w:p>
        </w:tc>
        <w:tc>
          <w:tcPr>
            <w:tcW w:w="10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474.32</w:t>
            </w:r>
          </w:p>
        </w:tc>
      </w:tr>
    </w:tbl>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640"/>
        <w:rPr>
          <w:rFonts w:hint="eastAsia" w:ascii="仿宋" w:hAnsi="仿宋" w:eastAsia="仿宋" w:cs="仿宋"/>
          <w:color w:val="333333"/>
          <w:kern w:val="0"/>
          <w:sz w:val="28"/>
          <w:szCs w:val="28"/>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9" w:leftChars="33" w:firstLine="565" w:firstLineChars="202"/>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怀远县经信局制定了《关于政策奖补类项目经费管理暂行办法》严格按照专项资金管理暂行办法有关规定，及时兑现企业稳产、企业稳产留工等项目拨付资金。</w:t>
      </w:r>
      <w:r>
        <w:rPr>
          <w:rFonts w:hint="eastAsia" w:ascii="仿宋" w:hAnsi="仿宋" w:eastAsia="仿宋" w:cs="仿宋"/>
          <w:color w:val="000000"/>
          <w:kern w:val="0"/>
          <w:sz w:val="28"/>
          <w:szCs w:val="28"/>
        </w:rPr>
        <w:t>主要业绩体现在以下几个方面：</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1、项目申报管理</w:t>
      </w:r>
    </w:p>
    <w:p>
      <w:pPr>
        <w:keepNext w:val="0"/>
        <w:keepLines w:val="0"/>
        <w:pageBreakBefore w:val="0"/>
        <w:numPr>
          <w:ilvl w:val="0"/>
          <w:numId w:val="0"/>
        </w:numPr>
        <w:kinsoku/>
        <w:wordWrap/>
        <w:overflowPunct/>
        <w:topLinePunct w:val="0"/>
        <w:autoSpaceDE/>
        <w:autoSpaceDN/>
        <w:bidi w:val="0"/>
        <w:adjustRightInd/>
        <w:snapToGrid/>
        <w:spacing w:line="240" w:lineRule="auto"/>
        <w:ind w:left="69" w:leftChars="33" w:firstLine="560" w:firstLineChars="200"/>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根据</w:t>
      </w:r>
      <w:r>
        <w:rPr>
          <w:rFonts w:hint="eastAsia" w:ascii="仿宋" w:hAnsi="仿宋" w:eastAsia="仿宋" w:cs="仿宋"/>
          <w:color w:val="333333"/>
          <w:kern w:val="0"/>
          <w:sz w:val="28"/>
          <w:szCs w:val="28"/>
          <w:lang w:val="en-US" w:eastAsia="zh-CN"/>
        </w:rPr>
        <w:t>《蚌经信中小企业【2022】7号通知》要求对2022年第一季度营业收入较去年同期增长10%及以上的，分别给予每户最高5-30万的补贴。对2022年1月26日（小年）至2月9日期间（以下简称“春节期间”）留蚌，且在蚌缴纳社会保险的非我市户籍员工，按照每人1000元的标准发放一次性过节补贴，</w:t>
      </w:r>
      <w:r>
        <w:rPr>
          <w:rFonts w:hint="eastAsia" w:ascii="仿宋" w:hAnsi="仿宋" w:eastAsia="仿宋" w:cs="仿宋"/>
          <w:sz w:val="28"/>
          <w:szCs w:val="28"/>
        </w:rPr>
        <w:t>支持企业稳定</w:t>
      </w:r>
      <w:r>
        <w:rPr>
          <w:rFonts w:hint="eastAsia" w:ascii="仿宋" w:hAnsi="仿宋" w:eastAsia="仿宋" w:cs="仿宋"/>
          <w:sz w:val="28"/>
          <w:szCs w:val="28"/>
          <w:lang w:val="en-US" w:eastAsia="zh-CN"/>
        </w:rPr>
        <w:t>生产符合政策的企业免申即享，在4月25日前，各县、区经济和信息化都门会同财政部门梳理符合稳产奖补条件的企业名单，并于4月底前将奖补资金拨付至企业账户。对符合条件的市外籍员工补贴，申报 企业在2022年1月30日前先行将一次性留蚌奖补发放给符合条件的员工个人;政策申报主体为企业，由员工所在企业统一申报。各县、区经济和信息化都门会同财政部门审核无误后，2022年2月28日前将奖补资金拨付支企业账户。对支持重点项目不停工符合条件的市外籍员工， 按照每人1000元的标准发放一次性过节补贴;申报项目企业在2022年1 月30日前先行将-次性留蚌奖补发放给符合条件的员工个人; 政策申报主体为项目实施单位。工业类重点项目向所在县(区)经济和信息化部门和人力资源社会保障部门提交申报材料;非工业类重点项目向所在县(区)住房城乡建设部门和人力资源社会保障部门提交申报材料。</w:t>
      </w:r>
    </w:p>
    <w:p>
      <w:pPr>
        <w:keepNext w:val="0"/>
        <w:keepLines w:val="0"/>
        <w:pageBreakBefore w:val="0"/>
        <w:numPr>
          <w:ilvl w:val="0"/>
          <w:numId w:val="0"/>
        </w:numPr>
        <w:kinsoku/>
        <w:wordWrap/>
        <w:overflowPunct/>
        <w:topLinePunct w:val="0"/>
        <w:autoSpaceDE/>
        <w:autoSpaceDN/>
        <w:bidi w:val="0"/>
        <w:adjustRightInd/>
        <w:snapToGrid/>
        <w:spacing w:line="240" w:lineRule="auto"/>
        <w:ind w:left="350" w:leftChars="-100" w:hanging="560" w:hanging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各县、区经济和信息化都门会同财政部门审核无误后，2022年</w:t>
      </w:r>
    </w:p>
    <w:p>
      <w:pPr>
        <w:keepNext w:val="0"/>
        <w:keepLines w:val="0"/>
        <w:pageBreakBefore w:val="0"/>
        <w:numPr>
          <w:ilvl w:val="0"/>
          <w:numId w:val="0"/>
        </w:numPr>
        <w:kinsoku/>
        <w:wordWrap/>
        <w:overflowPunct/>
        <w:topLinePunct w:val="0"/>
        <w:autoSpaceDE/>
        <w:autoSpaceDN/>
        <w:bidi w:val="0"/>
        <w:adjustRightInd/>
        <w:snapToGrid/>
        <w:spacing w:line="240" w:lineRule="auto"/>
        <w:ind w:left="349" w:leftChars="33" w:hanging="280" w:hanging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 月 28日前将奖补资金拨付支企业账户。</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企业未按时按要求报送相关资料的视为自动放弃，不再受理。</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840" w:firstLineChars="3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2、资金落实情况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9" w:leftChars="33"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在6月8号出新的通知严格按照专项资金管理有关规定，及时兑现奖补资金。</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3、项目管理过程情况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怀远县经信局联合县财政局、税务局、人社局对符合要求企业的税收、营业收入，企业职工的行程码、社保等进行审核，确保专项经费专项开支，未被其他费用挤占，保障各项惠企优企政策措施落地见效， 有效做好县企业稳产留工工作。最后筛选出符合条件的企业有116户，员工176位，共计奖补677.60万。</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4、财务管理情况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9" w:leftChars="33"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怀远县经信局制定了《关于政策奖补类项目经费管理暂行办法》没能严格按照专项资金管理暂行办法有关规定进行管理，因没有提供资金来源凭证无法判断是否做到专款专用，能按照项目程序办事，但未做到及时准确拨付到相关实施主体。手续相对完备，因未提供资金来源凭证无法准确分析是否有截留、挤占、挪用、虚报套取等现象。在抽查中发现怀远县双桥镇人民政府拨付给怀远县瑞丰粮贸有限公司5万元奖补，没有转到企业账户，却转给企业指定的个人账户即李明霞银行卡上，经查李明霞系公司法人，但不符合现金管理办法。</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5、项目产出情况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数量指标：支持2022年春节期间稳产留工的人员176人，2022年春节期间稳定生产的企业116家；</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质量指标：2022年第一季度营业收入较去年同期增长10%及以上的企业116家；</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9" w:leftChars="33"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时效指标：资金到位率较不太及时；但与文件规定还是有一定的差距。</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9" w:leftChars="33"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成本指标：严格按文件要求，在预算范围内，奖补资金为677.60万。</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840" w:firstLineChars="3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6、</w:t>
      </w:r>
      <w:r>
        <w:rPr>
          <w:rFonts w:hint="eastAsia" w:ascii="仿宋" w:hAnsi="仿宋" w:eastAsia="仿宋" w:cs="仿宋"/>
          <w:color w:val="000000"/>
          <w:kern w:val="0"/>
          <w:sz w:val="28"/>
          <w:szCs w:val="28"/>
        </w:rPr>
        <w:t>发挥</w:t>
      </w:r>
      <w:r>
        <w:rPr>
          <w:rFonts w:hint="eastAsia" w:ascii="仿宋" w:hAnsi="仿宋" w:eastAsia="仿宋" w:cs="仿宋"/>
          <w:color w:val="000000"/>
          <w:kern w:val="0"/>
          <w:sz w:val="28"/>
          <w:szCs w:val="28"/>
          <w:lang w:val="en-US" w:eastAsia="zh-CN"/>
        </w:rPr>
        <w:t>经济</w:t>
      </w:r>
      <w:r>
        <w:rPr>
          <w:rFonts w:hint="eastAsia" w:ascii="仿宋" w:hAnsi="仿宋" w:eastAsia="仿宋" w:cs="仿宋"/>
          <w:color w:val="000000"/>
          <w:kern w:val="0"/>
          <w:sz w:val="28"/>
          <w:szCs w:val="28"/>
        </w:rPr>
        <w:t>效益</w:t>
      </w:r>
      <w:r>
        <w:rPr>
          <w:rFonts w:hint="eastAsia" w:ascii="仿宋" w:hAnsi="仿宋" w:eastAsia="仿宋" w:cs="仿宋"/>
          <w:color w:val="000000"/>
          <w:kern w:val="0"/>
          <w:sz w:val="28"/>
          <w:szCs w:val="28"/>
          <w:lang w:val="en-US" w:eastAsia="zh-CN"/>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9" w:leftChars="33"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2022年第一季度营业收入较去年同期增长10%及以上企业共有116家，因没有设定标准无法判断达到稳定企业生产的目的。</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7、</w:t>
      </w:r>
      <w:r>
        <w:rPr>
          <w:rFonts w:hint="eastAsia" w:ascii="仿宋" w:hAnsi="仿宋" w:eastAsia="仿宋" w:cs="仿宋"/>
          <w:color w:val="000000"/>
          <w:kern w:val="0"/>
          <w:sz w:val="28"/>
          <w:szCs w:val="28"/>
        </w:rPr>
        <w:t>发挥</w:t>
      </w:r>
      <w:r>
        <w:rPr>
          <w:rFonts w:hint="eastAsia" w:ascii="仿宋" w:hAnsi="仿宋" w:eastAsia="仿宋" w:cs="仿宋"/>
          <w:color w:val="000000"/>
          <w:kern w:val="0"/>
          <w:sz w:val="28"/>
          <w:szCs w:val="28"/>
          <w:lang w:val="en-US" w:eastAsia="zh-CN"/>
        </w:rPr>
        <w:t>社会</w:t>
      </w:r>
      <w:r>
        <w:rPr>
          <w:rFonts w:hint="eastAsia" w:ascii="仿宋" w:hAnsi="仿宋" w:eastAsia="仿宋" w:cs="仿宋"/>
          <w:color w:val="000000"/>
          <w:kern w:val="0"/>
          <w:sz w:val="28"/>
          <w:szCs w:val="28"/>
        </w:rPr>
        <w:t>效益</w:t>
      </w:r>
      <w:r>
        <w:rPr>
          <w:rFonts w:hint="eastAsia" w:ascii="仿宋" w:hAnsi="仿宋" w:eastAsia="仿宋" w:cs="仿宋"/>
          <w:color w:val="000000"/>
          <w:kern w:val="0"/>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ind w:left="69" w:leftChars="33"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营造鼓励和支持企业稳产留工的社会氛围达到预期效果，政策宣传发挥了社会效益，但没有量化无法分析出发挥社会效益影响程度。</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资金投入和使用情况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60" w:firstLineChars="200"/>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资金投入：支持企业稳定生产共有116户企业奖补资金660万元、支持企业稳岗留工共有176人奖补资金17.6万，合计677.6万元。</w:t>
      </w:r>
      <w:r>
        <w:rPr>
          <w:rFonts w:hint="eastAsia" w:ascii="仿宋" w:hAnsi="仿宋" w:eastAsia="仿宋" w:cs="仿宋"/>
          <w:color w:val="333333"/>
          <w:kern w:val="0"/>
          <w:sz w:val="28"/>
          <w:szCs w:val="28"/>
        </w:rPr>
        <w:t>由</w:t>
      </w:r>
      <w:r>
        <w:rPr>
          <w:rFonts w:hint="eastAsia" w:ascii="仿宋" w:hAnsi="仿宋" w:eastAsia="仿宋" w:cs="仿宋"/>
          <w:color w:val="333333"/>
          <w:kern w:val="0"/>
          <w:sz w:val="28"/>
          <w:szCs w:val="28"/>
          <w:lang w:val="en-US" w:eastAsia="zh-CN"/>
        </w:rPr>
        <w:t>怀远县经信局申请企业稳产与留工补助资金677.6万元，其中市级承担奖补资金203.28万元，本级承担奖补资金474.32万元</w:t>
      </w:r>
      <w:r>
        <w:rPr>
          <w:rFonts w:hint="eastAsia" w:ascii="仿宋" w:hAnsi="仿宋" w:eastAsia="仿宋" w:cs="仿宋"/>
          <w:color w:val="333333"/>
          <w:kern w:val="0"/>
          <w:sz w:val="28"/>
          <w:szCs w:val="28"/>
        </w:rPr>
        <w:t>。</w:t>
      </w:r>
    </w:p>
    <w:p>
      <w:pPr>
        <w:pStyle w:val="2"/>
        <w:keepNext w:val="0"/>
        <w:keepLines w:val="0"/>
        <w:pageBreakBefore w:val="0"/>
        <w:kinsoku/>
        <w:wordWrap/>
        <w:overflowPunct/>
        <w:topLinePunct w:val="0"/>
        <w:autoSpaceDE/>
        <w:autoSpaceDN/>
        <w:bidi w:val="0"/>
        <w:adjustRightInd/>
        <w:snapToGrid/>
        <w:spacing w:line="240" w:lineRule="auto"/>
        <w:ind w:left="-210" w:leftChars="-100" w:firstLine="2800" w:firstLineChars="1000"/>
        <w:rPr>
          <w:rFonts w:hint="eastAsia" w:ascii="仿宋" w:hAnsi="仿宋" w:eastAsia="仿宋" w:cs="仿宋"/>
          <w:sz w:val="28"/>
          <w:szCs w:val="28"/>
          <w:lang w:val="en-US" w:eastAsia="zh-CN"/>
        </w:rPr>
      </w:pPr>
      <w:r>
        <w:rPr>
          <w:rFonts w:hint="eastAsia" w:ascii="仿宋" w:hAnsi="仿宋" w:eastAsia="仿宋" w:cs="仿宋"/>
          <w:color w:val="333333"/>
          <w:kern w:val="0"/>
          <w:sz w:val="28"/>
          <w:szCs w:val="28"/>
          <w:lang w:val="en-US" w:eastAsia="zh-CN"/>
        </w:rPr>
        <w:t>资金使用情况：</w:t>
      </w:r>
    </w:p>
    <w:tbl>
      <w:tblPr>
        <w:tblStyle w:val="6"/>
        <w:tblpPr w:leftFromText="180" w:rightFromText="180" w:vertAnchor="text" w:horzAnchor="page" w:tblpX="1797" w:tblpY="1034"/>
        <w:tblOverlap w:val="never"/>
        <w:tblW w:w="89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7"/>
        <w:gridCol w:w="1318"/>
        <w:gridCol w:w="1296"/>
        <w:gridCol w:w="3563"/>
        <w:gridCol w:w="647"/>
        <w:gridCol w:w="15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3" w:hRule="atLeast"/>
        </w:trPr>
        <w:tc>
          <w:tcPr>
            <w:tcW w:w="8968" w:type="dxa"/>
            <w:gridSpan w:val="6"/>
            <w:tcBorders>
              <w:top w:val="nil"/>
              <w:left w:val="nil"/>
              <w:bottom w:val="nil"/>
              <w:right w:val="nil"/>
            </w:tcBorders>
            <w:shd w:val="clear" w:color="auto" w:fill="auto"/>
            <w:noWrap/>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top"/>
              <w:rPr>
                <w:rFonts w:hint="eastAsia" w:ascii="宋体" w:hAnsi="宋体" w:eastAsia="宋体" w:cs="宋体"/>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2022年春节支持企业稳产留工奖补资金（补贴个人）花名册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序号</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日期</w:t>
            </w: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拨付单位</w:t>
            </w: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收款单位</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人数</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2022/5/6</w:t>
            </w:r>
          </w:p>
        </w:tc>
        <w:tc>
          <w:tcPr>
            <w:tcW w:w="1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怀远县经济和信息化局</w:t>
            </w: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安徽省大富机电技术有限公司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84</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84,000.00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怀远县天雪面粉有限责任公司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安徽福瑞斯特玻璃制品有限公司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安徽沃木采暖科技有限公司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5,000.00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蚌埠市联合压缩机制造有限公司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2,000.00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安徽省粤隆印刷科技有限公司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万华禾香板业（怀远）有限责任公司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16</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16,000.00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蚌埠市万科硅材料科技有限公司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2,000.00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安徽金田彩印包装有限公司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安徽雁湖面粉有限公司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11</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安徽来福电子科技有限公司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11</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11,000.00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12</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安徽奥博汽车配件有限公司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2,000.00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13</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安徽中草香料股份有限公司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8,000.00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14</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蚌埠市兄弟粮油食品科技有限公司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15</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安徽艾斯顿轮胎有限公司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3,000.00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16</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安徽吉宏环保纸品有限公司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12</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12,000.00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17</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安徽壹石通材料科技股份有限公司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19</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19,000.00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18</w:t>
            </w: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2022/4/27</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蚌埠壹石通聚合物复合材料有限公司</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6,000.00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0"/>
                <w:szCs w:val="20"/>
                <w:u w:val="none"/>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仿宋" w:hAnsi="仿宋" w:eastAsia="仿宋" w:cs="仿宋"/>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仿宋" w:hAnsi="仿宋" w:eastAsia="仿宋" w:cs="仿宋"/>
                <w:i w:val="0"/>
                <w:iCs w:val="0"/>
                <w:color w:val="000000"/>
                <w:sz w:val="20"/>
                <w:szCs w:val="20"/>
                <w:u w:val="none"/>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合计</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176 </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 xml:space="preserve">176,000.00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637"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宋体" w:hAnsi="宋体" w:eastAsia="宋体" w:cs="宋体"/>
                <w:i w:val="0"/>
                <w:iCs w:val="0"/>
                <w:color w:val="000000"/>
                <w:sz w:val="22"/>
                <w:szCs w:val="22"/>
                <w:u w:val="none"/>
              </w:rPr>
            </w:pPr>
          </w:p>
        </w:tc>
        <w:tc>
          <w:tcPr>
            <w:tcW w:w="1318"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c>
          <w:tcPr>
            <w:tcW w:w="1296"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c>
          <w:tcPr>
            <w:tcW w:w="3563"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c>
          <w:tcPr>
            <w:tcW w:w="647"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c>
          <w:tcPr>
            <w:tcW w:w="1507"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trPr>
        <w:tc>
          <w:tcPr>
            <w:tcW w:w="637"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宋体" w:hAnsi="宋体" w:eastAsia="宋体" w:cs="宋体"/>
                <w:i w:val="0"/>
                <w:iCs w:val="0"/>
                <w:color w:val="000000"/>
                <w:sz w:val="22"/>
                <w:szCs w:val="22"/>
                <w:u w:val="none"/>
              </w:rPr>
            </w:pPr>
          </w:p>
        </w:tc>
        <w:tc>
          <w:tcPr>
            <w:tcW w:w="1318"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c>
          <w:tcPr>
            <w:tcW w:w="1296"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c>
          <w:tcPr>
            <w:tcW w:w="3563"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c>
          <w:tcPr>
            <w:tcW w:w="647"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c>
          <w:tcPr>
            <w:tcW w:w="1507" w:type="dxa"/>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8968" w:type="dxa"/>
            <w:gridSpan w:val="6"/>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宋体" w:hAnsi="宋体" w:eastAsia="宋体" w:cs="宋体"/>
                <w:i w:val="0"/>
                <w:iCs w:val="0"/>
                <w:color w:val="000000"/>
                <w:sz w:val="22"/>
                <w:szCs w:val="22"/>
                <w:u w:val="none"/>
              </w:rPr>
            </w:pPr>
            <w:r>
              <w:rPr>
                <w:rFonts w:hint="eastAsia" w:ascii="仿宋" w:hAnsi="仿宋" w:eastAsia="仿宋" w:cs="仿宋"/>
                <w:i w:val="0"/>
                <w:iCs w:val="0"/>
                <w:color w:val="000000"/>
                <w:kern w:val="0"/>
                <w:sz w:val="24"/>
                <w:szCs w:val="24"/>
                <w:u w:val="none"/>
                <w:lang w:val="en-US" w:eastAsia="zh-CN" w:bidi="ar"/>
              </w:rPr>
              <w:t>备注：过节补贴期限是对2022年1月26日（小年）至2月9日期间留蚌，且在蚌埠缴纳社会保险的非蚌埠市户籍员工，按每人1000元的标准一次性过节补贴。</w:t>
            </w:r>
          </w:p>
        </w:tc>
      </w:tr>
    </w:tbl>
    <w:p>
      <w:pPr>
        <w:pStyle w:val="2"/>
        <w:keepNext w:val="0"/>
        <w:keepLines w:val="0"/>
        <w:pageBreakBefore w:val="0"/>
        <w:kinsoku/>
        <w:wordWrap/>
        <w:overflowPunct/>
        <w:topLinePunct w:val="0"/>
        <w:autoSpaceDE/>
        <w:autoSpaceDN/>
        <w:bidi w:val="0"/>
        <w:adjustRightInd/>
        <w:snapToGrid/>
        <w:spacing w:line="240" w:lineRule="auto"/>
        <w:ind w:left="-210" w:leftChars="-100" w:firstLine="0" w:firstLineChars="0"/>
        <w:rPr>
          <w:rFonts w:ascii="楷体_GB2312" w:hAnsi="Times New Roman" w:eastAsia="楷体_GB2312" w:cs="Times New Roman"/>
          <w:sz w:val="24"/>
          <w:szCs w:val="24"/>
        </w:rPr>
      </w:pPr>
    </w:p>
    <w:tbl>
      <w:tblPr>
        <w:tblStyle w:val="6"/>
        <w:tblW w:w="90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
        <w:gridCol w:w="1297"/>
        <w:gridCol w:w="1620"/>
        <w:gridCol w:w="1922"/>
        <w:gridCol w:w="873"/>
        <w:gridCol w:w="1162"/>
        <w:gridCol w:w="16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0" w:hRule="atLeast"/>
        </w:trPr>
        <w:tc>
          <w:tcPr>
            <w:tcW w:w="9060" w:type="dxa"/>
            <w:gridSpan w:val="7"/>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2022年春节支持企业稳产留工奖补资金（补贴单位）情况表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3" w:hRule="atLeast"/>
        </w:trPr>
        <w:tc>
          <w:tcPr>
            <w:tcW w:w="0" w:type="auto"/>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b/>
                <w:bCs/>
                <w:i w:val="0"/>
                <w:iCs w:val="0"/>
                <w:color w:val="000000"/>
                <w:sz w:val="24"/>
                <w:szCs w:val="24"/>
                <w:u w:val="none"/>
              </w:rPr>
            </w:pPr>
          </w:p>
        </w:tc>
        <w:tc>
          <w:tcPr>
            <w:tcW w:w="0" w:type="auto"/>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b/>
                <w:bCs/>
                <w:i w:val="0"/>
                <w:iCs w:val="0"/>
                <w:color w:val="000000"/>
                <w:sz w:val="24"/>
                <w:szCs w:val="24"/>
                <w:u w:val="none"/>
              </w:rPr>
            </w:pPr>
          </w:p>
        </w:tc>
        <w:tc>
          <w:tcPr>
            <w:tcW w:w="0" w:type="auto"/>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b/>
                <w:bCs/>
                <w:i w:val="0"/>
                <w:iCs w:val="0"/>
                <w:color w:val="000000"/>
                <w:sz w:val="24"/>
                <w:szCs w:val="24"/>
                <w:u w:val="none"/>
              </w:rPr>
            </w:pPr>
          </w:p>
        </w:tc>
        <w:tc>
          <w:tcPr>
            <w:tcW w:w="0" w:type="auto"/>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b/>
                <w:bCs/>
                <w:i w:val="0"/>
                <w:iCs w:val="0"/>
                <w:color w:val="000000"/>
                <w:sz w:val="24"/>
                <w:szCs w:val="24"/>
                <w:u w:val="none"/>
              </w:rPr>
            </w:pPr>
          </w:p>
        </w:tc>
        <w:tc>
          <w:tcPr>
            <w:tcW w:w="0" w:type="auto"/>
            <w:gridSpan w:val="3"/>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付款单位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付款日期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收款单位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企业数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奖补金额</w:t>
            </w: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镇政府付给企业日期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怀远县经济和信息化局</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2022-10-10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怀远经济开发区管理委员会专项资金专户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4"/>
                <w:szCs w:val="24"/>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2022-09-28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怀远县白莲坡镇人民政府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4"/>
                <w:szCs w:val="24"/>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2022-09-28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怀远县包集镇人民政府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4"/>
                <w:szCs w:val="24"/>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2022-09-28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怀远县常坟镇人民政府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4"/>
                <w:szCs w:val="24"/>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2022-09-28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怀远县淝河镇人民政府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4"/>
                <w:szCs w:val="24"/>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2022-09-28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怀远县淝南镇人民政府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4"/>
                <w:szCs w:val="24"/>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2022-09-28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怀远县古城镇人民政府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4"/>
                <w:szCs w:val="24"/>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2022-09-28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怀远县河溜镇人民政府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4"/>
                <w:szCs w:val="24"/>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2022-09-28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怀远县荆山镇人民政府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4"/>
                <w:szCs w:val="24"/>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2022-09-28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怀远县榴城镇人民政府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4"/>
                <w:szCs w:val="24"/>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2022-09-28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怀远县龙亢镇人民政府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4"/>
                <w:szCs w:val="24"/>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2022-09-28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怀远县双桥镇人民政府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4"/>
                <w:szCs w:val="24"/>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2022-09-28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怀远县唐集镇人民政府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2022/11/15至2022-12-20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i w:val="0"/>
                <w:iCs w:val="0"/>
                <w:color w:val="000000"/>
                <w:sz w:val="24"/>
                <w:szCs w:val="24"/>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2022-09-28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怀远县徐圩乡人民政府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righ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2022/10/28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仿宋" w:hAnsi="仿宋" w:eastAsia="仿宋" w:cs="仿宋"/>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仿宋" w:hAnsi="仿宋" w:eastAsia="仿宋" w:cs="仿宋"/>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仿宋" w:hAnsi="仿宋" w:eastAsia="仿宋" w:cs="仿宋"/>
                <w:i w:val="0"/>
                <w:iCs w:val="0"/>
                <w:color w:val="000000"/>
                <w:sz w:val="24"/>
                <w:szCs w:val="24"/>
                <w:u w:val="none"/>
              </w:rPr>
            </w:pP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snapToGrid/>
              <w:spacing w:line="240" w:lineRule="auto"/>
              <w:ind w:left="-210" w:leftChars="-100"/>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8" w:hRule="atLeast"/>
        </w:trPr>
        <w:tc>
          <w:tcPr>
            <w:tcW w:w="9060" w:type="dxa"/>
            <w:gridSpan w:val="7"/>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注：2021年度应税销售收入在10亿元以上(含10亿元)的，一次性奖补30万元; 5亿元-10亿元(含5亿元)的，一次性奖补20万元; 1亿元-5亿元(含1亿元)的，一次性奖补10万元; 1亿元以下的，一次性奖补5万元。</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以上政策企业免申即享，4月25日前，各县、区经济和信息化都门会同财政部门梳理符合稳产奖补条件的企业名单，并于4月底前将奖补资金拨付至企业账户</w:t>
            </w:r>
          </w:p>
        </w:tc>
      </w:tr>
    </w:tbl>
    <w:p>
      <w:pPr>
        <w:keepNext w:val="0"/>
        <w:keepLines w:val="0"/>
        <w:pageBreakBefore w:val="0"/>
        <w:kinsoku/>
        <w:wordWrap/>
        <w:overflowPunct/>
        <w:topLinePunct w:val="0"/>
        <w:autoSpaceDE/>
        <w:autoSpaceDN/>
        <w:bidi w:val="0"/>
        <w:adjustRightInd/>
        <w:snapToGrid/>
        <w:spacing w:line="240" w:lineRule="auto"/>
        <w:ind w:left="-210" w:leftChars="-100" w:firstLine="560" w:firstLineChars="200"/>
        <w:outlineLvl w:val="1"/>
        <w:rPr>
          <w:rFonts w:hint="eastAsia" w:ascii="仿宋" w:hAnsi="仿宋" w:eastAsia="仿宋" w:cs="仿宋"/>
          <w:sz w:val="28"/>
          <w:szCs w:val="28"/>
        </w:rPr>
      </w:pPr>
      <w:bookmarkStart w:id="17" w:name="_Toc32417"/>
      <w:r>
        <w:rPr>
          <w:rFonts w:hint="eastAsia" w:ascii="仿宋" w:hAnsi="仿宋" w:eastAsia="仿宋" w:cs="仿宋"/>
          <w:sz w:val="28"/>
          <w:szCs w:val="28"/>
        </w:rPr>
        <w:t>（二）项目绩效目标</w:t>
      </w:r>
      <w:bookmarkEnd w:id="17"/>
    </w:p>
    <w:p>
      <w:pPr>
        <w:keepNext w:val="0"/>
        <w:keepLines w:val="0"/>
        <w:pageBreakBefore w:val="0"/>
        <w:kinsoku/>
        <w:wordWrap/>
        <w:overflowPunct/>
        <w:topLinePunct w:val="0"/>
        <w:autoSpaceDE/>
        <w:autoSpaceDN/>
        <w:bidi w:val="0"/>
        <w:adjustRightInd/>
        <w:snapToGrid/>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1.总体目标</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60" w:firstLineChars="200"/>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202</w:t>
      </w:r>
      <w:r>
        <w:rPr>
          <w:rFonts w:hint="eastAsia" w:ascii="仿宋" w:hAnsi="仿宋" w:eastAsia="仿宋" w:cs="仿宋"/>
          <w:color w:val="333333"/>
          <w:kern w:val="0"/>
          <w:sz w:val="28"/>
          <w:szCs w:val="28"/>
          <w:lang w:val="en-US" w:eastAsia="zh-CN"/>
        </w:rPr>
        <w:t>2</w:t>
      </w:r>
      <w:r>
        <w:rPr>
          <w:rFonts w:hint="eastAsia" w:ascii="仿宋" w:hAnsi="仿宋" w:eastAsia="仿宋" w:cs="仿宋"/>
          <w:color w:val="333333"/>
          <w:kern w:val="0"/>
          <w:sz w:val="28"/>
          <w:szCs w:val="28"/>
        </w:rPr>
        <w:t>年</w:t>
      </w:r>
      <w:r>
        <w:rPr>
          <w:rFonts w:hint="eastAsia" w:ascii="仿宋" w:hAnsi="仿宋" w:eastAsia="仿宋" w:cs="仿宋"/>
          <w:color w:val="333333"/>
          <w:kern w:val="0"/>
          <w:sz w:val="28"/>
          <w:szCs w:val="28"/>
          <w:lang w:val="en-US" w:eastAsia="zh-CN"/>
        </w:rPr>
        <w:t>怀远县水利局</w:t>
      </w:r>
      <w:r>
        <w:rPr>
          <w:rFonts w:hint="eastAsia" w:ascii="仿宋" w:hAnsi="仿宋" w:eastAsia="仿宋" w:cs="仿宋"/>
          <w:color w:val="333333"/>
          <w:kern w:val="0"/>
          <w:sz w:val="28"/>
          <w:szCs w:val="28"/>
        </w:rPr>
        <w:t>项目的总体目标为：积极</w:t>
      </w:r>
      <w:r>
        <w:rPr>
          <w:rFonts w:hint="eastAsia" w:ascii="仿宋" w:hAnsi="仿宋" w:eastAsia="仿宋" w:cs="仿宋"/>
          <w:color w:val="333333"/>
          <w:kern w:val="0"/>
          <w:sz w:val="28"/>
          <w:szCs w:val="28"/>
          <w:lang w:val="en-US" w:eastAsia="zh-CN"/>
        </w:rPr>
        <w:t>落实</w:t>
      </w:r>
      <w:r>
        <w:rPr>
          <w:rFonts w:hint="eastAsia" w:ascii="仿宋" w:hAnsi="仿宋" w:eastAsia="仿宋" w:cs="仿宋"/>
          <w:sz w:val="28"/>
          <w:szCs w:val="28"/>
        </w:rPr>
        <w:t>20</w:t>
      </w:r>
      <w:r>
        <w:rPr>
          <w:rFonts w:hint="eastAsia" w:ascii="仿宋" w:hAnsi="仿宋" w:eastAsia="仿宋" w:cs="仿宋"/>
          <w:sz w:val="28"/>
          <w:szCs w:val="28"/>
          <w:lang w:val="en-US" w:eastAsia="zh-CN"/>
        </w:rPr>
        <w:t>22年春节期间由《</w:t>
      </w:r>
      <w:r>
        <w:rPr>
          <w:rFonts w:hint="eastAsia" w:ascii="仿宋" w:hAnsi="仿宋" w:eastAsia="仿宋" w:cs="仿宋"/>
          <w:color w:val="333333"/>
          <w:kern w:val="0"/>
          <w:sz w:val="28"/>
          <w:szCs w:val="28"/>
          <w:lang w:val="en-US" w:eastAsia="zh-CN"/>
        </w:rPr>
        <w:t>蚌埠市经济和信息化局、蚌埠市人力资源和社会保障局、蚌埠市住房和城乡建设局、蚌埠市财政局</w:t>
      </w:r>
      <w:r>
        <w:rPr>
          <w:rFonts w:hint="eastAsia" w:ascii="仿宋" w:hAnsi="仿宋" w:eastAsia="仿宋" w:cs="仿宋"/>
          <w:color w:val="333333"/>
          <w:kern w:val="0"/>
          <w:sz w:val="28"/>
          <w:szCs w:val="28"/>
        </w:rPr>
        <w:t>关于蚌埠市2022 年春节期间支持企业稳产留工奖补措施的通知》</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蚌经信中小企业【2022】7号）</w:t>
      </w:r>
      <w:r>
        <w:rPr>
          <w:rFonts w:hint="eastAsia" w:ascii="仿宋" w:hAnsi="仿宋" w:eastAsia="仿宋" w:cs="仿宋"/>
          <w:color w:val="333333"/>
          <w:kern w:val="0"/>
          <w:sz w:val="28"/>
          <w:szCs w:val="28"/>
        </w:rPr>
        <w:t>要求</w:t>
      </w:r>
    </w:p>
    <w:p>
      <w:pPr>
        <w:keepNext w:val="0"/>
        <w:keepLines w:val="0"/>
        <w:pageBreakBefore w:val="0"/>
        <w:kinsoku/>
        <w:wordWrap/>
        <w:overflowPunct/>
        <w:topLinePunct w:val="0"/>
        <w:autoSpaceDE/>
        <w:autoSpaceDN/>
        <w:bidi w:val="0"/>
        <w:adjustRightInd/>
        <w:snapToGrid/>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2.年度绩效目标</w:t>
      </w:r>
    </w:p>
    <w:p>
      <w:pPr>
        <w:keepNext w:val="0"/>
        <w:keepLines w:val="0"/>
        <w:pageBreakBefore w:val="0"/>
        <w:kinsoku/>
        <w:wordWrap/>
        <w:overflowPunct/>
        <w:topLinePunct w:val="0"/>
        <w:autoSpaceDE/>
        <w:autoSpaceDN/>
        <w:bidi w:val="0"/>
        <w:adjustRightInd/>
        <w:snapToGrid/>
        <w:spacing w:before="1" w:line="240" w:lineRule="auto"/>
        <w:ind w:firstLine="552" w:firstLineChars="200"/>
        <w:rPr>
          <w:rFonts w:hint="eastAsia" w:ascii="仿宋" w:hAnsi="仿宋" w:eastAsia="仿宋" w:cs="仿宋"/>
          <w:sz w:val="28"/>
          <w:szCs w:val="28"/>
        </w:rPr>
      </w:pPr>
      <w:r>
        <w:rPr>
          <w:rFonts w:hint="eastAsia" w:ascii="仿宋" w:hAnsi="仿宋" w:eastAsia="仿宋" w:cs="仿宋"/>
          <w:spacing w:val="-2"/>
          <w:sz w:val="28"/>
          <w:szCs w:val="28"/>
        </w:rPr>
        <w:t>通过四送一服、走访调研等形式，</w:t>
      </w:r>
      <w:r>
        <w:rPr>
          <w:rFonts w:hint="eastAsia" w:ascii="仿宋" w:hAnsi="仿宋" w:eastAsia="仿宋" w:cs="仿宋"/>
          <w:spacing w:val="8"/>
          <w:sz w:val="28"/>
          <w:szCs w:val="28"/>
        </w:rPr>
        <w:t xml:space="preserve"> </w:t>
      </w:r>
      <w:r>
        <w:rPr>
          <w:rFonts w:hint="eastAsia" w:ascii="仿宋" w:hAnsi="仿宋" w:eastAsia="仿宋" w:cs="仿宋"/>
          <w:spacing w:val="-1"/>
          <w:sz w:val="28"/>
          <w:szCs w:val="28"/>
        </w:rPr>
        <w:t>广泛开展春节前服务企业活动，主动做好春节期间企业、项</w:t>
      </w:r>
      <w:r>
        <w:rPr>
          <w:rFonts w:hint="eastAsia" w:ascii="仿宋" w:hAnsi="仿宋" w:eastAsia="仿宋" w:cs="仿宋"/>
          <w:spacing w:val="-3"/>
          <w:sz w:val="28"/>
          <w:szCs w:val="28"/>
        </w:rPr>
        <w:t>目的服务保障工作，切实帮助企业解难题、办实事，按时做</w:t>
      </w:r>
      <w:r>
        <w:rPr>
          <w:rFonts w:hint="eastAsia" w:ascii="仿宋" w:hAnsi="仿宋" w:eastAsia="仿宋" w:cs="仿宋"/>
          <w:spacing w:val="11"/>
          <w:sz w:val="28"/>
          <w:szCs w:val="28"/>
        </w:rPr>
        <w:t>好政策兑现</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对2022年第一季度营业收入较去年同期增长10%及以上的，分别给予每户最高5-30万的补贴。对2022年1月26日（小年）至2月9日期间（以下简称“春节期间”）留蚌，且在蚌缴纳社会保险的非我市户籍员工，按照每人1000元的标准发放一次性过节补贴，在规定时间内拨付资金及时到位。</w:t>
      </w:r>
    </w:p>
    <w:p>
      <w:pPr>
        <w:keepNext w:val="0"/>
        <w:keepLines w:val="0"/>
        <w:pageBreakBefore w:val="0"/>
        <w:kinsoku/>
        <w:wordWrap/>
        <w:overflowPunct/>
        <w:topLinePunct w:val="0"/>
        <w:autoSpaceDE/>
        <w:autoSpaceDN/>
        <w:bidi w:val="0"/>
        <w:adjustRightInd/>
        <w:snapToGrid/>
        <w:spacing w:line="240" w:lineRule="auto"/>
        <w:ind w:firstLine="562" w:firstLineChars="200"/>
        <w:outlineLvl w:val="0"/>
        <w:rPr>
          <w:rFonts w:hint="eastAsia" w:ascii="仿宋" w:hAnsi="仿宋" w:eastAsia="仿宋" w:cs="仿宋"/>
          <w:b/>
          <w:bCs/>
          <w:sz w:val="28"/>
          <w:szCs w:val="28"/>
        </w:rPr>
      </w:pPr>
      <w:bookmarkStart w:id="18" w:name="_Toc3602"/>
      <w:r>
        <w:rPr>
          <w:rFonts w:hint="eastAsia" w:ascii="仿宋" w:hAnsi="仿宋" w:eastAsia="仿宋" w:cs="仿宋"/>
          <w:b/>
          <w:bCs/>
          <w:sz w:val="28"/>
          <w:szCs w:val="28"/>
        </w:rPr>
        <w:t>二、绩效评价工作开展情况</w:t>
      </w:r>
      <w:bookmarkEnd w:id="18"/>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80" w:firstLineChars="100"/>
        <w:rPr>
          <w:rFonts w:hint="eastAsia" w:ascii="仿宋" w:hAnsi="仿宋" w:eastAsia="仿宋" w:cs="仿宋"/>
          <w:color w:val="333333"/>
          <w:kern w:val="0"/>
          <w:sz w:val="28"/>
          <w:szCs w:val="28"/>
          <w:lang w:val="en-US" w:eastAsia="zh-CN"/>
        </w:rPr>
      </w:pPr>
      <w:bookmarkStart w:id="19" w:name="_Toc23951"/>
      <w:r>
        <w:rPr>
          <w:rFonts w:hint="eastAsia" w:ascii="仿宋" w:hAnsi="仿宋" w:eastAsia="仿宋" w:cs="仿宋"/>
          <w:color w:val="333333"/>
          <w:kern w:val="0"/>
          <w:sz w:val="28"/>
          <w:szCs w:val="28"/>
          <w:lang w:val="en-US" w:eastAsia="zh-CN"/>
        </w:rPr>
        <w:t>（一）</w:t>
      </w:r>
      <w:bookmarkStart w:id="20" w:name="_Hlk79591799"/>
      <w:r>
        <w:rPr>
          <w:rFonts w:hint="eastAsia" w:ascii="仿宋" w:hAnsi="仿宋" w:eastAsia="仿宋" w:cs="仿宋"/>
          <w:color w:val="333333"/>
          <w:kern w:val="0"/>
          <w:sz w:val="28"/>
          <w:szCs w:val="28"/>
          <w:lang w:val="en-US" w:eastAsia="zh-CN"/>
        </w:rPr>
        <w:t>绩效评价</w:t>
      </w:r>
      <w:bookmarkEnd w:id="20"/>
      <w:r>
        <w:rPr>
          <w:rFonts w:hint="eastAsia" w:ascii="仿宋" w:hAnsi="仿宋" w:eastAsia="仿宋" w:cs="仿宋"/>
          <w:color w:val="333333"/>
          <w:kern w:val="0"/>
          <w:sz w:val="28"/>
          <w:szCs w:val="28"/>
          <w:lang w:val="en-US" w:eastAsia="zh-CN"/>
        </w:rPr>
        <w:t>目的、对象和范围</w:t>
      </w:r>
      <w:bookmarkEnd w:id="19"/>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60" w:firstLineChars="200"/>
        <w:rPr>
          <w:rFonts w:hint="eastAsia" w:ascii="仿宋" w:hAnsi="仿宋" w:eastAsia="仿宋" w:cs="仿宋"/>
          <w:color w:val="333333"/>
          <w:kern w:val="0"/>
          <w:sz w:val="28"/>
          <w:szCs w:val="28"/>
          <w:lang w:val="en-US"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rPr>
        <w:t>绩效评价目的</w:t>
      </w:r>
      <w:r>
        <w:rPr>
          <w:rFonts w:hint="eastAsia" w:ascii="仿宋" w:hAnsi="仿宋" w:eastAsia="仿宋" w:cs="仿宋"/>
          <w:sz w:val="28"/>
          <w:szCs w:val="28"/>
          <w:lang w:eastAsia="zh-CN"/>
        </w:rPr>
        <w:t>：</w:t>
      </w:r>
      <w:r>
        <w:rPr>
          <w:rFonts w:hint="eastAsia" w:ascii="仿宋" w:hAnsi="仿宋" w:eastAsia="仿宋" w:cs="仿宋"/>
          <w:color w:val="333333"/>
          <w:kern w:val="0"/>
          <w:sz w:val="28"/>
          <w:szCs w:val="28"/>
          <w:lang w:val="en-US" w:eastAsia="zh-CN"/>
        </w:rPr>
        <w:t>加强项目预算绩效管理，提高财政资金使用效益，根据县财政局工作有关要求，我局开展了2022年度春节期间支持企业稳产留工奖补资金项目绩效评价工作，通过政府下达的通知进行项目的立项投入、过程、产出和效果四个方面进行客观、公正的评价，总结本项目实施过程中的经验，发现问题，提出改进该项目立项投入、组织实施、运行管理的具体建议，进一步加强项目管理，提高财政资金的使用效益，为下一步预算资金安排提供重要参考。</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69" w:leftChars="33" w:firstLine="560" w:firstLineChars="200"/>
        <w:rPr>
          <w:rFonts w:hint="eastAsia" w:ascii="仿宋" w:hAnsi="仿宋" w:eastAsia="仿宋" w:cs="仿宋"/>
          <w:color w:val="333333"/>
          <w:kern w:val="0"/>
          <w:sz w:val="28"/>
          <w:szCs w:val="28"/>
          <w:lang w:val="en-US" w:eastAsia="zh-CN"/>
        </w:rPr>
      </w:pPr>
      <w:r>
        <w:rPr>
          <w:rFonts w:hint="eastAsia" w:ascii="仿宋" w:hAnsi="仿宋" w:eastAsia="仿宋" w:cs="仿宋"/>
          <w:sz w:val="28"/>
          <w:szCs w:val="28"/>
        </w:rPr>
        <w:t>2.绩效评价对象。</w:t>
      </w:r>
      <w:r>
        <w:rPr>
          <w:rFonts w:hint="eastAsia" w:ascii="仿宋" w:hAnsi="仿宋" w:eastAsia="仿宋" w:cs="仿宋"/>
          <w:color w:val="333333"/>
          <w:kern w:val="0"/>
          <w:sz w:val="28"/>
          <w:szCs w:val="28"/>
        </w:rPr>
        <w:t>《关于蚌埠市2022 年春节期间支持企业稳产留工奖补措施的通知》</w:t>
      </w:r>
      <w:r>
        <w:rPr>
          <w:rFonts w:hint="eastAsia" w:ascii="仿宋" w:hAnsi="仿宋" w:eastAsia="仿宋" w:cs="仿宋"/>
          <w:color w:val="333333"/>
          <w:kern w:val="0"/>
          <w:sz w:val="28"/>
          <w:szCs w:val="28"/>
          <w:lang w:val="en-US" w:eastAsia="zh-CN"/>
        </w:rPr>
        <w:t>中规定的“2022年春节期间支持企业稳产留工奖补项目支出”评价其效果；</w:t>
      </w:r>
    </w:p>
    <w:p>
      <w:pPr>
        <w:keepNext w:val="0"/>
        <w:keepLines w:val="0"/>
        <w:pageBreakBefore w:val="0"/>
        <w:kinsoku/>
        <w:wordWrap/>
        <w:overflowPunct/>
        <w:topLinePunct w:val="0"/>
        <w:autoSpaceDE/>
        <w:autoSpaceDN/>
        <w:bidi w:val="0"/>
        <w:adjustRightInd/>
        <w:snapToGrid/>
        <w:spacing w:line="240" w:lineRule="auto"/>
        <w:ind w:left="69" w:leftChars="33" w:firstLine="560" w:firstLineChars="200"/>
        <w:rPr>
          <w:rFonts w:hint="eastAsia" w:ascii="仿宋" w:hAnsi="仿宋" w:eastAsia="仿宋" w:cs="仿宋"/>
          <w:sz w:val="28"/>
          <w:szCs w:val="28"/>
        </w:rPr>
      </w:pPr>
      <w:r>
        <w:rPr>
          <w:rFonts w:hint="eastAsia" w:ascii="仿宋" w:hAnsi="仿宋" w:eastAsia="仿宋" w:cs="仿宋"/>
          <w:sz w:val="28"/>
          <w:szCs w:val="28"/>
        </w:rPr>
        <w:t>3.绩效评价范围。本次评价的范围是</w:t>
      </w:r>
      <w:r>
        <w:rPr>
          <w:rFonts w:hint="eastAsia" w:ascii="仿宋" w:hAnsi="仿宋" w:eastAsia="仿宋" w:cs="仿宋"/>
          <w:color w:val="333333"/>
          <w:kern w:val="0"/>
          <w:sz w:val="28"/>
          <w:szCs w:val="28"/>
          <w:lang w:val="en-US" w:eastAsia="zh-CN"/>
        </w:rPr>
        <w:t>“2022年春节期间支持企业稳产留工奖补项目支出”</w:t>
      </w:r>
      <w:r>
        <w:rPr>
          <w:rFonts w:hint="eastAsia" w:ascii="仿宋" w:hAnsi="仿宋" w:eastAsia="仿宋" w:cs="仿宋"/>
          <w:sz w:val="28"/>
          <w:szCs w:val="28"/>
        </w:rPr>
        <w:t>，评价其绩效目标设定情况，资金投入和使用情况，为实现设定的绩效目标所制定的制度、采取的措施等，以及绩效目标最终的实现程度及效果。</w:t>
      </w:r>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21" w:name="_Toc17751"/>
      <w:r>
        <w:rPr>
          <w:rFonts w:hint="eastAsia" w:ascii="仿宋" w:hAnsi="仿宋" w:eastAsia="仿宋" w:cs="仿宋"/>
          <w:sz w:val="28"/>
          <w:szCs w:val="28"/>
        </w:rPr>
        <w:t>（二）绩效评价原则、评价指标体系、评价方法、评价标准</w:t>
      </w:r>
      <w:bookmarkEnd w:id="21"/>
    </w:p>
    <w:p>
      <w:pPr>
        <w:keepNext w:val="0"/>
        <w:keepLines w:val="0"/>
        <w:pageBreakBefore w:val="0"/>
        <w:kinsoku/>
        <w:wordWrap/>
        <w:overflowPunct/>
        <w:topLinePunct w:val="0"/>
        <w:autoSpaceDE/>
        <w:autoSpaceDN/>
        <w:bidi w:val="0"/>
        <w:adjustRightInd/>
        <w:snapToGrid/>
        <w:spacing w:line="240" w:lineRule="auto"/>
        <w:ind w:left="279" w:leftChars="133" w:firstLine="280" w:firstLineChars="100"/>
        <w:rPr>
          <w:rFonts w:hint="eastAsia" w:ascii="仿宋" w:hAnsi="仿宋" w:eastAsia="仿宋" w:cs="仿宋"/>
          <w:sz w:val="28"/>
          <w:szCs w:val="28"/>
        </w:rPr>
      </w:pPr>
      <w:r>
        <w:rPr>
          <w:rFonts w:hint="eastAsia" w:ascii="仿宋" w:hAnsi="仿宋" w:eastAsia="仿宋" w:cs="仿宋"/>
          <w:sz w:val="28"/>
          <w:szCs w:val="28"/>
        </w:rPr>
        <w:t>1.绩效评价原则：科学规范原则、公正公开原则、分级分类原则</w:t>
      </w:r>
    </w:p>
    <w:p>
      <w:pPr>
        <w:keepNext w:val="0"/>
        <w:keepLines w:val="0"/>
        <w:pageBreakBefore w:val="0"/>
        <w:kinsoku/>
        <w:wordWrap/>
        <w:overflowPunct/>
        <w:topLinePunct w:val="0"/>
        <w:autoSpaceDE/>
        <w:autoSpaceDN/>
        <w:bidi w:val="0"/>
        <w:adjustRightInd/>
        <w:snapToGrid/>
        <w:spacing w:line="240" w:lineRule="auto"/>
        <w:rPr>
          <w:rFonts w:hint="eastAsia" w:ascii="仿宋" w:hAnsi="仿宋" w:eastAsia="仿宋" w:cs="仿宋"/>
          <w:sz w:val="28"/>
          <w:szCs w:val="28"/>
        </w:rPr>
      </w:pPr>
      <w:r>
        <w:rPr>
          <w:rFonts w:hint="eastAsia" w:ascii="仿宋" w:hAnsi="仿宋" w:eastAsia="仿宋" w:cs="仿宋"/>
          <w:sz w:val="28"/>
          <w:szCs w:val="28"/>
        </w:rPr>
        <w:t>以及绩效相关原则。</w:t>
      </w:r>
    </w:p>
    <w:p>
      <w:pPr>
        <w:keepNext w:val="0"/>
        <w:keepLines w:val="0"/>
        <w:pageBreakBefore w:val="0"/>
        <w:kinsoku/>
        <w:wordWrap/>
        <w:overflowPunct/>
        <w:topLinePunct w:val="0"/>
        <w:autoSpaceDE/>
        <w:autoSpaceDN/>
        <w:bidi w:val="0"/>
        <w:adjustRightInd/>
        <w:snapToGrid/>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2.评价指标体系</w:t>
      </w:r>
    </w:p>
    <w:p>
      <w:pPr>
        <w:keepNext w:val="0"/>
        <w:keepLines w:val="0"/>
        <w:pageBreakBefore w:val="0"/>
        <w:kinsoku/>
        <w:wordWrap/>
        <w:overflowPunct/>
        <w:topLinePunct w:val="0"/>
        <w:autoSpaceDE/>
        <w:autoSpaceDN/>
        <w:bidi w:val="0"/>
        <w:adjustRightInd/>
        <w:snapToGrid/>
        <w:spacing w:line="240" w:lineRule="auto"/>
        <w:ind w:left="69" w:leftChars="33" w:firstLine="560" w:firstLineChars="200"/>
        <w:rPr>
          <w:rFonts w:hint="eastAsia" w:ascii="仿宋" w:hAnsi="仿宋" w:eastAsia="仿宋" w:cs="仿宋"/>
          <w:sz w:val="28"/>
          <w:szCs w:val="28"/>
        </w:rPr>
      </w:pPr>
      <w:r>
        <w:rPr>
          <w:rFonts w:hint="eastAsia" w:ascii="仿宋" w:hAnsi="仿宋" w:eastAsia="仿宋" w:cs="仿宋"/>
          <w:sz w:val="28"/>
          <w:szCs w:val="28"/>
        </w:rPr>
        <w:t>评价指标体系分别从项目决策、项目过程、项目产出、项目效益四个方面对其财政支出进行评价，指标分值设计遵循了以结果为导向原则，注重产出和效益，适度关注决策、过程管理。本次绩效评价的指标分值设计，在此基础上对二、三级指标进行细分，根据二三级指标与绩效目标的匹配性、在指标中的重要性、以及对一级指标的影响程度来合理确定评价指标的分值比例结构。</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color w:val="333333"/>
          <w:kern w:val="0"/>
          <w:sz w:val="28"/>
          <w:szCs w:val="28"/>
          <w:lang w:val="en-US" w:eastAsia="zh-CN"/>
        </w:rPr>
        <w:t>“2022年春节期间支持企业稳产留工奖补项目支出”</w:t>
      </w:r>
      <w:r>
        <w:rPr>
          <w:rFonts w:hint="eastAsia" w:ascii="仿宋" w:hAnsi="仿宋" w:eastAsia="仿宋" w:cs="仿宋"/>
          <w:sz w:val="28"/>
          <w:szCs w:val="28"/>
        </w:rPr>
        <w:t>评价指标体系包括4项一级指标，14项二级指标，23项三级指标，满分为100分。具体如下：</w:t>
      </w:r>
    </w:p>
    <w:tbl>
      <w:tblPr>
        <w:tblStyle w:val="6"/>
        <w:tblW w:w="8255" w:type="dxa"/>
        <w:tblInd w:w="93" w:type="dxa"/>
        <w:tblLayout w:type="autofit"/>
        <w:tblCellMar>
          <w:top w:w="0" w:type="dxa"/>
          <w:left w:w="108" w:type="dxa"/>
          <w:bottom w:w="0" w:type="dxa"/>
          <w:right w:w="108" w:type="dxa"/>
        </w:tblCellMar>
      </w:tblPr>
      <w:tblGrid>
        <w:gridCol w:w="1205"/>
        <w:gridCol w:w="955"/>
        <w:gridCol w:w="1333"/>
        <w:gridCol w:w="827"/>
        <w:gridCol w:w="3054"/>
        <w:gridCol w:w="881"/>
      </w:tblGrid>
      <w:tr>
        <w:tblPrEx>
          <w:tblCellMar>
            <w:top w:w="0" w:type="dxa"/>
            <w:left w:w="108" w:type="dxa"/>
            <w:bottom w:w="0" w:type="dxa"/>
            <w:right w:w="108" w:type="dxa"/>
          </w:tblCellMar>
        </w:tblPrEx>
        <w:trPr>
          <w:trHeight w:val="270" w:hRule="atLeast"/>
        </w:trPr>
        <w:tc>
          <w:tcPr>
            <w:tcW w:w="8255" w:type="dxa"/>
            <w:gridSpan w:val="6"/>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ascii="宋体" w:hAnsi="宋体" w:eastAsia="宋体" w:cs="宋体"/>
                <w:color w:val="000000"/>
                <w:sz w:val="22"/>
              </w:rPr>
            </w:pPr>
            <w:r>
              <w:rPr>
                <w:rFonts w:hint="eastAsia" w:ascii="仿宋_GB2312" w:hAnsi="Times New Roman" w:eastAsia="仿宋_GB2312" w:cs="Times New Roman"/>
                <w:b/>
                <w:bCs/>
                <w:sz w:val="24"/>
                <w:szCs w:val="24"/>
              </w:rPr>
              <w:t>绩效评价指标体系</w:t>
            </w:r>
          </w:p>
        </w:tc>
      </w:tr>
      <w:tr>
        <w:tblPrEx>
          <w:tblCellMar>
            <w:top w:w="0" w:type="dxa"/>
            <w:left w:w="108" w:type="dxa"/>
            <w:bottom w:w="0" w:type="dxa"/>
            <w:right w:w="108" w:type="dxa"/>
          </w:tblCellMar>
        </w:tblPrEx>
        <w:trPr>
          <w:trHeight w:val="270" w:hRule="atLeast"/>
        </w:trPr>
        <w:tc>
          <w:tcPr>
            <w:tcW w:w="1205" w:type="dxa"/>
            <w:tcBorders>
              <w:top w:val="double" w:color="000000" w:sz="4" w:space="0"/>
              <w:left w:val="nil"/>
              <w:bottom w:val="single" w:color="000000" w:sz="8" w:space="0"/>
              <w:right w:val="single" w:color="000000" w:sz="8" w:space="0"/>
            </w:tcBorders>
            <w:shd w:val="clear" w:color="auto" w:fill="auto"/>
          </w:tcPr>
          <w:p>
            <w:pPr>
              <w:keepNext w:val="0"/>
              <w:keepLines w:val="0"/>
              <w:pageBreakBefore w:val="0"/>
              <w:widowControl/>
              <w:kinsoku/>
              <w:wordWrap/>
              <w:overflowPunct/>
              <w:topLinePunct w:val="0"/>
              <w:autoSpaceDE/>
              <w:autoSpaceDN/>
              <w:bidi w:val="0"/>
              <w:adjustRightInd/>
              <w:snapToGrid/>
              <w:spacing w:line="240" w:lineRule="auto"/>
              <w:ind w:left="-210" w:leftChars="-100"/>
              <w:textAlignment w:val="top"/>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一级指标</w:t>
            </w:r>
          </w:p>
        </w:tc>
        <w:tc>
          <w:tcPr>
            <w:tcW w:w="955" w:type="dxa"/>
            <w:tcBorders>
              <w:top w:val="double" w:color="000000" w:sz="4" w:space="0"/>
              <w:left w:val="single" w:color="000000" w:sz="8" w:space="0"/>
              <w:bottom w:val="single" w:color="000000" w:sz="8" w:space="0"/>
              <w:right w:val="single" w:color="000000" w:sz="8" w:space="0"/>
            </w:tcBorders>
            <w:shd w:val="clear" w:color="auto" w:fill="auto"/>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top"/>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分值</w:t>
            </w:r>
          </w:p>
        </w:tc>
        <w:tc>
          <w:tcPr>
            <w:tcW w:w="1333" w:type="dxa"/>
            <w:tcBorders>
              <w:top w:val="double" w:color="000000" w:sz="4" w:space="0"/>
              <w:left w:val="single" w:color="000000" w:sz="8" w:space="0"/>
              <w:bottom w:val="single" w:color="000000" w:sz="8" w:space="0"/>
              <w:right w:val="single" w:color="000000" w:sz="8" w:space="0"/>
            </w:tcBorders>
            <w:shd w:val="clear" w:color="auto" w:fill="auto"/>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top"/>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二级指标</w:t>
            </w:r>
          </w:p>
        </w:tc>
        <w:tc>
          <w:tcPr>
            <w:tcW w:w="827" w:type="dxa"/>
            <w:tcBorders>
              <w:top w:val="double" w:color="000000" w:sz="4"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分值</w:t>
            </w:r>
          </w:p>
        </w:tc>
        <w:tc>
          <w:tcPr>
            <w:tcW w:w="3054" w:type="dxa"/>
            <w:tcBorders>
              <w:top w:val="double" w:color="000000" w:sz="4"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三级指标</w:t>
            </w:r>
          </w:p>
        </w:tc>
        <w:tc>
          <w:tcPr>
            <w:tcW w:w="881" w:type="dxa"/>
            <w:tcBorders>
              <w:top w:val="double" w:color="000000" w:sz="4" w:space="0"/>
              <w:left w:val="single" w:color="000000" w:sz="8" w:space="0"/>
              <w:bottom w:val="single" w:color="000000" w:sz="8" w:space="0"/>
              <w:right w:val="nil"/>
            </w:tcBorders>
            <w:shd w:val="clear" w:color="auto" w:fill="auto"/>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top"/>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分值</w:t>
            </w:r>
          </w:p>
        </w:tc>
      </w:tr>
      <w:tr>
        <w:tblPrEx>
          <w:tblCellMar>
            <w:top w:w="0" w:type="dxa"/>
            <w:left w:w="108" w:type="dxa"/>
            <w:bottom w:w="0" w:type="dxa"/>
            <w:right w:w="108" w:type="dxa"/>
          </w:tblCellMar>
        </w:tblPrEx>
        <w:trPr>
          <w:trHeight w:val="450" w:hRule="atLeast"/>
        </w:trPr>
        <w:tc>
          <w:tcPr>
            <w:tcW w:w="1205" w:type="dxa"/>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决策</w:t>
            </w:r>
          </w:p>
        </w:tc>
        <w:tc>
          <w:tcPr>
            <w:tcW w:w="955"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30</w:t>
            </w:r>
          </w:p>
        </w:tc>
        <w:tc>
          <w:tcPr>
            <w:tcW w:w="1333"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项目立项</w:t>
            </w:r>
          </w:p>
        </w:tc>
        <w:tc>
          <w:tcPr>
            <w:tcW w:w="827"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10</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立项依据充分性</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立项程序规范性</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45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1333"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绩效目标</w:t>
            </w:r>
          </w:p>
        </w:tc>
        <w:tc>
          <w:tcPr>
            <w:tcW w:w="827"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10</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绩效目标合理性</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绩效指标明确性</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45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1333"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资金投入</w:t>
            </w:r>
          </w:p>
        </w:tc>
        <w:tc>
          <w:tcPr>
            <w:tcW w:w="827"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10</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预算编制科学性</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资金分配合理性</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w:t>
            </w:r>
          </w:p>
        </w:tc>
      </w:tr>
      <w:tr>
        <w:tblPrEx>
          <w:tblCellMar>
            <w:top w:w="0" w:type="dxa"/>
            <w:left w:w="108" w:type="dxa"/>
            <w:bottom w:w="0" w:type="dxa"/>
            <w:right w:w="108" w:type="dxa"/>
          </w:tblCellMar>
        </w:tblPrEx>
        <w:trPr>
          <w:trHeight w:val="300" w:hRule="atLeast"/>
        </w:trPr>
        <w:tc>
          <w:tcPr>
            <w:tcW w:w="1205" w:type="dxa"/>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过程</w:t>
            </w:r>
          </w:p>
        </w:tc>
        <w:tc>
          <w:tcPr>
            <w:tcW w:w="955"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28</w:t>
            </w:r>
          </w:p>
        </w:tc>
        <w:tc>
          <w:tcPr>
            <w:tcW w:w="1333"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资金管理</w:t>
            </w:r>
          </w:p>
        </w:tc>
        <w:tc>
          <w:tcPr>
            <w:tcW w:w="827"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24</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资金到位率</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ascii="宋体" w:hAnsi="宋体" w:eastAsia="宋体" w:cs="宋体"/>
                <w:color w:val="000000"/>
                <w:sz w:val="16"/>
                <w:szCs w:val="16"/>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ascii="Times New Roman" w:hAnsi="Times New Roman" w:eastAsia="宋体" w:cs="Times New Roman"/>
                <w:color w:val="000000"/>
                <w:sz w:val="16"/>
                <w:szCs w:val="16"/>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资金拨付及时性</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ascii="宋体" w:hAnsi="宋体" w:eastAsia="宋体" w:cs="宋体"/>
                <w:color w:val="000000"/>
                <w:sz w:val="16"/>
                <w:szCs w:val="16"/>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ascii="Times New Roman" w:hAnsi="Times New Roman" w:eastAsia="宋体" w:cs="Times New Roman"/>
                <w:color w:val="000000"/>
                <w:sz w:val="16"/>
                <w:szCs w:val="16"/>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预算执行率</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ascii="宋体" w:hAnsi="宋体" w:eastAsia="宋体" w:cs="宋体"/>
                <w:color w:val="000000"/>
                <w:sz w:val="16"/>
                <w:szCs w:val="16"/>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ascii="Times New Roman" w:hAnsi="Times New Roman" w:eastAsia="宋体" w:cs="Times New Roman"/>
                <w:color w:val="000000"/>
                <w:sz w:val="16"/>
                <w:szCs w:val="16"/>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资金使用合规性</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ascii="宋体" w:hAnsi="宋体" w:eastAsia="宋体" w:cs="宋体"/>
                <w:color w:val="000000"/>
                <w:sz w:val="16"/>
                <w:szCs w:val="16"/>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ascii="Times New Roman" w:hAnsi="Times New Roman" w:eastAsia="宋体" w:cs="Times New Roman"/>
                <w:color w:val="000000"/>
                <w:sz w:val="16"/>
                <w:szCs w:val="16"/>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绩效自评内容准确完整性</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ascii="宋体" w:hAnsi="宋体" w:eastAsia="宋体" w:cs="宋体"/>
                <w:color w:val="000000"/>
                <w:sz w:val="16"/>
                <w:szCs w:val="16"/>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ascii="Times New Roman" w:hAnsi="Times New Roman" w:eastAsia="宋体" w:cs="Times New Roman"/>
                <w:color w:val="000000"/>
                <w:sz w:val="16"/>
                <w:szCs w:val="16"/>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绩效自评结论真实性</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108" w:type="dxa"/>
            <w:bottom w:w="0" w:type="dxa"/>
            <w:right w:w="108" w:type="dxa"/>
          </w:tblCellMar>
        </w:tblPrEx>
        <w:trPr>
          <w:trHeight w:val="45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ascii="宋体" w:hAnsi="宋体" w:eastAsia="宋体" w:cs="宋体"/>
                <w:color w:val="000000"/>
                <w:sz w:val="16"/>
                <w:szCs w:val="16"/>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ascii="Times New Roman" w:hAnsi="Times New Roman" w:eastAsia="宋体" w:cs="Times New Roman"/>
                <w:color w:val="000000"/>
                <w:sz w:val="16"/>
                <w:szCs w:val="16"/>
              </w:rPr>
            </w:pPr>
          </w:p>
        </w:tc>
        <w:tc>
          <w:tcPr>
            <w:tcW w:w="133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组织实施</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管理制度健全性</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108" w:type="dxa"/>
            <w:bottom w:w="0" w:type="dxa"/>
            <w:right w:w="108" w:type="dxa"/>
          </w:tblCellMar>
        </w:tblPrEx>
        <w:trPr>
          <w:trHeight w:val="320" w:hRule="atLeast"/>
        </w:trPr>
        <w:tc>
          <w:tcPr>
            <w:tcW w:w="1205" w:type="dxa"/>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产出</w:t>
            </w:r>
          </w:p>
        </w:tc>
        <w:tc>
          <w:tcPr>
            <w:tcW w:w="955"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22</w:t>
            </w:r>
          </w:p>
        </w:tc>
        <w:tc>
          <w:tcPr>
            <w:tcW w:w="133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产出数量</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6</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rPr>
              <w:t>主管项目全覆盖工程</w:t>
            </w:r>
            <w:r>
              <w:rPr>
                <w:rFonts w:hint="eastAsia" w:ascii="仿宋" w:hAnsi="仿宋" w:eastAsia="仿宋" w:cs="仿宋"/>
                <w:color w:val="000000"/>
                <w:kern w:val="0"/>
                <w:sz w:val="24"/>
                <w:szCs w:val="24"/>
              </w:rPr>
              <w:t>数</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6</w:t>
            </w:r>
          </w:p>
        </w:tc>
      </w:tr>
      <w:tr>
        <w:tblPrEx>
          <w:tblCellMar>
            <w:top w:w="0" w:type="dxa"/>
            <w:left w:w="108" w:type="dxa"/>
            <w:bottom w:w="0" w:type="dxa"/>
            <w:right w:w="108" w:type="dxa"/>
          </w:tblCellMar>
        </w:tblPrEx>
        <w:trPr>
          <w:trHeight w:val="9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133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产出质量</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val="en-US" w:eastAsia="zh-CN"/>
              </w:rPr>
              <w:t>6</w:t>
            </w:r>
          </w:p>
        </w:tc>
        <w:tc>
          <w:tcPr>
            <w:tcW w:w="3054" w:type="dxa"/>
            <w:tcBorders>
              <w:top w:val="nil"/>
              <w:left w:val="single" w:color="000000" w:sz="8" w:space="0"/>
              <w:bottom w:val="single" w:color="000000" w:sz="8" w:space="0"/>
              <w:right w:val="single" w:color="000000" w:sz="8" w:space="0"/>
            </w:tcBorders>
            <w:shd w:val="clear" w:color="auto" w:fill="auto"/>
            <w:vAlign w:val="top"/>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rPr>
              <w:t>验收小组验收</w:t>
            </w:r>
            <w:r>
              <w:rPr>
                <w:rFonts w:hint="eastAsia" w:ascii="仿宋" w:hAnsi="仿宋" w:eastAsia="仿宋" w:cs="仿宋"/>
                <w:color w:val="000000"/>
                <w:kern w:val="0"/>
                <w:sz w:val="24"/>
                <w:szCs w:val="24"/>
                <w:lang w:eastAsia="zh-CN"/>
              </w:rPr>
              <w:t>结果</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val="en-US" w:eastAsia="zh-CN"/>
              </w:rPr>
              <w:t>6</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133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产出时效</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6</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各项任务完成及时性</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6</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133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产出成本</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预算控制率</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108" w:type="dxa"/>
            <w:bottom w:w="0" w:type="dxa"/>
            <w:right w:w="108" w:type="dxa"/>
          </w:tblCellMar>
        </w:tblPrEx>
        <w:trPr>
          <w:trHeight w:val="460" w:hRule="atLeast"/>
        </w:trPr>
        <w:tc>
          <w:tcPr>
            <w:tcW w:w="1205" w:type="dxa"/>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效益</w:t>
            </w:r>
          </w:p>
        </w:tc>
        <w:tc>
          <w:tcPr>
            <w:tcW w:w="955"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20</w:t>
            </w:r>
          </w:p>
        </w:tc>
        <w:tc>
          <w:tcPr>
            <w:tcW w:w="133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经济效益</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rPr>
              <w:t>提高</w:t>
            </w:r>
            <w:r>
              <w:rPr>
                <w:rFonts w:hint="eastAsia" w:ascii="仿宋" w:hAnsi="仿宋" w:eastAsia="仿宋" w:cs="仿宋"/>
                <w:color w:val="000000"/>
                <w:kern w:val="0"/>
                <w:sz w:val="24"/>
                <w:szCs w:val="24"/>
              </w:rPr>
              <w:t>城市功能，支撑县域经济发展</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46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133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社会效益</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营造美好、整洁、积极向上的城市氛围</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80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133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可持续影响</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推进</w:t>
            </w:r>
            <w:r>
              <w:rPr>
                <w:rFonts w:hint="eastAsia" w:ascii="仿宋" w:hAnsi="仿宋" w:eastAsia="仿宋" w:cs="仿宋"/>
                <w:color w:val="000000"/>
                <w:kern w:val="0"/>
                <w:sz w:val="24"/>
                <w:szCs w:val="24"/>
                <w:lang w:val="en-US" w:eastAsia="zh-CN"/>
              </w:rPr>
              <w:t>饮用水安全工程</w:t>
            </w:r>
            <w:r>
              <w:rPr>
                <w:rFonts w:hint="eastAsia" w:ascii="仿宋" w:hAnsi="仿宋" w:eastAsia="仿宋" w:cs="仿宋"/>
                <w:color w:val="000000"/>
                <w:kern w:val="0"/>
                <w:sz w:val="24"/>
                <w:szCs w:val="24"/>
              </w:rPr>
              <w:t>常态化</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hint="eastAsia" w:ascii="仿宋" w:hAnsi="仿宋" w:eastAsia="仿宋" w:cs="仿宋"/>
                <w:color w:val="000000"/>
                <w:sz w:val="24"/>
                <w:szCs w:val="24"/>
              </w:rPr>
            </w:pPr>
          </w:p>
        </w:tc>
        <w:tc>
          <w:tcPr>
            <w:tcW w:w="133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满意度</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群众满意度</w:t>
            </w:r>
          </w:p>
        </w:tc>
        <w:tc>
          <w:tcPr>
            <w:tcW w:w="881" w:type="dxa"/>
            <w:tcBorders>
              <w:top w:val="nil"/>
              <w:left w:val="single" w:color="000000" w:sz="8" w:space="0"/>
              <w:bottom w:val="single" w:color="000000" w:sz="8"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w:t>
            </w:r>
          </w:p>
        </w:tc>
      </w:tr>
      <w:tr>
        <w:tblPrEx>
          <w:tblCellMar>
            <w:top w:w="0" w:type="dxa"/>
            <w:left w:w="108" w:type="dxa"/>
            <w:bottom w:w="0" w:type="dxa"/>
            <w:right w:w="108" w:type="dxa"/>
          </w:tblCellMar>
        </w:tblPrEx>
        <w:trPr>
          <w:trHeight w:val="270" w:hRule="atLeast"/>
        </w:trPr>
        <w:tc>
          <w:tcPr>
            <w:tcW w:w="1205" w:type="dxa"/>
            <w:tcBorders>
              <w:top w:val="nil"/>
              <w:left w:val="nil"/>
              <w:bottom w:val="double" w:color="000000" w:sz="4"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合计</w:t>
            </w:r>
          </w:p>
        </w:tc>
        <w:tc>
          <w:tcPr>
            <w:tcW w:w="955" w:type="dxa"/>
            <w:tcBorders>
              <w:top w:val="nil"/>
              <w:left w:val="single" w:color="000000" w:sz="8" w:space="0"/>
              <w:bottom w:val="double" w:color="000000" w:sz="4"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100</w:t>
            </w:r>
          </w:p>
        </w:tc>
        <w:tc>
          <w:tcPr>
            <w:tcW w:w="1333" w:type="dxa"/>
            <w:tcBorders>
              <w:top w:val="nil"/>
              <w:left w:val="single" w:color="000000" w:sz="8" w:space="0"/>
              <w:bottom w:val="double" w:color="000000" w:sz="4"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ascii="Times New Roman" w:hAnsi="Times New Roman" w:eastAsia="宋体" w:cs="Times New Roman"/>
                <w:b/>
                <w:bCs/>
                <w:color w:val="000000"/>
                <w:sz w:val="16"/>
                <w:szCs w:val="16"/>
              </w:rPr>
            </w:pPr>
          </w:p>
        </w:tc>
        <w:tc>
          <w:tcPr>
            <w:tcW w:w="827" w:type="dxa"/>
            <w:tcBorders>
              <w:top w:val="nil"/>
              <w:left w:val="single" w:color="000000" w:sz="8" w:space="0"/>
              <w:bottom w:val="double" w:color="000000" w:sz="4"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100</w:t>
            </w:r>
          </w:p>
        </w:tc>
        <w:tc>
          <w:tcPr>
            <w:tcW w:w="3054" w:type="dxa"/>
            <w:tcBorders>
              <w:top w:val="nil"/>
              <w:left w:val="single" w:color="000000" w:sz="8" w:space="0"/>
              <w:bottom w:val="double" w:color="000000" w:sz="4"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left="-210" w:leftChars="-100"/>
              <w:jc w:val="center"/>
              <w:rPr>
                <w:rFonts w:ascii="Times New Roman" w:hAnsi="Times New Roman" w:eastAsia="宋体" w:cs="Times New Roman"/>
                <w:b/>
                <w:bCs/>
                <w:color w:val="000000"/>
                <w:sz w:val="16"/>
                <w:szCs w:val="16"/>
              </w:rPr>
            </w:pPr>
          </w:p>
        </w:tc>
        <w:tc>
          <w:tcPr>
            <w:tcW w:w="881" w:type="dxa"/>
            <w:tcBorders>
              <w:top w:val="nil"/>
              <w:left w:val="single" w:color="000000" w:sz="8" w:space="0"/>
              <w:bottom w:val="doub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textAlignment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100</w:t>
            </w:r>
          </w:p>
        </w:tc>
      </w:tr>
    </w:tbl>
    <w:p>
      <w:pPr>
        <w:keepNext w:val="0"/>
        <w:keepLines w:val="0"/>
        <w:pageBreakBefore w:val="0"/>
        <w:kinsoku/>
        <w:wordWrap/>
        <w:overflowPunct/>
        <w:topLinePunct w:val="0"/>
        <w:autoSpaceDE/>
        <w:autoSpaceDN/>
        <w:bidi w:val="0"/>
        <w:adjustRightInd/>
        <w:snapToGrid/>
        <w:spacing w:line="240" w:lineRule="auto"/>
        <w:ind w:left="-210" w:leftChars="-100" w:firstLine="840" w:firstLineChars="300"/>
        <w:rPr>
          <w:rFonts w:hint="eastAsia" w:ascii="仿宋" w:hAnsi="仿宋" w:eastAsia="仿宋" w:cs="仿宋"/>
          <w:sz w:val="28"/>
          <w:szCs w:val="28"/>
        </w:rPr>
      </w:pPr>
      <w:r>
        <w:rPr>
          <w:rFonts w:hint="eastAsia" w:ascii="仿宋" w:hAnsi="仿宋" w:eastAsia="仿宋" w:cs="仿宋"/>
          <w:sz w:val="28"/>
          <w:szCs w:val="28"/>
        </w:rPr>
        <w:t>3.评价方法</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分）、良（≥80、＜90）、中（≥60、＜80）、差（＜60），以下为具体评价方法：</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（1）成本效益分析法，通过将投入与产出、效益进行关联性分析，评价绩效目标实现程度。</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（2）比较法，通过对绩效目标与实施效果、历史与当期情况的比较，综合分析绩效目标实现程度。</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（3）因素分析法，通过综合分析影响绩效目标实现、实施效果的内外因素，评价绩效目标实现程度。</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（4）公众评判法，通过公众问卷及抽样调查等对财政支出效果进行评判，评价绩效目标实现程度。</w:t>
      </w:r>
    </w:p>
    <w:p>
      <w:pPr>
        <w:keepNext w:val="0"/>
        <w:keepLines w:val="0"/>
        <w:pageBreakBefore w:val="0"/>
        <w:kinsoku/>
        <w:wordWrap/>
        <w:overflowPunct/>
        <w:topLinePunct w:val="0"/>
        <w:autoSpaceDE/>
        <w:autoSpaceDN/>
        <w:bidi w:val="0"/>
        <w:adjustRightInd/>
        <w:snapToGrid/>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4.评价标准</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本次绩效评价标准主要是参照计划标准和历史标准制定。对于已经制定计划目标的指标，直接用实际情况与计划情况相比较进行评价。对于没有制定计划目标的指标，则参照历史标准进行评价。</w:t>
      </w:r>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22" w:name="_Toc23601"/>
      <w:r>
        <w:rPr>
          <w:rFonts w:hint="eastAsia" w:ascii="仿宋" w:hAnsi="仿宋" w:eastAsia="仿宋" w:cs="仿宋"/>
          <w:sz w:val="28"/>
          <w:szCs w:val="28"/>
        </w:rPr>
        <w:t>（三）绩效评价工作过程</w:t>
      </w:r>
      <w:bookmarkEnd w:id="22"/>
    </w:p>
    <w:p>
      <w:pPr>
        <w:keepNext w:val="0"/>
        <w:keepLines w:val="0"/>
        <w:pageBreakBefore w:val="0"/>
        <w:kinsoku/>
        <w:wordWrap/>
        <w:overflowPunct/>
        <w:topLinePunct w:val="0"/>
        <w:autoSpaceDE/>
        <w:autoSpaceDN/>
        <w:bidi w:val="0"/>
        <w:adjustRightInd/>
        <w:snapToGrid/>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1.了解项目概况</w:t>
      </w:r>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rPr>
        <w:t>评价工作组与项目实施单位及相关人员初步沟通项目背景、预算申请及批复、绩效目标、目前的开展进度。</w:t>
      </w:r>
    </w:p>
    <w:p>
      <w:pPr>
        <w:keepNext w:val="0"/>
        <w:keepLines w:val="0"/>
        <w:pageBreakBefore w:val="0"/>
        <w:kinsoku/>
        <w:wordWrap/>
        <w:overflowPunct/>
        <w:topLinePunct w:val="0"/>
        <w:autoSpaceDE/>
        <w:autoSpaceDN/>
        <w:bidi w:val="0"/>
        <w:adjustRightInd/>
        <w:snapToGrid/>
        <w:spacing w:line="240" w:lineRule="auto"/>
        <w:ind w:left="-210" w:leftChars="-100" w:firstLine="840" w:firstLineChars="300"/>
        <w:rPr>
          <w:rFonts w:hint="eastAsia" w:ascii="仿宋" w:hAnsi="仿宋" w:eastAsia="仿宋" w:cs="仿宋"/>
          <w:sz w:val="28"/>
          <w:szCs w:val="28"/>
        </w:rPr>
      </w:pPr>
      <w:r>
        <w:rPr>
          <w:rFonts w:hint="eastAsia" w:ascii="仿宋" w:hAnsi="仿宋" w:eastAsia="仿宋" w:cs="仿宋"/>
          <w:sz w:val="28"/>
          <w:szCs w:val="28"/>
        </w:rPr>
        <w:t>2.制定评价实施方案</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评价小组从目标要求、工作内容、方式方法、时间进度及工作步骤等方面做出具体明确的计划，为绩效评价工作的组织实施提供指引。</w:t>
      </w:r>
    </w:p>
    <w:p>
      <w:pPr>
        <w:keepNext w:val="0"/>
        <w:keepLines w:val="0"/>
        <w:pageBreakBefore w:val="0"/>
        <w:kinsoku/>
        <w:wordWrap/>
        <w:overflowPunct/>
        <w:topLinePunct w:val="0"/>
        <w:autoSpaceDE/>
        <w:autoSpaceDN/>
        <w:bidi w:val="0"/>
        <w:adjustRightInd/>
        <w:snapToGrid/>
        <w:spacing w:line="240" w:lineRule="auto"/>
        <w:ind w:left="-210" w:leftChars="-100" w:firstLine="840" w:firstLineChars="300"/>
        <w:rPr>
          <w:rFonts w:hint="eastAsia" w:ascii="仿宋" w:hAnsi="仿宋" w:eastAsia="仿宋" w:cs="仿宋"/>
          <w:sz w:val="28"/>
          <w:szCs w:val="28"/>
        </w:rPr>
      </w:pPr>
      <w:r>
        <w:rPr>
          <w:rFonts w:hint="eastAsia" w:ascii="仿宋" w:hAnsi="仿宋" w:eastAsia="仿宋" w:cs="仿宋"/>
          <w:sz w:val="28"/>
          <w:szCs w:val="28"/>
        </w:rPr>
        <w:t>3.基础数据采集，设定绩效评价指标体系</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查阅项目申报书及申报年度预算的相关资料、项目相关文件、财务凭证附件、项目执行情况报告、项目年度工作总结等资料，询问项目实施跟进的相关人员，查看项目工作台账、支出财务明细账、项目资金到位凭证、项目预算调整文件、相关管理制度等。结合项目具体情况，设计绩效评价指标体系，征求被评价单位意见，确定项目绩效评价指标体系。</w:t>
      </w:r>
    </w:p>
    <w:p>
      <w:pPr>
        <w:keepNext w:val="0"/>
        <w:keepLines w:val="0"/>
        <w:pageBreakBefore w:val="0"/>
        <w:kinsoku/>
        <w:wordWrap/>
        <w:overflowPunct/>
        <w:topLinePunct w:val="0"/>
        <w:autoSpaceDE/>
        <w:autoSpaceDN/>
        <w:bidi w:val="0"/>
        <w:adjustRightInd/>
        <w:snapToGrid/>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4.资料数据分析</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评价工作组成员将收集到的资料进行分类汇总，对照工作方案和绩效评价指标体系，核实资料的准确性、完整性以及相关性，并在现场与相关项目责任人进行充分沟通、查阅文件、形成工作底稿，并结合绩效评价体系中对应指标进行初步评分。</w:t>
      </w:r>
    </w:p>
    <w:p>
      <w:pPr>
        <w:keepNext w:val="0"/>
        <w:keepLines w:val="0"/>
        <w:pageBreakBefore w:val="0"/>
        <w:kinsoku/>
        <w:wordWrap/>
        <w:overflowPunct/>
        <w:topLinePunct w:val="0"/>
        <w:autoSpaceDE/>
        <w:autoSpaceDN/>
        <w:bidi w:val="0"/>
        <w:adjustRightInd/>
        <w:snapToGrid/>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5.数据汇总撰写报告</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根据绩效评价的原理和规范，对采集的数据进行处理、分析和评分，并得出评价结论撰写报告。</w:t>
      </w:r>
    </w:p>
    <w:p>
      <w:pPr>
        <w:keepNext w:val="0"/>
        <w:keepLines w:val="0"/>
        <w:pageBreakBefore w:val="0"/>
        <w:kinsoku/>
        <w:wordWrap/>
        <w:overflowPunct/>
        <w:topLinePunct w:val="0"/>
        <w:autoSpaceDE/>
        <w:autoSpaceDN/>
        <w:bidi w:val="0"/>
        <w:adjustRightInd/>
        <w:snapToGrid/>
        <w:spacing w:line="240" w:lineRule="auto"/>
        <w:ind w:firstLine="562" w:firstLineChars="200"/>
        <w:outlineLvl w:val="0"/>
        <w:rPr>
          <w:rFonts w:hint="eastAsia" w:ascii="仿宋" w:hAnsi="仿宋" w:eastAsia="仿宋" w:cs="仿宋"/>
          <w:b/>
          <w:bCs/>
          <w:sz w:val="28"/>
          <w:szCs w:val="28"/>
        </w:rPr>
      </w:pPr>
      <w:bookmarkStart w:id="23" w:name="_Toc31295"/>
      <w:r>
        <w:rPr>
          <w:rFonts w:hint="eastAsia" w:ascii="仿宋" w:hAnsi="仿宋" w:eastAsia="仿宋" w:cs="仿宋"/>
          <w:b/>
          <w:bCs/>
          <w:sz w:val="28"/>
          <w:szCs w:val="28"/>
        </w:rPr>
        <w:t>三、综合评价情况及评价结论</w:t>
      </w:r>
      <w:bookmarkEnd w:id="23"/>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24" w:name="_Toc20659"/>
      <w:r>
        <w:rPr>
          <w:rFonts w:hint="eastAsia" w:ascii="仿宋" w:hAnsi="仿宋" w:eastAsia="仿宋" w:cs="仿宋"/>
          <w:sz w:val="28"/>
          <w:szCs w:val="28"/>
        </w:rPr>
        <w:t>（一）综合评价情况</w:t>
      </w:r>
      <w:bookmarkEnd w:id="24"/>
    </w:p>
    <w:p>
      <w:pPr>
        <w:keepNext w:val="0"/>
        <w:keepLines w:val="0"/>
        <w:pageBreakBefore w:val="0"/>
        <w:kinsoku/>
        <w:wordWrap/>
        <w:overflowPunct/>
        <w:topLinePunct w:val="0"/>
        <w:autoSpaceDE/>
        <w:autoSpaceDN/>
        <w:bidi w:val="0"/>
        <w:adjustRightInd/>
        <w:snapToGrid/>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项目组通过对项目决策、过程、产出、效益进行评价，认为</w:t>
      </w:r>
      <w:r>
        <w:rPr>
          <w:rFonts w:hint="eastAsia" w:ascii="仿宋" w:hAnsi="仿宋" w:eastAsia="仿宋" w:cs="仿宋"/>
          <w:color w:val="333333"/>
          <w:kern w:val="0"/>
          <w:sz w:val="28"/>
          <w:szCs w:val="28"/>
          <w:lang w:val="en-US" w:eastAsia="zh-CN"/>
        </w:rPr>
        <w:t>“2022年春节期间支持企业稳产留工奖补项目支出”</w:t>
      </w:r>
      <w:r>
        <w:rPr>
          <w:rFonts w:hint="eastAsia" w:ascii="仿宋" w:hAnsi="仿宋" w:eastAsia="仿宋" w:cs="仿宋"/>
          <w:sz w:val="28"/>
          <w:szCs w:val="28"/>
        </w:rPr>
        <w:t>立项依据充分，立项程序规范</w:t>
      </w:r>
      <w:r>
        <w:rPr>
          <w:rFonts w:hint="eastAsia" w:ascii="仿宋" w:hAnsi="仿宋" w:eastAsia="仿宋" w:cs="仿宋"/>
          <w:sz w:val="28"/>
          <w:szCs w:val="28"/>
          <w:lang w:eastAsia="zh-CN"/>
        </w:rPr>
        <w:t>。</w:t>
      </w:r>
      <w:r>
        <w:rPr>
          <w:rFonts w:hint="eastAsia" w:ascii="仿宋" w:hAnsi="仿宋" w:eastAsia="仿宋" w:cs="仿宋"/>
          <w:sz w:val="28"/>
          <w:szCs w:val="28"/>
        </w:rPr>
        <w:t>绩效目标设置</w:t>
      </w:r>
      <w:r>
        <w:rPr>
          <w:rFonts w:hint="eastAsia" w:ascii="仿宋" w:hAnsi="仿宋" w:eastAsia="仿宋" w:cs="仿宋"/>
          <w:sz w:val="28"/>
          <w:szCs w:val="28"/>
          <w:lang w:val="en-US" w:eastAsia="zh-CN"/>
        </w:rPr>
        <w:t>不科学，几乎没设定绩效目标</w:t>
      </w:r>
      <w:r>
        <w:rPr>
          <w:rFonts w:hint="eastAsia" w:ascii="仿宋" w:hAnsi="仿宋" w:eastAsia="仿宋" w:cs="仿宋"/>
          <w:sz w:val="28"/>
          <w:szCs w:val="28"/>
        </w:rPr>
        <w:t>，资金到位及时、使用合规</w:t>
      </w:r>
      <w:r>
        <w:rPr>
          <w:rFonts w:hint="eastAsia" w:ascii="仿宋" w:hAnsi="仿宋" w:eastAsia="仿宋" w:cs="仿宋"/>
          <w:sz w:val="28"/>
          <w:szCs w:val="28"/>
          <w:lang w:val="en-US" w:eastAsia="zh-CN"/>
        </w:rPr>
        <w:t>没能按文件执行</w:t>
      </w:r>
      <w:r>
        <w:rPr>
          <w:rFonts w:hint="eastAsia" w:ascii="仿宋" w:hAnsi="仿宋" w:eastAsia="仿宋" w:cs="仿宋"/>
          <w:sz w:val="28"/>
          <w:szCs w:val="28"/>
        </w:rPr>
        <w:t>，管理制度健全，基本得到有效执行，项目产出</w:t>
      </w:r>
      <w:r>
        <w:rPr>
          <w:rFonts w:hint="eastAsia" w:ascii="仿宋" w:hAnsi="仿宋" w:eastAsia="仿宋" w:cs="仿宋"/>
          <w:sz w:val="28"/>
          <w:szCs w:val="28"/>
          <w:lang w:val="en-US" w:eastAsia="zh-CN"/>
        </w:rPr>
        <w:t>没有设定目标值无法分析出</w:t>
      </w:r>
      <w:r>
        <w:rPr>
          <w:rFonts w:hint="eastAsia" w:ascii="仿宋" w:hAnsi="仿宋" w:eastAsia="仿宋" w:cs="仿宋"/>
          <w:sz w:val="28"/>
          <w:szCs w:val="28"/>
        </w:rPr>
        <w:t>完成情况好</w:t>
      </w:r>
      <w:r>
        <w:rPr>
          <w:rFonts w:hint="eastAsia" w:ascii="仿宋" w:hAnsi="仿宋" w:eastAsia="仿宋" w:cs="仿宋"/>
          <w:sz w:val="28"/>
          <w:szCs w:val="28"/>
          <w:lang w:val="en-US" w:eastAsia="zh-CN"/>
        </w:rPr>
        <w:t>坏</w:t>
      </w:r>
      <w:r>
        <w:rPr>
          <w:rFonts w:hint="eastAsia" w:ascii="仿宋" w:hAnsi="仿宋" w:eastAsia="仿宋" w:cs="仿宋"/>
          <w:sz w:val="28"/>
          <w:szCs w:val="28"/>
        </w:rPr>
        <w:t>，</w:t>
      </w:r>
      <w:r>
        <w:rPr>
          <w:rFonts w:hint="eastAsia" w:ascii="仿宋" w:hAnsi="仿宋" w:eastAsia="仿宋" w:cs="仿宋"/>
          <w:sz w:val="28"/>
          <w:szCs w:val="28"/>
          <w:lang w:val="en-US" w:eastAsia="zh-CN"/>
        </w:rPr>
        <w:t>但也</w:t>
      </w:r>
      <w:r>
        <w:rPr>
          <w:rFonts w:hint="eastAsia" w:ascii="仿宋" w:hAnsi="仿宋" w:eastAsia="仿宋" w:cs="仿宋"/>
          <w:sz w:val="28"/>
          <w:szCs w:val="28"/>
        </w:rPr>
        <w:t>取得了</w:t>
      </w:r>
      <w:r>
        <w:rPr>
          <w:rFonts w:hint="eastAsia" w:ascii="仿宋" w:hAnsi="仿宋" w:eastAsia="仿宋" w:cs="仿宋"/>
          <w:sz w:val="28"/>
          <w:szCs w:val="28"/>
          <w:lang w:val="en-US" w:eastAsia="zh-CN"/>
        </w:rPr>
        <w:t>一定</w:t>
      </w:r>
      <w:r>
        <w:rPr>
          <w:rFonts w:hint="eastAsia" w:ascii="仿宋" w:hAnsi="仿宋" w:eastAsia="仿宋" w:cs="仿宋"/>
          <w:sz w:val="28"/>
          <w:szCs w:val="28"/>
        </w:rPr>
        <w:t>较的社会、经济和生态效益，服务对象</w:t>
      </w:r>
      <w:r>
        <w:rPr>
          <w:rFonts w:hint="eastAsia" w:ascii="仿宋" w:hAnsi="仿宋" w:eastAsia="仿宋" w:cs="仿宋"/>
          <w:sz w:val="28"/>
          <w:szCs w:val="28"/>
          <w:lang w:val="en-US" w:eastAsia="zh-CN"/>
        </w:rPr>
        <w:t>因没能及时兑现导致服务对象</w:t>
      </w:r>
      <w:r>
        <w:rPr>
          <w:rFonts w:hint="eastAsia" w:ascii="仿宋" w:hAnsi="仿宋" w:eastAsia="仿宋" w:cs="仿宋"/>
          <w:sz w:val="28"/>
          <w:szCs w:val="28"/>
        </w:rPr>
        <w:t>满意度</w:t>
      </w:r>
      <w:r>
        <w:rPr>
          <w:rFonts w:hint="eastAsia" w:ascii="仿宋" w:hAnsi="仿宋" w:eastAsia="仿宋" w:cs="仿宋"/>
          <w:sz w:val="28"/>
          <w:szCs w:val="28"/>
          <w:lang w:val="en-US" w:eastAsia="zh-CN"/>
        </w:rPr>
        <w:t>不</w:t>
      </w:r>
      <w:r>
        <w:rPr>
          <w:rFonts w:hint="eastAsia" w:ascii="仿宋" w:hAnsi="仿宋" w:eastAsia="仿宋" w:cs="仿宋"/>
          <w:sz w:val="28"/>
          <w:szCs w:val="28"/>
        </w:rPr>
        <w:t>高。</w:t>
      </w:r>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25" w:name="_Toc29228"/>
      <w:r>
        <w:rPr>
          <w:rFonts w:hint="eastAsia" w:ascii="仿宋" w:hAnsi="仿宋" w:eastAsia="仿宋" w:cs="仿宋"/>
          <w:sz w:val="28"/>
          <w:szCs w:val="28"/>
        </w:rPr>
        <w:t>（二）评价结论</w:t>
      </w:r>
      <w:bookmarkEnd w:id="25"/>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根据评价指标体系对本项目的绩效进行评价，本项目综合评价得分</w:t>
      </w:r>
      <w:r>
        <w:rPr>
          <w:rFonts w:hint="eastAsia" w:ascii="仿宋" w:hAnsi="仿宋" w:eastAsia="仿宋" w:cs="仿宋"/>
          <w:sz w:val="28"/>
          <w:szCs w:val="28"/>
          <w:lang w:val="en-US" w:eastAsia="zh-CN"/>
        </w:rPr>
        <w:t>59</w:t>
      </w:r>
      <w:r>
        <w:rPr>
          <w:rFonts w:hint="eastAsia" w:ascii="仿宋" w:hAnsi="仿宋" w:eastAsia="仿宋" w:cs="仿宋"/>
          <w:sz w:val="28"/>
          <w:szCs w:val="28"/>
        </w:rPr>
        <w:t>分，评价等级为“</w:t>
      </w:r>
      <w:r>
        <w:rPr>
          <w:rFonts w:hint="eastAsia" w:ascii="仿宋" w:hAnsi="仿宋" w:eastAsia="仿宋" w:cs="仿宋"/>
          <w:sz w:val="28"/>
          <w:szCs w:val="28"/>
          <w:lang w:val="en-US" w:eastAsia="zh-CN"/>
        </w:rPr>
        <w:t>差</w:t>
      </w:r>
      <w:r>
        <w:rPr>
          <w:rFonts w:hint="eastAsia" w:ascii="仿宋" w:hAnsi="仿宋" w:eastAsia="仿宋" w:cs="仿宋"/>
          <w:sz w:val="28"/>
          <w:szCs w:val="28"/>
        </w:rPr>
        <w:t>”。</w:t>
      </w:r>
    </w:p>
    <w:p>
      <w:pPr>
        <w:pStyle w:val="2"/>
        <w:keepNext w:val="0"/>
        <w:keepLines w:val="0"/>
        <w:pageBreakBefore w:val="0"/>
        <w:kinsoku/>
        <w:wordWrap/>
        <w:overflowPunct/>
        <w:topLinePunct w:val="0"/>
        <w:autoSpaceDE/>
        <w:autoSpaceDN/>
        <w:bidi w:val="0"/>
        <w:adjustRightInd/>
        <w:snapToGrid/>
        <w:spacing w:line="240" w:lineRule="auto"/>
        <w:ind w:left="-210" w:left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p>
    <w:tbl>
      <w:tblPr>
        <w:tblStyle w:val="6"/>
        <w:tblpPr w:leftFromText="180" w:rightFromText="180" w:vertAnchor="text" w:horzAnchor="page" w:tblpX="1975" w:tblpY="784"/>
        <w:tblOverlap w:val="never"/>
        <w:tblW w:w="8520" w:type="dxa"/>
        <w:tblInd w:w="0" w:type="dxa"/>
        <w:tblLayout w:type="autofit"/>
        <w:tblCellMar>
          <w:top w:w="0" w:type="dxa"/>
          <w:left w:w="0" w:type="dxa"/>
          <w:bottom w:w="0" w:type="dxa"/>
          <w:right w:w="0" w:type="dxa"/>
        </w:tblCellMar>
      </w:tblPr>
      <w:tblGrid>
        <w:gridCol w:w="1567"/>
        <w:gridCol w:w="1197"/>
        <w:gridCol w:w="1403"/>
        <w:gridCol w:w="1781"/>
        <w:gridCol w:w="1124"/>
        <w:gridCol w:w="1448"/>
      </w:tblGrid>
      <w:tr>
        <w:tblPrEx>
          <w:tblCellMar>
            <w:top w:w="0" w:type="dxa"/>
            <w:left w:w="0" w:type="dxa"/>
            <w:bottom w:w="0" w:type="dxa"/>
            <w:right w:w="0" w:type="dxa"/>
          </w:tblCellMar>
        </w:tblPrEx>
        <w:tc>
          <w:tcPr>
            <w:tcW w:w="1567"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评价指标</w:t>
            </w:r>
          </w:p>
        </w:tc>
        <w:tc>
          <w:tcPr>
            <w:tcW w:w="119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权重</w:t>
            </w:r>
          </w:p>
        </w:tc>
        <w:tc>
          <w:tcPr>
            <w:tcW w:w="140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评级分值</w:t>
            </w:r>
          </w:p>
        </w:tc>
        <w:tc>
          <w:tcPr>
            <w:tcW w:w="178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本项目得分</w:t>
            </w:r>
          </w:p>
        </w:tc>
        <w:tc>
          <w:tcPr>
            <w:tcW w:w="1124"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得分率</w:t>
            </w:r>
          </w:p>
        </w:tc>
        <w:tc>
          <w:tcPr>
            <w:tcW w:w="144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绩效评价</w:t>
            </w:r>
          </w:p>
        </w:tc>
      </w:tr>
      <w:tr>
        <w:tblPrEx>
          <w:tblCellMar>
            <w:top w:w="0" w:type="dxa"/>
            <w:left w:w="0" w:type="dxa"/>
            <w:bottom w:w="0" w:type="dxa"/>
            <w:right w:w="0" w:type="dxa"/>
          </w:tblCellMar>
        </w:tblPrEx>
        <w:tc>
          <w:tcPr>
            <w:tcW w:w="1567"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决策</w:t>
            </w:r>
          </w:p>
        </w:tc>
        <w:tc>
          <w:tcPr>
            <w:tcW w:w="1197"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30%</w:t>
            </w:r>
          </w:p>
        </w:tc>
        <w:tc>
          <w:tcPr>
            <w:tcW w:w="1403"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30</w:t>
            </w:r>
          </w:p>
        </w:tc>
        <w:tc>
          <w:tcPr>
            <w:tcW w:w="178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22</w:t>
            </w:r>
          </w:p>
        </w:tc>
        <w:tc>
          <w:tcPr>
            <w:tcW w:w="1124"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73.3%</w:t>
            </w:r>
          </w:p>
        </w:tc>
        <w:tc>
          <w:tcPr>
            <w:tcW w:w="1448"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合规可行</w:t>
            </w:r>
          </w:p>
        </w:tc>
      </w:tr>
      <w:tr>
        <w:tblPrEx>
          <w:tblCellMar>
            <w:top w:w="0" w:type="dxa"/>
            <w:left w:w="0" w:type="dxa"/>
            <w:bottom w:w="0" w:type="dxa"/>
            <w:right w:w="0" w:type="dxa"/>
          </w:tblCellMar>
        </w:tblPrEx>
        <w:trPr>
          <w:trHeight w:val="90" w:hRule="atLeast"/>
        </w:trPr>
        <w:tc>
          <w:tcPr>
            <w:tcW w:w="1567"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过程</w:t>
            </w:r>
          </w:p>
        </w:tc>
        <w:tc>
          <w:tcPr>
            <w:tcW w:w="1197"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2</w:t>
            </w:r>
            <w:r>
              <w:rPr>
                <w:rFonts w:hint="eastAsia" w:ascii="仿宋" w:hAnsi="仿宋" w:eastAsia="仿宋" w:cs="仿宋"/>
                <w:kern w:val="0"/>
                <w:sz w:val="28"/>
                <w:szCs w:val="28"/>
                <w:lang w:val="en-US" w:eastAsia="zh-CN"/>
              </w:rPr>
              <w:t>8</w:t>
            </w:r>
            <w:r>
              <w:rPr>
                <w:rFonts w:hint="eastAsia" w:ascii="仿宋" w:hAnsi="仿宋" w:eastAsia="仿宋" w:cs="仿宋"/>
                <w:kern w:val="0"/>
                <w:sz w:val="28"/>
                <w:szCs w:val="28"/>
              </w:rPr>
              <w:t>%</w:t>
            </w:r>
          </w:p>
        </w:tc>
        <w:tc>
          <w:tcPr>
            <w:tcW w:w="1403"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28</w:t>
            </w:r>
          </w:p>
        </w:tc>
        <w:tc>
          <w:tcPr>
            <w:tcW w:w="178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14</w:t>
            </w:r>
          </w:p>
        </w:tc>
        <w:tc>
          <w:tcPr>
            <w:tcW w:w="1124"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50%</w:t>
            </w:r>
          </w:p>
        </w:tc>
        <w:tc>
          <w:tcPr>
            <w:tcW w:w="1448"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管理</w:t>
            </w:r>
            <w:r>
              <w:rPr>
                <w:rFonts w:hint="eastAsia" w:ascii="仿宋" w:hAnsi="仿宋" w:eastAsia="仿宋" w:cs="仿宋"/>
                <w:kern w:val="0"/>
                <w:sz w:val="28"/>
                <w:szCs w:val="28"/>
                <w:lang w:val="en-US" w:eastAsia="zh-CN"/>
              </w:rPr>
              <w:t>一般</w:t>
            </w:r>
          </w:p>
        </w:tc>
      </w:tr>
      <w:tr>
        <w:tblPrEx>
          <w:tblCellMar>
            <w:top w:w="0" w:type="dxa"/>
            <w:left w:w="0" w:type="dxa"/>
            <w:bottom w:w="0" w:type="dxa"/>
            <w:right w:w="0" w:type="dxa"/>
          </w:tblCellMar>
        </w:tblPrEx>
        <w:trPr>
          <w:trHeight w:val="565" w:hRule="atLeast"/>
        </w:trPr>
        <w:tc>
          <w:tcPr>
            <w:tcW w:w="1567"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产出</w:t>
            </w:r>
          </w:p>
        </w:tc>
        <w:tc>
          <w:tcPr>
            <w:tcW w:w="1197"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22</w:t>
            </w:r>
            <w:r>
              <w:rPr>
                <w:rFonts w:hint="eastAsia" w:ascii="仿宋" w:hAnsi="仿宋" w:eastAsia="仿宋" w:cs="仿宋"/>
                <w:kern w:val="0"/>
                <w:sz w:val="28"/>
                <w:szCs w:val="28"/>
              </w:rPr>
              <w:t>%</w:t>
            </w:r>
          </w:p>
        </w:tc>
        <w:tc>
          <w:tcPr>
            <w:tcW w:w="1403"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22</w:t>
            </w:r>
          </w:p>
        </w:tc>
        <w:tc>
          <w:tcPr>
            <w:tcW w:w="178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12</w:t>
            </w:r>
          </w:p>
        </w:tc>
        <w:tc>
          <w:tcPr>
            <w:tcW w:w="1124"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54.5%</w:t>
            </w:r>
          </w:p>
        </w:tc>
        <w:tc>
          <w:tcPr>
            <w:tcW w:w="1448"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rPr>
              <w:t>产出</w:t>
            </w:r>
            <w:r>
              <w:rPr>
                <w:rFonts w:hint="eastAsia" w:ascii="仿宋" w:hAnsi="仿宋" w:eastAsia="仿宋" w:cs="仿宋"/>
                <w:kern w:val="0"/>
                <w:sz w:val="28"/>
                <w:szCs w:val="28"/>
                <w:lang w:val="en-US" w:eastAsia="zh-CN"/>
              </w:rPr>
              <w:t>不好</w:t>
            </w:r>
          </w:p>
        </w:tc>
      </w:tr>
      <w:tr>
        <w:tblPrEx>
          <w:tblCellMar>
            <w:top w:w="0" w:type="dxa"/>
            <w:left w:w="0" w:type="dxa"/>
            <w:bottom w:w="0" w:type="dxa"/>
            <w:right w:w="0" w:type="dxa"/>
          </w:tblCellMar>
        </w:tblPrEx>
        <w:tc>
          <w:tcPr>
            <w:tcW w:w="1567"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效益</w:t>
            </w:r>
          </w:p>
        </w:tc>
        <w:tc>
          <w:tcPr>
            <w:tcW w:w="1197"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20%</w:t>
            </w:r>
          </w:p>
        </w:tc>
        <w:tc>
          <w:tcPr>
            <w:tcW w:w="1403"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20</w:t>
            </w:r>
          </w:p>
        </w:tc>
        <w:tc>
          <w:tcPr>
            <w:tcW w:w="178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11</w:t>
            </w:r>
          </w:p>
        </w:tc>
        <w:tc>
          <w:tcPr>
            <w:tcW w:w="1124"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55%</w:t>
            </w:r>
          </w:p>
        </w:tc>
        <w:tc>
          <w:tcPr>
            <w:tcW w:w="1448"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rPr>
              <w:t>效果</w:t>
            </w:r>
            <w:r>
              <w:rPr>
                <w:rFonts w:hint="eastAsia" w:ascii="仿宋" w:hAnsi="仿宋" w:eastAsia="仿宋" w:cs="仿宋"/>
                <w:kern w:val="0"/>
                <w:sz w:val="28"/>
                <w:szCs w:val="28"/>
                <w:lang w:val="en-US" w:eastAsia="zh-CN"/>
              </w:rPr>
              <w:t>不好</w:t>
            </w:r>
          </w:p>
        </w:tc>
      </w:tr>
      <w:tr>
        <w:tblPrEx>
          <w:tblCellMar>
            <w:top w:w="0" w:type="dxa"/>
            <w:left w:w="0" w:type="dxa"/>
            <w:bottom w:w="0" w:type="dxa"/>
            <w:right w:w="0" w:type="dxa"/>
          </w:tblCellMar>
        </w:tblPrEx>
        <w:tc>
          <w:tcPr>
            <w:tcW w:w="1567"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合计</w:t>
            </w:r>
          </w:p>
        </w:tc>
        <w:tc>
          <w:tcPr>
            <w:tcW w:w="1197"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100%</w:t>
            </w:r>
          </w:p>
        </w:tc>
        <w:tc>
          <w:tcPr>
            <w:tcW w:w="1403"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rPr>
            </w:pPr>
            <w:r>
              <w:rPr>
                <w:rFonts w:hint="eastAsia" w:ascii="仿宋" w:hAnsi="仿宋" w:eastAsia="仿宋" w:cs="仿宋"/>
                <w:kern w:val="0"/>
                <w:sz w:val="28"/>
                <w:szCs w:val="28"/>
              </w:rPr>
              <w:t>100</w:t>
            </w:r>
          </w:p>
        </w:tc>
        <w:tc>
          <w:tcPr>
            <w:tcW w:w="178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59</w:t>
            </w:r>
          </w:p>
        </w:tc>
        <w:tc>
          <w:tcPr>
            <w:tcW w:w="1124"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59%</w:t>
            </w:r>
          </w:p>
        </w:tc>
        <w:tc>
          <w:tcPr>
            <w:tcW w:w="1448"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差</w:t>
            </w:r>
          </w:p>
        </w:tc>
      </w:tr>
    </w:tbl>
    <w:p>
      <w:pPr>
        <w:pStyle w:val="2"/>
        <w:keepNext w:val="0"/>
        <w:keepLines w:val="0"/>
        <w:pageBreakBefore w:val="0"/>
        <w:kinsoku/>
        <w:wordWrap/>
        <w:overflowPunct/>
        <w:topLinePunct w:val="0"/>
        <w:autoSpaceDE/>
        <w:autoSpaceDN/>
        <w:bidi w:val="0"/>
        <w:adjustRightInd/>
        <w:snapToGrid/>
        <w:spacing w:line="240" w:lineRule="auto"/>
        <w:ind w:left="-210" w:leftChars="-100"/>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 xml:space="preserve">                      </w:t>
      </w:r>
      <w:r>
        <w:rPr>
          <w:rFonts w:hint="eastAsia" w:ascii="仿宋" w:hAnsi="仿宋" w:eastAsia="仿宋" w:cs="仿宋"/>
          <w:sz w:val="28"/>
          <w:szCs w:val="28"/>
          <w:lang w:val="en-US" w:eastAsia="zh-CN"/>
        </w:rPr>
        <w:t>评分情况</w:t>
      </w:r>
    </w:p>
    <w:p>
      <w:pPr>
        <w:keepNext w:val="0"/>
        <w:keepLines w:val="0"/>
        <w:pageBreakBefore w:val="0"/>
        <w:kinsoku/>
        <w:wordWrap/>
        <w:overflowPunct/>
        <w:topLinePunct w:val="0"/>
        <w:autoSpaceDE/>
        <w:autoSpaceDN/>
        <w:bidi w:val="0"/>
        <w:adjustRightInd/>
        <w:snapToGrid/>
        <w:spacing w:line="240" w:lineRule="auto"/>
        <w:ind w:left="-210" w:leftChars="-100" w:firstLine="562" w:firstLineChars="200"/>
        <w:outlineLvl w:val="0"/>
        <w:rPr>
          <w:rFonts w:hint="eastAsia" w:ascii="仿宋" w:hAnsi="仿宋" w:eastAsia="仿宋" w:cs="仿宋"/>
          <w:b/>
          <w:bCs/>
          <w:sz w:val="28"/>
          <w:szCs w:val="28"/>
        </w:rPr>
      </w:pPr>
      <w:bookmarkStart w:id="26" w:name="_Toc15151"/>
      <w:r>
        <w:rPr>
          <w:rFonts w:hint="eastAsia" w:ascii="仿宋" w:hAnsi="仿宋" w:eastAsia="仿宋" w:cs="仿宋"/>
          <w:b/>
          <w:bCs/>
          <w:sz w:val="28"/>
          <w:szCs w:val="28"/>
        </w:rPr>
        <w:t>四、绩效评价指标分析</w:t>
      </w:r>
      <w:bookmarkEnd w:id="26"/>
      <w:r>
        <w:rPr>
          <w:rFonts w:hint="eastAsia" w:ascii="仿宋" w:hAnsi="仿宋" w:eastAsia="仿宋" w:cs="仿宋"/>
          <w:b/>
          <w:bCs/>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outlineLvl w:val="1"/>
        <w:rPr>
          <w:rFonts w:hint="eastAsia" w:ascii="仿宋" w:hAnsi="仿宋" w:eastAsia="仿宋" w:cs="仿宋"/>
          <w:sz w:val="28"/>
          <w:szCs w:val="28"/>
        </w:rPr>
      </w:pPr>
      <w:bookmarkStart w:id="27" w:name="_Toc17424"/>
      <w:r>
        <w:rPr>
          <w:rFonts w:hint="eastAsia" w:ascii="仿宋" w:hAnsi="仿宋" w:eastAsia="仿宋" w:cs="仿宋"/>
          <w:sz w:val="28"/>
          <w:szCs w:val="28"/>
        </w:rPr>
        <w:t>（一）项目决策情况</w:t>
      </w:r>
      <w:bookmarkEnd w:id="27"/>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ascii="仿宋_GB2312" w:hAnsi="Times New Roman" w:eastAsia="仿宋_GB2312" w:cs="Times New Roman"/>
          <w:sz w:val="24"/>
          <w:szCs w:val="24"/>
        </w:rPr>
      </w:pPr>
      <w:r>
        <w:rPr>
          <w:rFonts w:hint="eastAsia" w:ascii="仿宋" w:hAnsi="仿宋" w:eastAsia="仿宋" w:cs="仿宋"/>
          <w:sz w:val="28"/>
          <w:szCs w:val="28"/>
        </w:rPr>
        <w:t>项目决策的评价指标包括项目立项、绩效目标、资金投入三项二</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级指标，共涉及项目立项充分性、立项程序规范性、绩效目标合理性、绩效指标明确性、预算编制科学性、资金分配合理性6个三级指标。“项目决策</w:t>
      </w:r>
      <w:r>
        <w:rPr>
          <w:rFonts w:hint="eastAsia" w:ascii="仿宋" w:hAnsi="仿宋" w:eastAsia="仿宋" w:cs="仿宋"/>
          <w:sz w:val="28"/>
          <w:szCs w:val="28"/>
          <w:highlight w:val="none"/>
        </w:rPr>
        <w:t>”总分</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分，得分</w:t>
      </w:r>
      <w:r>
        <w:rPr>
          <w:rFonts w:hint="eastAsia" w:ascii="仿宋" w:hAnsi="仿宋" w:eastAsia="仿宋" w:cs="仿宋"/>
          <w:sz w:val="28"/>
          <w:szCs w:val="28"/>
          <w:highlight w:val="none"/>
          <w:lang w:val="en-US" w:eastAsia="zh-CN"/>
        </w:rPr>
        <w:t>22</w:t>
      </w:r>
      <w:r>
        <w:rPr>
          <w:rFonts w:hint="eastAsia" w:ascii="仿宋" w:hAnsi="仿宋" w:eastAsia="仿宋" w:cs="仿宋"/>
          <w:sz w:val="28"/>
          <w:szCs w:val="28"/>
          <w:highlight w:val="none"/>
        </w:rPr>
        <w:t>分，得分率</w:t>
      </w:r>
      <w:r>
        <w:rPr>
          <w:rFonts w:hint="eastAsia" w:ascii="仿宋" w:hAnsi="仿宋" w:eastAsia="仿宋" w:cs="仿宋"/>
          <w:sz w:val="28"/>
          <w:szCs w:val="28"/>
          <w:highlight w:val="none"/>
          <w:lang w:val="en-US" w:eastAsia="zh-CN"/>
        </w:rPr>
        <w:t>73.3</w:t>
      </w:r>
      <w:r>
        <w:rPr>
          <w:rFonts w:hint="eastAsia" w:ascii="仿宋" w:hAnsi="仿宋" w:eastAsia="仿宋" w:cs="仿宋"/>
          <w:sz w:val="28"/>
          <w:szCs w:val="28"/>
          <w:highlight w:val="none"/>
        </w:rPr>
        <w:t>0 %。主要问题在于设定的</w:t>
      </w:r>
      <w:r>
        <w:rPr>
          <w:rFonts w:hint="eastAsia" w:ascii="仿宋" w:hAnsi="仿宋" w:eastAsia="仿宋" w:cs="仿宋"/>
          <w:sz w:val="28"/>
          <w:szCs w:val="28"/>
          <w:highlight w:val="none"/>
          <w:lang w:eastAsia="zh-CN"/>
        </w:rPr>
        <w:t>部分</w:t>
      </w:r>
      <w:r>
        <w:rPr>
          <w:rFonts w:hint="eastAsia" w:ascii="仿宋" w:hAnsi="仿宋" w:eastAsia="仿宋" w:cs="仿宋"/>
          <w:sz w:val="28"/>
          <w:szCs w:val="28"/>
          <w:highlight w:val="none"/>
        </w:rPr>
        <w:t>绩效目标较为简单、笼</w:t>
      </w:r>
      <w:r>
        <w:rPr>
          <w:rFonts w:hint="eastAsia" w:ascii="仿宋" w:hAnsi="仿宋" w:eastAsia="仿宋" w:cs="仿宋"/>
          <w:sz w:val="28"/>
          <w:szCs w:val="28"/>
        </w:rPr>
        <w:t>统，未根据项目实际对产出和效益进行量化、细化，多数为泛化的定性指标，评价依据不清，标准不明确，缺少科学合理的衡量标准</w:t>
      </w:r>
      <w:r>
        <w:rPr>
          <w:rFonts w:hint="eastAsia" w:ascii="仿宋_GB2312" w:hAnsi="Times New Roman" w:eastAsia="仿宋_GB2312" w:cs="Times New Roman"/>
          <w:sz w:val="24"/>
          <w:szCs w:val="24"/>
        </w:rPr>
        <w:t>：</w:t>
      </w:r>
    </w:p>
    <w:p>
      <w:pPr>
        <w:pStyle w:val="2"/>
        <w:keepNext w:val="0"/>
        <w:keepLines w:val="0"/>
        <w:pageBreakBefore w:val="0"/>
        <w:kinsoku/>
        <w:wordWrap/>
        <w:overflowPunct/>
        <w:topLinePunct w:val="0"/>
        <w:autoSpaceDE/>
        <w:autoSpaceDN/>
        <w:bidi w:val="0"/>
        <w:adjustRightInd/>
        <w:snapToGrid/>
        <w:spacing w:line="240" w:lineRule="auto"/>
        <w:ind w:left="-210" w:leftChars="-100" w:firstLine="2811" w:firstLineChars="1000"/>
        <w:rPr>
          <w:rFonts w:hint="eastAsia" w:ascii="仿宋" w:hAnsi="仿宋" w:eastAsia="仿宋" w:cs="仿宋"/>
          <w:sz w:val="28"/>
          <w:szCs w:val="28"/>
        </w:rPr>
      </w:pPr>
      <w:r>
        <w:rPr>
          <w:rFonts w:hint="eastAsia" w:ascii="仿宋" w:hAnsi="仿宋" w:eastAsia="仿宋" w:cs="仿宋"/>
          <w:b/>
          <w:bCs/>
          <w:sz w:val="28"/>
          <w:szCs w:val="28"/>
        </w:rPr>
        <w:t xml:space="preserve"> 决策类指标评分情况</w:t>
      </w:r>
    </w:p>
    <w:tbl>
      <w:tblPr>
        <w:tblStyle w:val="6"/>
        <w:tblW w:w="5099" w:type="pct"/>
        <w:jc w:val="center"/>
        <w:tblLayout w:type="autofit"/>
        <w:tblCellMar>
          <w:top w:w="0" w:type="dxa"/>
          <w:left w:w="0" w:type="dxa"/>
          <w:bottom w:w="0" w:type="dxa"/>
          <w:right w:w="0" w:type="dxa"/>
        </w:tblCellMar>
      </w:tblPr>
      <w:tblGrid>
        <w:gridCol w:w="722"/>
        <w:gridCol w:w="760"/>
        <w:gridCol w:w="1269"/>
        <w:gridCol w:w="3215"/>
        <w:gridCol w:w="2024"/>
        <w:gridCol w:w="701"/>
      </w:tblGrid>
      <w:tr>
        <w:trPr>
          <w:trHeight w:val="692" w:hRule="atLeast"/>
          <w:jc w:val="center"/>
        </w:trPr>
        <w:tc>
          <w:tcPr>
            <w:tcW w:w="416" w:type="pct"/>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一级指标</w:t>
            </w:r>
          </w:p>
        </w:tc>
        <w:tc>
          <w:tcPr>
            <w:tcW w:w="437"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二级指标</w:t>
            </w:r>
          </w:p>
        </w:tc>
        <w:tc>
          <w:tcPr>
            <w:tcW w:w="730"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三级指标</w:t>
            </w:r>
          </w:p>
        </w:tc>
        <w:tc>
          <w:tcPr>
            <w:tcW w:w="1849"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指标内容</w:t>
            </w:r>
          </w:p>
        </w:tc>
        <w:tc>
          <w:tcPr>
            <w:tcW w:w="1163"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b/>
                <w:bCs/>
                <w:color w:val="000000"/>
                <w:kern w:val="0"/>
                <w:sz w:val="24"/>
                <w:szCs w:val="24"/>
                <w:lang w:val="en-US" w:eastAsia="zh-CN"/>
              </w:rPr>
              <w:t>评价情况</w:t>
            </w:r>
          </w:p>
        </w:tc>
        <w:tc>
          <w:tcPr>
            <w:tcW w:w="403"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分值</w:t>
            </w:r>
          </w:p>
        </w:tc>
      </w:tr>
      <w:tr>
        <w:tblPrEx>
          <w:tblCellMar>
            <w:top w:w="0" w:type="dxa"/>
            <w:left w:w="0" w:type="dxa"/>
            <w:bottom w:w="0" w:type="dxa"/>
            <w:right w:w="0" w:type="dxa"/>
          </w:tblCellMar>
        </w:tblPrEx>
        <w:trPr>
          <w:trHeight w:val="2228" w:hRule="atLeast"/>
          <w:jc w:val="center"/>
        </w:trPr>
        <w:tc>
          <w:tcPr>
            <w:tcW w:w="416" w:type="pct"/>
            <w:vMerge w:val="restar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决策　</w:t>
            </w:r>
          </w:p>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（30分）</w:t>
            </w:r>
          </w:p>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　</w:t>
            </w:r>
          </w:p>
        </w:tc>
        <w:tc>
          <w:tcPr>
            <w:tcW w:w="437"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项目立项　</w:t>
            </w:r>
          </w:p>
        </w:tc>
        <w:tc>
          <w:tcPr>
            <w:tcW w:w="730"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立项依据</w:t>
            </w:r>
          </w:p>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充分性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84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both"/>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项目立项（主体是指项目主管部门，下同）是否符合法律法规、相关政策、发展规划以及部门职责，用以反映和考核项目立项依据情况。</w:t>
            </w:r>
          </w:p>
        </w:tc>
        <w:tc>
          <w:tcPr>
            <w:tcW w:w="116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b w:val="0"/>
                <w:bCs w:val="0"/>
                <w:sz w:val="24"/>
                <w:szCs w:val="24"/>
                <w:vertAlign w:val="baseline"/>
                <w:lang w:val="en-US" w:eastAsia="zh-CN"/>
              </w:rPr>
              <w:t>该指标得分率为100%，项目立项依据充分，与部门职能紧密相关，立项程序规范，资料齐全，依据评分标准得5分。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5</w:t>
            </w:r>
          </w:p>
        </w:tc>
      </w:tr>
      <w:tr>
        <w:tblPrEx>
          <w:tblCellMar>
            <w:top w:w="0" w:type="dxa"/>
            <w:left w:w="0" w:type="dxa"/>
            <w:bottom w:w="0" w:type="dxa"/>
            <w:right w:w="0" w:type="dxa"/>
          </w:tblCellMar>
        </w:tblPrEx>
        <w:trPr>
          <w:trHeight w:val="1016" w:hRule="atLeast"/>
          <w:jc w:val="center"/>
        </w:trPr>
        <w:tc>
          <w:tcPr>
            <w:tcW w:w="416"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left"/>
              <w:rPr>
                <w:rFonts w:hint="eastAsia" w:ascii="仿宋" w:hAnsi="仿宋" w:eastAsia="仿宋" w:cs="仿宋"/>
                <w:kern w:val="0"/>
                <w:sz w:val="24"/>
                <w:szCs w:val="24"/>
              </w:rPr>
            </w:pPr>
          </w:p>
        </w:tc>
        <w:tc>
          <w:tcPr>
            <w:tcW w:w="437" w:type="pct"/>
            <w:vMerge w:val="continue"/>
            <w:tcBorders>
              <w:top w:val="nil"/>
              <w:left w:val="nil"/>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730"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立项程序</w:t>
            </w:r>
          </w:p>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规范性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84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项目申请、设立过程是否符合相关要求，用以反映和考核项目立项的规范情况。</w:t>
            </w:r>
          </w:p>
        </w:tc>
        <w:tc>
          <w:tcPr>
            <w:tcW w:w="116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立项</w:t>
            </w:r>
            <w:r>
              <w:rPr>
                <w:rFonts w:hint="eastAsia" w:ascii="仿宋" w:hAnsi="仿宋" w:eastAsia="仿宋" w:cs="仿宋"/>
                <w:color w:val="000000"/>
                <w:kern w:val="0"/>
                <w:sz w:val="24"/>
                <w:szCs w:val="24"/>
                <w:lang w:val="en-US" w:eastAsia="zh-CN"/>
              </w:rPr>
              <w:t>申请</w:t>
            </w:r>
            <w:r>
              <w:rPr>
                <w:rFonts w:hint="eastAsia" w:ascii="仿宋" w:hAnsi="仿宋" w:eastAsia="仿宋" w:cs="仿宋"/>
                <w:color w:val="000000"/>
                <w:kern w:val="0"/>
                <w:sz w:val="24"/>
                <w:szCs w:val="24"/>
              </w:rPr>
              <w:t>、过程符合相关要求，</w:t>
            </w:r>
            <w:r>
              <w:rPr>
                <w:rFonts w:hint="eastAsia" w:ascii="仿宋" w:hAnsi="仿宋" w:eastAsia="仿宋" w:cs="仿宋"/>
                <w:color w:val="000000"/>
                <w:kern w:val="0"/>
                <w:sz w:val="24"/>
                <w:szCs w:val="24"/>
                <w:lang w:val="en-US" w:eastAsia="zh-CN"/>
              </w:rPr>
              <w:t>程序</w:t>
            </w:r>
            <w:r>
              <w:rPr>
                <w:rFonts w:hint="eastAsia" w:ascii="仿宋" w:hAnsi="仿宋" w:eastAsia="仿宋" w:cs="仿宋"/>
                <w:color w:val="000000"/>
                <w:kern w:val="0"/>
                <w:sz w:val="24"/>
                <w:szCs w:val="24"/>
              </w:rPr>
              <w:t>规范，指标评价实际得分</w:t>
            </w:r>
            <w:r>
              <w:rPr>
                <w:rFonts w:hint="eastAsia" w:ascii="仿宋" w:hAnsi="仿宋" w:eastAsia="仿宋" w:cs="仿宋"/>
                <w:color w:val="000000"/>
                <w:kern w:val="0"/>
                <w:sz w:val="24"/>
                <w:szCs w:val="24"/>
                <w:lang w:val="en-US" w:eastAsia="zh-CN"/>
              </w:rPr>
              <w:t>5</w:t>
            </w:r>
            <w:r>
              <w:rPr>
                <w:rFonts w:hint="eastAsia" w:ascii="仿宋" w:hAnsi="仿宋" w:eastAsia="仿宋" w:cs="仿宋"/>
                <w:color w:val="000000"/>
                <w:kern w:val="0"/>
                <w:sz w:val="24"/>
                <w:szCs w:val="24"/>
              </w:rPr>
              <w:t>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5</w:t>
            </w:r>
          </w:p>
        </w:tc>
      </w:tr>
      <w:tr>
        <w:tblPrEx>
          <w:tblCellMar>
            <w:top w:w="0" w:type="dxa"/>
            <w:left w:w="0" w:type="dxa"/>
            <w:bottom w:w="0" w:type="dxa"/>
            <w:right w:w="0" w:type="dxa"/>
          </w:tblCellMar>
        </w:tblPrEx>
        <w:trPr>
          <w:trHeight w:val="1190" w:hRule="atLeast"/>
          <w:jc w:val="center"/>
        </w:trPr>
        <w:tc>
          <w:tcPr>
            <w:tcW w:w="416"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left"/>
              <w:rPr>
                <w:rFonts w:hint="eastAsia" w:ascii="仿宋" w:hAnsi="仿宋" w:eastAsia="仿宋" w:cs="仿宋"/>
                <w:kern w:val="0"/>
                <w:sz w:val="24"/>
                <w:szCs w:val="24"/>
              </w:rPr>
            </w:pPr>
          </w:p>
        </w:tc>
        <w:tc>
          <w:tcPr>
            <w:tcW w:w="437"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绩效目标　</w:t>
            </w:r>
          </w:p>
        </w:tc>
        <w:tc>
          <w:tcPr>
            <w:tcW w:w="730"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绩效目标</w:t>
            </w:r>
          </w:p>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合理性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84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项目所设定的绩效目标是否依据充分，是否符合客观实际，用以反映和考核项目绩效目标与项目实施的相符情况。</w:t>
            </w:r>
          </w:p>
        </w:tc>
        <w:tc>
          <w:tcPr>
            <w:tcW w:w="116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b w:val="0"/>
                <w:bCs w:val="0"/>
                <w:sz w:val="24"/>
                <w:szCs w:val="24"/>
                <w:vertAlign w:val="baseline"/>
                <w:lang w:val="en-US" w:eastAsia="zh-CN"/>
              </w:rPr>
              <w:t>绩效目标设置不充分，绩效目标不能分解为具体的绩效指标，绩效目标设置较为简单，没有量化细化依据评分标准得2分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r>
      <w:tr>
        <w:tblPrEx>
          <w:tblCellMar>
            <w:top w:w="0" w:type="dxa"/>
            <w:left w:w="0" w:type="dxa"/>
            <w:bottom w:w="0" w:type="dxa"/>
            <w:right w:w="0" w:type="dxa"/>
          </w:tblCellMar>
        </w:tblPrEx>
        <w:trPr>
          <w:trHeight w:val="844" w:hRule="atLeast"/>
          <w:jc w:val="center"/>
        </w:trPr>
        <w:tc>
          <w:tcPr>
            <w:tcW w:w="416"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left"/>
              <w:rPr>
                <w:rFonts w:hint="eastAsia" w:ascii="仿宋" w:hAnsi="仿宋" w:eastAsia="仿宋" w:cs="仿宋"/>
                <w:kern w:val="0"/>
                <w:sz w:val="24"/>
                <w:szCs w:val="24"/>
              </w:rPr>
            </w:pPr>
          </w:p>
        </w:tc>
        <w:tc>
          <w:tcPr>
            <w:tcW w:w="437" w:type="pct"/>
            <w:vMerge w:val="continue"/>
            <w:tcBorders>
              <w:top w:val="nil"/>
              <w:left w:val="nil"/>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730"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绩效指标</w:t>
            </w:r>
          </w:p>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明确性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84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依据绩效目标设定的绩效指标是否清晰、细化、可衡量等，用以反映和考核项目绩效目标的明细化情况。</w:t>
            </w:r>
          </w:p>
        </w:tc>
        <w:tc>
          <w:tcPr>
            <w:tcW w:w="116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b w:val="0"/>
                <w:bCs w:val="0"/>
                <w:sz w:val="24"/>
                <w:szCs w:val="24"/>
                <w:vertAlign w:val="baseline"/>
                <w:lang w:val="en-US" w:eastAsia="zh-CN"/>
              </w:rPr>
              <w:t>绩效指标值设置不够完善，未能做到细化量化，部分指标未能及时调整，依据评分标准得2分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r>
      <w:tr>
        <w:tblPrEx>
          <w:tblCellMar>
            <w:top w:w="0" w:type="dxa"/>
            <w:left w:w="0" w:type="dxa"/>
            <w:bottom w:w="0" w:type="dxa"/>
            <w:right w:w="0" w:type="dxa"/>
          </w:tblCellMar>
        </w:tblPrEx>
        <w:trPr>
          <w:trHeight w:val="1772" w:hRule="atLeast"/>
          <w:jc w:val="center"/>
        </w:trPr>
        <w:tc>
          <w:tcPr>
            <w:tcW w:w="416"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left"/>
              <w:rPr>
                <w:rFonts w:hint="eastAsia" w:ascii="仿宋" w:hAnsi="仿宋" w:eastAsia="仿宋" w:cs="仿宋"/>
                <w:kern w:val="0"/>
                <w:sz w:val="24"/>
                <w:szCs w:val="24"/>
              </w:rPr>
            </w:pPr>
          </w:p>
        </w:tc>
        <w:tc>
          <w:tcPr>
            <w:tcW w:w="437"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资金投入</w:t>
            </w:r>
          </w:p>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　</w:t>
            </w:r>
          </w:p>
        </w:tc>
        <w:tc>
          <w:tcPr>
            <w:tcW w:w="730"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预算编制</w:t>
            </w:r>
          </w:p>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科学性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84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项目预算编制是否经过科学论证、有明确标准，资金额度与年度目标是否相适应，用以反映和考核项目预算编制的科学性、合理性情况。</w:t>
            </w:r>
          </w:p>
        </w:tc>
        <w:tc>
          <w:tcPr>
            <w:tcW w:w="116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kern w:val="0"/>
                <w:sz w:val="24"/>
                <w:szCs w:val="24"/>
                <w:lang w:val="en-US"/>
              </w:rPr>
            </w:pPr>
            <w:r>
              <w:rPr>
                <w:rFonts w:hint="eastAsia" w:ascii="仿宋" w:hAnsi="仿宋" w:eastAsia="仿宋" w:cs="仿宋"/>
                <w:color w:val="000000"/>
                <w:kern w:val="0"/>
                <w:sz w:val="24"/>
                <w:szCs w:val="24"/>
              </w:rPr>
              <w:t>科学</w:t>
            </w:r>
            <w:r>
              <w:rPr>
                <w:rFonts w:hint="eastAsia" w:ascii="仿宋" w:hAnsi="仿宋" w:eastAsia="仿宋" w:cs="仿宋"/>
                <w:b w:val="0"/>
                <w:bCs w:val="0"/>
                <w:sz w:val="24"/>
                <w:szCs w:val="24"/>
                <w:vertAlign w:val="baseline"/>
                <w:lang w:val="en-US" w:eastAsia="zh-CN"/>
              </w:rPr>
              <w:t>预算金额按照标准进行测算，测算依据充分4分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4</w:t>
            </w:r>
          </w:p>
        </w:tc>
      </w:tr>
      <w:tr>
        <w:tblPrEx>
          <w:tblCellMar>
            <w:top w:w="0" w:type="dxa"/>
            <w:left w:w="0" w:type="dxa"/>
            <w:bottom w:w="0" w:type="dxa"/>
            <w:right w:w="0" w:type="dxa"/>
          </w:tblCellMar>
        </w:tblPrEx>
        <w:trPr>
          <w:trHeight w:val="1202" w:hRule="atLeast"/>
          <w:jc w:val="center"/>
        </w:trPr>
        <w:tc>
          <w:tcPr>
            <w:tcW w:w="416"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left"/>
              <w:rPr>
                <w:rFonts w:hint="eastAsia" w:ascii="仿宋" w:hAnsi="仿宋" w:eastAsia="仿宋" w:cs="仿宋"/>
                <w:kern w:val="0"/>
                <w:sz w:val="24"/>
                <w:szCs w:val="24"/>
              </w:rPr>
            </w:pPr>
          </w:p>
        </w:tc>
        <w:tc>
          <w:tcPr>
            <w:tcW w:w="437" w:type="pct"/>
            <w:vMerge w:val="continue"/>
            <w:tcBorders>
              <w:top w:val="nil"/>
              <w:left w:val="nil"/>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left"/>
              <w:rPr>
                <w:rFonts w:hint="eastAsia" w:ascii="仿宋" w:hAnsi="仿宋" w:eastAsia="仿宋" w:cs="仿宋"/>
                <w:kern w:val="0"/>
                <w:sz w:val="24"/>
                <w:szCs w:val="24"/>
              </w:rPr>
            </w:pPr>
          </w:p>
        </w:tc>
        <w:tc>
          <w:tcPr>
            <w:tcW w:w="730"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资金分配</w:t>
            </w:r>
          </w:p>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合理性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84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项目预算资金分配是否有测算依据，与补助单位或地方实际是否相适应，用以反映和考核项目预算资金分配的科学性、合理性情况。</w:t>
            </w:r>
          </w:p>
        </w:tc>
        <w:tc>
          <w:tcPr>
            <w:tcW w:w="116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kern w:val="0"/>
                <w:sz w:val="24"/>
                <w:szCs w:val="24"/>
                <w:lang w:val="en-US"/>
              </w:rPr>
            </w:pPr>
            <w:r>
              <w:rPr>
                <w:rFonts w:hint="eastAsia" w:ascii="仿宋" w:hAnsi="仿宋" w:eastAsia="仿宋" w:cs="仿宋"/>
                <w:b w:val="0"/>
                <w:bCs w:val="0"/>
                <w:sz w:val="24"/>
                <w:szCs w:val="24"/>
                <w:vertAlign w:val="baseline"/>
                <w:lang w:val="en-US" w:eastAsia="zh-CN"/>
              </w:rPr>
              <w:t>项目预算资金分配根据政府相关文件执行.按具体标准支付得4分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4</w:t>
            </w:r>
          </w:p>
        </w:tc>
      </w:tr>
      <w:tr>
        <w:tblPrEx>
          <w:tblCellMar>
            <w:top w:w="0" w:type="dxa"/>
            <w:left w:w="0" w:type="dxa"/>
            <w:bottom w:w="0" w:type="dxa"/>
            <w:right w:w="0" w:type="dxa"/>
          </w:tblCellMar>
        </w:tblPrEx>
        <w:trPr>
          <w:trHeight w:val="520" w:hRule="atLeast"/>
          <w:jc w:val="center"/>
        </w:trPr>
        <w:tc>
          <w:tcPr>
            <w:tcW w:w="4596" w:type="pct"/>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小计</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2</w:t>
            </w:r>
            <w:r>
              <w:rPr>
                <w:rFonts w:hint="eastAsia" w:ascii="仿宋" w:hAnsi="仿宋" w:eastAsia="仿宋" w:cs="仿宋"/>
                <w:color w:val="000000"/>
                <w:kern w:val="0"/>
                <w:sz w:val="24"/>
                <w:szCs w:val="24"/>
                <w:lang w:val="en-US" w:eastAsia="zh-CN"/>
              </w:rPr>
              <w:t>2</w:t>
            </w:r>
            <w:r>
              <w:rPr>
                <w:rFonts w:hint="eastAsia" w:ascii="仿宋" w:hAnsi="仿宋" w:eastAsia="仿宋" w:cs="仿宋"/>
                <w:color w:val="000000"/>
                <w:kern w:val="0"/>
                <w:sz w:val="24"/>
                <w:szCs w:val="24"/>
              </w:rPr>
              <w:t> </w:t>
            </w:r>
          </w:p>
        </w:tc>
      </w:tr>
    </w:tbl>
    <w:p>
      <w:pPr>
        <w:keepNext w:val="0"/>
        <w:keepLines w:val="0"/>
        <w:pageBreakBefore w:val="0"/>
        <w:kinsoku/>
        <w:wordWrap/>
        <w:overflowPunct/>
        <w:topLinePunct w:val="0"/>
        <w:autoSpaceDE/>
        <w:autoSpaceDN/>
        <w:bidi w:val="0"/>
        <w:adjustRightInd/>
        <w:snapToGrid/>
        <w:spacing w:line="240" w:lineRule="auto"/>
        <w:ind w:left="-210" w:leftChars="-100" w:firstLine="840" w:firstLineChars="300"/>
        <w:rPr>
          <w:rFonts w:hint="eastAsia" w:ascii="仿宋" w:hAnsi="仿宋" w:eastAsia="仿宋" w:cs="仿宋"/>
          <w:sz w:val="28"/>
          <w:szCs w:val="28"/>
        </w:rPr>
      </w:pPr>
      <w:r>
        <w:rPr>
          <w:rFonts w:hint="eastAsia" w:ascii="仿宋" w:hAnsi="仿宋" w:eastAsia="仿宋" w:cs="仿宋"/>
          <w:sz w:val="28"/>
          <w:szCs w:val="28"/>
        </w:rPr>
        <w:t>1.立项依据充分性</w:t>
      </w:r>
    </w:p>
    <w:p>
      <w:pPr>
        <w:keepNext w:val="0"/>
        <w:keepLines w:val="0"/>
        <w:pageBreakBefore w:val="0"/>
        <w:kinsoku/>
        <w:wordWrap/>
        <w:overflowPunct/>
        <w:topLinePunct w:val="0"/>
        <w:autoSpaceDE/>
        <w:autoSpaceDN/>
        <w:bidi w:val="0"/>
        <w:adjustRightInd/>
        <w:snapToGrid/>
        <w:spacing w:line="240" w:lineRule="auto"/>
        <w:ind w:left="-210" w:leftChars="-100" w:firstLine="840" w:firstLineChars="300"/>
        <w:rPr>
          <w:rFonts w:hint="eastAsia" w:ascii="仿宋" w:hAnsi="仿宋" w:eastAsia="仿宋" w:cs="仿宋"/>
          <w:sz w:val="28"/>
          <w:szCs w:val="28"/>
        </w:rPr>
      </w:pPr>
      <w:r>
        <w:rPr>
          <w:rFonts w:hint="eastAsia" w:ascii="仿宋" w:hAnsi="仿宋" w:eastAsia="仿宋" w:cs="仿宋"/>
          <w:sz w:val="28"/>
          <w:szCs w:val="28"/>
        </w:rPr>
        <w:t>指标解释：该项指标主要考核项目立项是否符合法律法规、相关政策、发展规划以及部门职责，用以反映和考核项目立项依据情况。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05" w:leftChars="-5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评分情况：本项目立项符合</w:t>
      </w:r>
      <w:r>
        <w:rPr>
          <w:rFonts w:hint="eastAsia" w:ascii="仿宋" w:hAnsi="仿宋" w:eastAsia="仿宋" w:cs="仿宋"/>
          <w:color w:val="333333"/>
          <w:kern w:val="0"/>
          <w:sz w:val="28"/>
          <w:szCs w:val="28"/>
          <w:lang w:val="en-US" w:eastAsia="zh-CN"/>
        </w:rPr>
        <w:t>《蚌埠市经济和信息化局、蚌埠市人力资源和社会保障局、蚌埠市住房和城乡建设局、蚌埠市财政局</w:t>
      </w:r>
      <w:r>
        <w:rPr>
          <w:rFonts w:hint="eastAsia" w:ascii="仿宋" w:hAnsi="仿宋" w:eastAsia="仿宋" w:cs="仿宋"/>
          <w:color w:val="333333"/>
          <w:kern w:val="0"/>
          <w:sz w:val="28"/>
          <w:szCs w:val="28"/>
        </w:rPr>
        <w:t>关于蚌埠市2022 年春节期间支持企业稳产留工奖补措施的通知》</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蚌经信中小企业【2022】7号</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rPr>
        <w:t>要求</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以下简称《蚌经信中小企业【2022】7号通知》</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rPr>
        <w:t>统筹推进全县2022年春节期间疫情防控和经济社会发展，全力做好企业稳产留工工作</w:t>
      </w:r>
      <w:r>
        <w:rPr>
          <w:rFonts w:hint="eastAsia" w:ascii="仿宋" w:hAnsi="仿宋" w:eastAsia="仿宋" w:cs="仿宋"/>
          <w:sz w:val="28"/>
          <w:szCs w:val="28"/>
        </w:rPr>
        <w:t>等文件规定。</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项目立项符合法律法规及相关政策的规定，立期依据充分，该项满分</w:t>
      </w:r>
      <w:r>
        <w:rPr>
          <w:rFonts w:hint="eastAsia" w:ascii="仿宋" w:hAnsi="仿宋" w:eastAsia="仿宋" w:cs="仿宋"/>
          <w:sz w:val="28"/>
          <w:szCs w:val="28"/>
          <w:lang w:val="en-US" w:eastAsia="zh-CN"/>
        </w:rPr>
        <w:t>5</w:t>
      </w:r>
      <w:r>
        <w:rPr>
          <w:rFonts w:hint="eastAsia" w:ascii="仿宋" w:hAnsi="仿宋" w:eastAsia="仿宋" w:cs="仿宋"/>
          <w:sz w:val="28"/>
          <w:szCs w:val="28"/>
        </w:rPr>
        <w:t>分，得</w:t>
      </w:r>
      <w:r>
        <w:rPr>
          <w:rFonts w:hint="eastAsia" w:ascii="仿宋" w:hAnsi="仿宋" w:eastAsia="仿宋" w:cs="仿宋"/>
          <w:sz w:val="28"/>
          <w:szCs w:val="28"/>
          <w:lang w:val="en-US" w:eastAsia="zh-CN"/>
        </w:rPr>
        <w:t>5</w:t>
      </w:r>
      <w:r>
        <w:rPr>
          <w:rFonts w:hint="eastAsia" w:ascii="仿宋" w:hAnsi="仿宋" w:eastAsia="仿宋" w:cs="仿宋"/>
          <w:sz w:val="28"/>
          <w:szCs w:val="28"/>
        </w:rPr>
        <w:t>分，得分率100.00%。</w:t>
      </w:r>
    </w:p>
    <w:p>
      <w:pPr>
        <w:keepNext w:val="0"/>
        <w:keepLines w:val="0"/>
        <w:pageBreakBefore w:val="0"/>
        <w:kinsoku/>
        <w:wordWrap/>
        <w:overflowPunct/>
        <w:topLinePunct w:val="0"/>
        <w:autoSpaceDE/>
        <w:autoSpaceDN/>
        <w:bidi w:val="0"/>
        <w:adjustRightInd/>
        <w:snapToGrid/>
        <w:spacing w:line="240" w:lineRule="auto"/>
        <w:ind w:left="-210" w:leftChars="-100" w:firstLine="840" w:firstLineChars="300"/>
        <w:rPr>
          <w:rFonts w:hint="eastAsia" w:ascii="仿宋" w:hAnsi="仿宋" w:eastAsia="仿宋" w:cs="仿宋"/>
          <w:sz w:val="28"/>
          <w:szCs w:val="28"/>
        </w:rPr>
      </w:pPr>
      <w:r>
        <w:rPr>
          <w:rFonts w:hint="eastAsia" w:ascii="仿宋" w:hAnsi="仿宋" w:eastAsia="仿宋" w:cs="仿宋"/>
          <w:sz w:val="28"/>
          <w:szCs w:val="28"/>
        </w:rPr>
        <w:t>2.立项程序规范性</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指标解释：项目申请、设立过程是否符合相关要求，用以反映和考核项目立项的规范情况。</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评分情况：县</w:t>
      </w:r>
      <w:r>
        <w:rPr>
          <w:rFonts w:hint="eastAsia" w:ascii="仿宋" w:hAnsi="仿宋" w:eastAsia="仿宋" w:cs="仿宋"/>
          <w:sz w:val="28"/>
          <w:szCs w:val="28"/>
          <w:lang w:val="en-US" w:eastAsia="zh-CN"/>
        </w:rPr>
        <w:t>经信局</w:t>
      </w:r>
      <w:r>
        <w:rPr>
          <w:rFonts w:hint="eastAsia" w:ascii="仿宋" w:hAnsi="仿宋" w:eastAsia="仿宋" w:cs="仿宋"/>
          <w:sz w:val="28"/>
          <w:szCs w:val="28"/>
        </w:rPr>
        <w:t>根据</w:t>
      </w:r>
      <w:r>
        <w:rPr>
          <w:rFonts w:hint="eastAsia" w:ascii="仿宋" w:hAnsi="仿宋" w:eastAsia="仿宋" w:cs="仿宋"/>
          <w:sz w:val="28"/>
          <w:szCs w:val="28"/>
          <w:lang w:val="en-US" w:eastAsia="zh-CN"/>
        </w:rPr>
        <w:t>市局规定统计2022</w:t>
      </w:r>
      <w:r>
        <w:rPr>
          <w:rFonts w:hint="eastAsia" w:ascii="仿宋" w:hAnsi="仿宋" w:eastAsia="仿宋" w:cs="仿宋"/>
          <w:sz w:val="28"/>
          <w:szCs w:val="28"/>
        </w:rPr>
        <w:t>年度</w:t>
      </w:r>
      <w:r>
        <w:rPr>
          <w:rFonts w:hint="eastAsia" w:ascii="仿宋" w:hAnsi="仿宋" w:eastAsia="仿宋" w:cs="仿宋"/>
          <w:sz w:val="28"/>
          <w:szCs w:val="28"/>
          <w:lang w:val="en-US" w:eastAsia="zh-CN"/>
        </w:rPr>
        <w:t>春节期间</w:t>
      </w:r>
      <w:r>
        <w:rPr>
          <w:rFonts w:hint="eastAsia" w:ascii="仿宋" w:hAnsi="仿宋" w:eastAsia="仿宋" w:cs="仿宋"/>
          <w:sz w:val="28"/>
          <w:szCs w:val="28"/>
        </w:rPr>
        <w:t>数据测算出经费支出为</w:t>
      </w:r>
      <w:r>
        <w:rPr>
          <w:rFonts w:hint="eastAsia" w:ascii="仿宋" w:hAnsi="仿宋" w:eastAsia="仿宋" w:cs="仿宋"/>
          <w:sz w:val="28"/>
          <w:szCs w:val="28"/>
          <w:lang w:val="en-US" w:eastAsia="zh-CN"/>
        </w:rPr>
        <w:t>677.6</w:t>
      </w:r>
      <w:r>
        <w:rPr>
          <w:rFonts w:hint="eastAsia" w:ascii="仿宋" w:hAnsi="仿宋" w:eastAsia="仿宋" w:cs="仿宋"/>
          <w:sz w:val="28"/>
          <w:szCs w:val="28"/>
        </w:rPr>
        <w:t>万，向怀远县财政局提出预算申请，怀远县</w:t>
      </w:r>
      <w:r>
        <w:rPr>
          <w:rFonts w:hint="eastAsia" w:ascii="仿宋" w:hAnsi="仿宋" w:eastAsia="仿宋" w:cs="仿宋"/>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0" w:firstLineChars="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财政局</w:t>
      </w:r>
      <w:r>
        <w:rPr>
          <w:rFonts w:hint="eastAsia" w:ascii="仿宋" w:hAnsi="仿宋" w:eastAsia="仿宋" w:cs="仿宋"/>
          <w:sz w:val="28"/>
          <w:szCs w:val="28"/>
          <w:lang w:val="en-US" w:eastAsia="zh-CN"/>
        </w:rPr>
        <w:t>根据</w:t>
      </w:r>
      <w:r>
        <w:rPr>
          <w:rFonts w:hint="eastAsia" w:ascii="仿宋" w:hAnsi="仿宋" w:eastAsia="仿宋" w:cs="仿宋"/>
          <w:sz w:val="28"/>
          <w:szCs w:val="28"/>
        </w:rPr>
        <w:t>《怀远县人民政府县长办公会议纪要》（</w:t>
      </w:r>
      <w:r>
        <w:rPr>
          <w:rFonts w:hint="eastAsia" w:ascii="仿宋" w:hAnsi="仿宋" w:eastAsia="仿宋" w:cs="仿宋"/>
          <w:sz w:val="28"/>
          <w:szCs w:val="28"/>
          <w:lang w:val="en-US" w:eastAsia="zh-CN"/>
        </w:rPr>
        <w:t>第5次</w:t>
      </w:r>
      <w:r>
        <w:rPr>
          <w:rFonts w:hint="eastAsia" w:ascii="仿宋" w:hAnsi="仿宋" w:eastAsia="仿宋" w:cs="仿宋"/>
          <w:sz w:val="28"/>
          <w:szCs w:val="28"/>
        </w:rPr>
        <w:t>）</w:t>
      </w:r>
      <w:r>
        <w:rPr>
          <w:rFonts w:hint="eastAsia" w:ascii="仿宋" w:hAnsi="仿宋" w:eastAsia="仿宋" w:cs="仿宋"/>
          <w:sz w:val="28"/>
          <w:szCs w:val="28"/>
          <w:lang w:val="en-US" w:eastAsia="zh-CN"/>
        </w:rPr>
        <w:t>第八条会议确定:同意按照 《关于蚌埠市2022年春节期间支持企业稳产留工奖补措施的通知》文件执行，由县经济和信息化局会同县人力资源社会保障局、县财政局对奖补资金进行审核确定。由县财政局从专项预算资金中予以安排拨付。</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本项目按照规定的程序申请设立，取得符合要求的项目立项批复文件，该项满分</w:t>
      </w:r>
      <w:r>
        <w:rPr>
          <w:rFonts w:hint="eastAsia" w:ascii="仿宋" w:hAnsi="仿宋" w:eastAsia="仿宋" w:cs="仿宋"/>
          <w:sz w:val="28"/>
          <w:szCs w:val="28"/>
          <w:lang w:val="en-US" w:eastAsia="zh-CN"/>
        </w:rPr>
        <w:t>5</w:t>
      </w:r>
      <w:r>
        <w:rPr>
          <w:rFonts w:hint="eastAsia" w:ascii="仿宋" w:hAnsi="仿宋" w:eastAsia="仿宋" w:cs="仿宋"/>
          <w:sz w:val="28"/>
          <w:szCs w:val="28"/>
        </w:rPr>
        <w:t>分，得</w:t>
      </w:r>
      <w:r>
        <w:rPr>
          <w:rFonts w:hint="eastAsia" w:ascii="仿宋" w:hAnsi="仿宋" w:eastAsia="仿宋" w:cs="仿宋"/>
          <w:sz w:val="28"/>
          <w:szCs w:val="28"/>
          <w:lang w:val="en-US" w:eastAsia="zh-CN"/>
        </w:rPr>
        <w:t>5</w:t>
      </w:r>
      <w:r>
        <w:rPr>
          <w:rFonts w:hint="eastAsia" w:ascii="仿宋" w:hAnsi="仿宋" w:eastAsia="仿宋" w:cs="仿宋"/>
          <w:sz w:val="28"/>
          <w:szCs w:val="28"/>
        </w:rPr>
        <w:t>分，得分率100.00%。</w:t>
      </w:r>
    </w:p>
    <w:p>
      <w:pPr>
        <w:keepNext w:val="0"/>
        <w:keepLines w:val="0"/>
        <w:pageBreakBefore w:val="0"/>
        <w:kinsoku/>
        <w:wordWrap/>
        <w:overflowPunct/>
        <w:topLinePunct w:val="0"/>
        <w:autoSpaceDE/>
        <w:autoSpaceDN/>
        <w:bidi w:val="0"/>
        <w:adjustRightInd/>
        <w:snapToGrid/>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3.绩效目标合理性</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指标解释：项目所设定的绩效目标是否依据充分，是否符合客观实际，用以反映和考核项目绩效目标与项目实施的相符情况。</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lang w:val="en-US" w:eastAsia="zh-CN"/>
        </w:rPr>
      </w:pPr>
      <w:bookmarkStart w:id="28" w:name="_Hlk79766109"/>
      <w:r>
        <w:rPr>
          <w:rFonts w:hint="eastAsia" w:ascii="仿宋" w:hAnsi="仿宋" w:eastAsia="仿宋" w:cs="仿宋"/>
          <w:sz w:val="28"/>
          <w:szCs w:val="28"/>
        </w:rPr>
        <w:t>评分情况：</w:t>
      </w:r>
      <w:bookmarkEnd w:id="28"/>
      <w:r>
        <w:rPr>
          <w:rFonts w:hint="eastAsia" w:ascii="仿宋" w:hAnsi="仿宋" w:eastAsia="仿宋" w:cs="仿宋"/>
          <w:sz w:val="28"/>
          <w:szCs w:val="28"/>
        </w:rPr>
        <w:t>项目所设定的绩效目标</w:t>
      </w:r>
      <w:r>
        <w:rPr>
          <w:rFonts w:hint="eastAsia" w:ascii="仿宋" w:hAnsi="仿宋" w:eastAsia="仿宋" w:cs="仿宋"/>
          <w:b w:val="0"/>
          <w:bCs w:val="0"/>
          <w:sz w:val="28"/>
          <w:szCs w:val="28"/>
          <w:vertAlign w:val="baseline"/>
          <w:lang w:val="en-US" w:eastAsia="zh-CN"/>
        </w:rPr>
        <w:t>绩效目标设置不充分，与单位职责紧密相关但不能反映目标完成情况，绩效目标不能分解为具体的绩效指标，绩效目标设置较为简单，没有量化细化。</w:t>
      </w:r>
      <w:r>
        <w:rPr>
          <w:rFonts w:hint="eastAsia" w:ascii="仿宋" w:hAnsi="仿宋" w:eastAsia="仿宋" w:cs="仿宋"/>
          <w:sz w:val="28"/>
          <w:szCs w:val="28"/>
          <w:lang w:eastAsia="zh-CN"/>
        </w:rPr>
        <w:t>该项满分</w:t>
      </w:r>
      <w:r>
        <w:rPr>
          <w:rFonts w:hint="eastAsia" w:ascii="仿宋" w:hAnsi="仿宋" w:eastAsia="仿宋" w:cs="仿宋"/>
          <w:sz w:val="28"/>
          <w:szCs w:val="28"/>
          <w:lang w:val="en-US" w:eastAsia="zh-CN"/>
        </w:rPr>
        <w:t>5分，实际得分2分，得分率40%。</w:t>
      </w:r>
    </w:p>
    <w:p>
      <w:pPr>
        <w:keepNext w:val="0"/>
        <w:keepLines w:val="0"/>
        <w:pageBreakBefore w:val="0"/>
        <w:kinsoku/>
        <w:wordWrap/>
        <w:overflowPunct/>
        <w:topLinePunct w:val="0"/>
        <w:autoSpaceDE/>
        <w:autoSpaceDN/>
        <w:bidi w:val="0"/>
        <w:adjustRightInd/>
        <w:snapToGrid/>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4.绩效指标明确性</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指标解释：依据绩效目标设定的绩效指标是否清晰、细化、可衡量等，用以反映和考核项目绩效目标的明细化情况。</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评分情况：绩效目标较为简单、笼统，未根据项目实际对产出和效益进行量化、细化，多数为泛化的定性指标，评价依据不清，标准不明确，缺少科学合理的衡量标准。根据评价标准，该项满分</w:t>
      </w:r>
      <w:r>
        <w:rPr>
          <w:rFonts w:hint="eastAsia" w:ascii="仿宋" w:hAnsi="仿宋" w:eastAsia="仿宋" w:cs="仿宋"/>
          <w:sz w:val="28"/>
          <w:szCs w:val="28"/>
          <w:lang w:val="en-US" w:eastAsia="zh-CN"/>
        </w:rPr>
        <w:t>5</w:t>
      </w:r>
      <w:r>
        <w:rPr>
          <w:rFonts w:hint="eastAsia" w:ascii="仿宋" w:hAnsi="仿宋" w:eastAsia="仿宋" w:cs="仿宋"/>
          <w:sz w:val="28"/>
          <w:szCs w:val="28"/>
        </w:rPr>
        <w:t>分，得</w:t>
      </w:r>
      <w:r>
        <w:rPr>
          <w:rFonts w:hint="eastAsia" w:ascii="仿宋" w:hAnsi="仿宋" w:eastAsia="仿宋" w:cs="仿宋"/>
          <w:sz w:val="28"/>
          <w:szCs w:val="28"/>
          <w:lang w:val="en-US" w:eastAsia="zh-CN"/>
        </w:rPr>
        <w:t>2</w:t>
      </w:r>
      <w:r>
        <w:rPr>
          <w:rFonts w:hint="eastAsia" w:ascii="仿宋" w:hAnsi="仿宋" w:eastAsia="仿宋" w:cs="仿宋"/>
          <w:sz w:val="28"/>
          <w:szCs w:val="28"/>
        </w:rPr>
        <w:t>分，得分率为</w:t>
      </w:r>
      <w:r>
        <w:rPr>
          <w:rFonts w:hint="eastAsia" w:ascii="仿宋" w:hAnsi="仿宋" w:eastAsia="仿宋" w:cs="仿宋"/>
          <w:sz w:val="28"/>
          <w:szCs w:val="28"/>
          <w:lang w:val="en-US" w:eastAsia="zh-CN"/>
        </w:rPr>
        <w:t>40.00</w:t>
      </w:r>
      <w:r>
        <w:rPr>
          <w:rFonts w:hint="eastAsia" w:ascii="仿宋" w:hAnsi="仿宋" w:eastAsia="仿宋" w:cs="仿宋"/>
          <w:sz w:val="28"/>
          <w:szCs w:val="28"/>
        </w:rPr>
        <w:t>%。</w:t>
      </w:r>
    </w:p>
    <w:p>
      <w:pPr>
        <w:keepNext w:val="0"/>
        <w:keepLines w:val="0"/>
        <w:pageBreakBefore w:val="0"/>
        <w:kinsoku/>
        <w:wordWrap/>
        <w:overflowPunct/>
        <w:topLinePunct w:val="0"/>
        <w:autoSpaceDE/>
        <w:autoSpaceDN/>
        <w:bidi w:val="0"/>
        <w:adjustRightInd/>
        <w:snapToGrid/>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5.预算编制科学性</w:t>
      </w:r>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rPr>
        <w:t>指标解释：项目预算编制是否经过科学论证、有明确标准、资金额度与年度目标是否相适应，用以反映和考核项目预算编制的科</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学性、合理性情况。</w:t>
      </w:r>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rPr>
        <w:t>评分情况：县</w:t>
      </w:r>
      <w:r>
        <w:rPr>
          <w:rFonts w:hint="eastAsia" w:ascii="仿宋" w:hAnsi="仿宋" w:eastAsia="仿宋" w:cs="仿宋"/>
          <w:sz w:val="28"/>
          <w:szCs w:val="28"/>
          <w:lang w:val="en-US" w:eastAsia="zh-CN"/>
        </w:rPr>
        <w:t>经信局</w:t>
      </w:r>
      <w:r>
        <w:rPr>
          <w:rFonts w:hint="eastAsia" w:ascii="仿宋" w:hAnsi="仿宋" w:eastAsia="仿宋" w:cs="仿宋"/>
          <w:sz w:val="28"/>
          <w:szCs w:val="28"/>
        </w:rPr>
        <w:t>依据</w:t>
      </w:r>
      <w:r>
        <w:rPr>
          <w:rFonts w:hint="eastAsia" w:ascii="仿宋" w:hAnsi="仿宋" w:eastAsia="仿宋" w:cs="仿宋"/>
          <w:sz w:val="28"/>
          <w:szCs w:val="28"/>
          <w:lang w:val="en-US" w:eastAsia="zh-CN"/>
        </w:rPr>
        <w:t>市经信局规定统计符合要求</w:t>
      </w:r>
      <w:r>
        <w:rPr>
          <w:rFonts w:hint="eastAsia" w:ascii="仿宋" w:hAnsi="仿宋" w:eastAsia="仿宋" w:cs="仿宋"/>
          <w:sz w:val="28"/>
          <w:szCs w:val="28"/>
        </w:rPr>
        <w:t>的支出决算测算得出各项经费标准，预算内容与项目内容匹配，预算额度测算依据充分，按照标准编制，与202</w:t>
      </w:r>
      <w:r>
        <w:rPr>
          <w:rFonts w:hint="eastAsia" w:ascii="仿宋" w:hAnsi="仿宋" w:eastAsia="仿宋" w:cs="仿宋"/>
          <w:sz w:val="28"/>
          <w:szCs w:val="28"/>
          <w:lang w:val="en-US" w:eastAsia="zh-CN"/>
        </w:rPr>
        <w:t>2</w:t>
      </w:r>
      <w:r>
        <w:rPr>
          <w:rFonts w:hint="eastAsia" w:ascii="仿宋" w:hAnsi="仿宋" w:eastAsia="仿宋" w:cs="仿宋"/>
          <w:sz w:val="28"/>
          <w:szCs w:val="28"/>
        </w:rPr>
        <w:t>年目标相适应</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但符合文件规定条件的企业与留蚌过春节人员依据没有表达准确，只是在过程管理中提到相关职能部门</w:t>
      </w:r>
      <w:r>
        <w:rPr>
          <w:rFonts w:hint="eastAsia" w:ascii="仿宋" w:hAnsi="仿宋" w:eastAsia="仿宋" w:cs="仿宋"/>
          <w:sz w:val="28"/>
          <w:szCs w:val="28"/>
        </w:rPr>
        <w:t>。</w:t>
      </w:r>
      <w:bookmarkStart w:id="29" w:name="_Hlk79831575"/>
      <w:r>
        <w:rPr>
          <w:rFonts w:hint="eastAsia" w:ascii="仿宋" w:hAnsi="仿宋" w:eastAsia="仿宋" w:cs="仿宋"/>
          <w:sz w:val="28"/>
          <w:szCs w:val="28"/>
        </w:rPr>
        <w:t>依据评分标准，该项满分</w:t>
      </w:r>
      <w:r>
        <w:rPr>
          <w:rFonts w:hint="eastAsia" w:ascii="仿宋" w:hAnsi="仿宋" w:eastAsia="仿宋" w:cs="仿宋"/>
          <w:sz w:val="28"/>
          <w:szCs w:val="28"/>
          <w:lang w:val="en-US" w:eastAsia="zh-CN"/>
        </w:rPr>
        <w:t>5</w:t>
      </w:r>
      <w:r>
        <w:rPr>
          <w:rFonts w:hint="eastAsia" w:ascii="仿宋" w:hAnsi="仿宋" w:eastAsia="仿宋" w:cs="仿宋"/>
          <w:sz w:val="28"/>
          <w:szCs w:val="28"/>
        </w:rPr>
        <w:t>分，得</w:t>
      </w:r>
      <w:r>
        <w:rPr>
          <w:rFonts w:hint="eastAsia" w:ascii="仿宋" w:hAnsi="仿宋" w:eastAsia="仿宋" w:cs="仿宋"/>
          <w:sz w:val="28"/>
          <w:szCs w:val="28"/>
          <w:lang w:val="en-US" w:eastAsia="zh-CN"/>
        </w:rPr>
        <w:t>4</w:t>
      </w:r>
      <w:r>
        <w:rPr>
          <w:rFonts w:hint="eastAsia" w:ascii="仿宋" w:hAnsi="仿宋" w:eastAsia="仿宋" w:cs="仿宋"/>
          <w:sz w:val="28"/>
          <w:szCs w:val="28"/>
        </w:rPr>
        <w:t>分，得分率</w:t>
      </w:r>
      <w:r>
        <w:rPr>
          <w:rFonts w:hint="eastAsia" w:ascii="仿宋" w:hAnsi="仿宋" w:eastAsia="仿宋" w:cs="仿宋"/>
          <w:sz w:val="28"/>
          <w:szCs w:val="28"/>
          <w:lang w:val="en-US" w:eastAsia="zh-CN"/>
        </w:rPr>
        <w:t>8</w:t>
      </w:r>
      <w:r>
        <w:rPr>
          <w:rFonts w:hint="eastAsia" w:ascii="仿宋" w:hAnsi="仿宋" w:eastAsia="仿宋" w:cs="仿宋"/>
          <w:sz w:val="28"/>
          <w:szCs w:val="28"/>
        </w:rPr>
        <w:t>0.00%。</w:t>
      </w:r>
    </w:p>
    <w:bookmarkEnd w:id="29"/>
    <w:p>
      <w:pPr>
        <w:keepNext w:val="0"/>
        <w:keepLines w:val="0"/>
        <w:pageBreakBefore w:val="0"/>
        <w:kinsoku/>
        <w:wordWrap/>
        <w:overflowPunct/>
        <w:topLinePunct w:val="0"/>
        <w:autoSpaceDE/>
        <w:autoSpaceDN/>
        <w:bidi w:val="0"/>
        <w:adjustRightInd/>
        <w:snapToGrid/>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6.资金分配合理性</w:t>
      </w:r>
    </w:p>
    <w:p>
      <w:pPr>
        <w:keepNext w:val="0"/>
        <w:keepLines w:val="0"/>
        <w:pageBreakBefore w:val="0"/>
        <w:kinsoku/>
        <w:wordWrap/>
        <w:overflowPunct/>
        <w:topLinePunct w:val="0"/>
        <w:autoSpaceDE/>
        <w:autoSpaceDN/>
        <w:bidi w:val="0"/>
        <w:adjustRightInd/>
        <w:snapToGrid/>
        <w:spacing w:line="240" w:lineRule="auto"/>
        <w:ind w:left="69" w:leftChars="33" w:firstLine="560" w:firstLineChars="200"/>
        <w:rPr>
          <w:rFonts w:hint="eastAsia" w:ascii="仿宋" w:hAnsi="仿宋" w:eastAsia="仿宋" w:cs="仿宋"/>
          <w:sz w:val="28"/>
          <w:szCs w:val="28"/>
        </w:rPr>
      </w:pPr>
      <w:r>
        <w:rPr>
          <w:rFonts w:hint="eastAsia" w:ascii="仿宋" w:hAnsi="仿宋" w:eastAsia="仿宋" w:cs="仿宋"/>
          <w:sz w:val="28"/>
          <w:szCs w:val="28"/>
        </w:rPr>
        <w:t>指标解释：项目是否有测算依据、与补助单位或地方实际是否相适应，用以反映和考核项目预算资金分配的科学性、合理性情况。</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评分情况：</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该项目资金分配有测算依据，资金分配</w:t>
      </w:r>
      <w:r>
        <w:rPr>
          <w:rFonts w:hint="eastAsia" w:ascii="仿宋" w:hAnsi="仿宋" w:eastAsia="仿宋" w:cs="仿宋"/>
          <w:sz w:val="28"/>
          <w:szCs w:val="28"/>
          <w:lang w:val="en-US" w:eastAsia="zh-CN"/>
        </w:rPr>
        <w:t>较</w:t>
      </w:r>
      <w:r>
        <w:rPr>
          <w:rFonts w:hint="eastAsia" w:ascii="仿宋" w:hAnsi="仿宋" w:eastAsia="仿宋" w:cs="仿宋"/>
          <w:sz w:val="28"/>
          <w:szCs w:val="28"/>
        </w:rPr>
        <w:t>科学合理</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但资金拔付不及时</w:t>
      </w:r>
      <w:r>
        <w:rPr>
          <w:rFonts w:hint="eastAsia" w:ascii="仿宋" w:hAnsi="仿宋" w:eastAsia="仿宋" w:cs="仿宋"/>
          <w:sz w:val="28"/>
          <w:szCs w:val="28"/>
        </w:rPr>
        <w:t>。依据评分标准，该项满分</w:t>
      </w:r>
      <w:r>
        <w:rPr>
          <w:rFonts w:hint="eastAsia" w:ascii="仿宋" w:hAnsi="仿宋" w:eastAsia="仿宋" w:cs="仿宋"/>
          <w:sz w:val="28"/>
          <w:szCs w:val="28"/>
          <w:lang w:val="en-US" w:eastAsia="zh-CN"/>
        </w:rPr>
        <w:t>5</w:t>
      </w:r>
      <w:r>
        <w:rPr>
          <w:rFonts w:hint="eastAsia" w:ascii="仿宋" w:hAnsi="仿宋" w:eastAsia="仿宋" w:cs="仿宋"/>
          <w:sz w:val="28"/>
          <w:szCs w:val="28"/>
        </w:rPr>
        <w:t>分，得</w:t>
      </w:r>
      <w:r>
        <w:rPr>
          <w:rFonts w:hint="eastAsia" w:ascii="仿宋" w:hAnsi="仿宋" w:eastAsia="仿宋" w:cs="仿宋"/>
          <w:sz w:val="28"/>
          <w:szCs w:val="28"/>
          <w:lang w:val="en-US" w:eastAsia="zh-CN"/>
        </w:rPr>
        <w:t>4</w:t>
      </w:r>
      <w:r>
        <w:rPr>
          <w:rFonts w:hint="eastAsia" w:ascii="仿宋" w:hAnsi="仿宋" w:eastAsia="仿宋" w:cs="仿宋"/>
          <w:sz w:val="28"/>
          <w:szCs w:val="28"/>
        </w:rPr>
        <w:t>分，得分率</w:t>
      </w:r>
      <w:r>
        <w:rPr>
          <w:rFonts w:hint="eastAsia" w:ascii="仿宋" w:hAnsi="仿宋" w:eastAsia="仿宋" w:cs="仿宋"/>
          <w:sz w:val="28"/>
          <w:szCs w:val="28"/>
          <w:lang w:val="en-US" w:eastAsia="zh-CN"/>
        </w:rPr>
        <w:t>8</w:t>
      </w:r>
      <w:r>
        <w:rPr>
          <w:rFonts w:hint="eastAsia" w:ascii="仿宋" w:hAnsi="仿宋" w:eastAsia="仿宋" w:cs="仿宋"/>
          <w:sz w:val="28"/>
          <w:szCs w:val="28"/>
        </w:rPr>
        <w:t>0.00%。</w:t>
      </w:r>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30" w:name="_Toc31012"/>
      <w:r>
        <w:rPr>
          <w:rFonts w:hint="eastAsia" w:ascii="仿宋" w:hAnsi="仿宋" w:eastAsia="仿宋" w:cs="仿宋"/>
          <w:sz w:val="28"/>
          <w:szCs w:val="28"/>
        </w:rPr>
        <w:t>（二）项目过程情况</w:t>
      </w:r>
      <w:bookmarkEnd w:id="30"/>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rPr>
        <w:t>项目决策的评价指标包括资金管理、组织实施二项二级指标，共涉及资金到位率、资金拨付及时性、预算执行率、资金使用合规性、绩效自评内容准确完整性、绩效自评结论真实性、管理制度健全性、制度执行有效性8个三级指标。“项目过程”总分28分，得分</w:t>
      </w:r>
      <w:r>
        <w:rPr>
          <w:rFonts w:hint="eastAsia" w:ascii="仿宋" w:hAnsi="仿宋" w:eastAsia="仿宋" w:cs="仿宋"/>
          <w:sz w:val="28"/>
          <w:szCs w:val="28"/>
          <w:lang w:val="en-US" w:eastAsia="zh-CN"/>
        </w:rPr>
        <w:t>14</w:t>
      </w:r>
      <w:r>
        <w:rPr>
          <w:rFonts w:hint="eastAsia" w:ascii="仿宋" w:hAnsi="仿宋" w:eastAsia="仿宋" w:cs="仿宋"/>
          <w:sz w:val="28"/>
          <w:szCs w:val="28"/>
        </w:rPr>
        <w:t>分，得分率</w:t>
      </w:r>
      <w:r>
        <w:rPr>
          <w:rFonts w:hint="eastAsia" w:ascii="仿宋" w:hAnsi="仿宋" w:eastAsia="仿宋" w:cs="仿宋"/>
          <w:sz w:val="28"/>
          <w:szCs w:val="28"/>
          <w:lang w:val="en-US" w:eastAsia="zh-CN"/>
        </w:rPr>
        <w:t>50.00</w:t>
      </w:r>
      <w:r>
        <w:rPr>
          <w:rFonts w:hint="eastAsia" w:ascii="仿宋" w:hAnsi="仿宋" w:eastAsia="仿宋" w:cs="仿宋"/>
          <w:sz w:val="28"/>
          <w:szCs w:val="28"/>
        </w:rPr>
        <w:t>%。主要问题在于绩效指标设置不明确、不规范，绩效自评内容不完整，填写不规范，自评结论不能够真实准确反映项目实际完成情况：</w:t>
      </w:r>
    </w:p>
    <w:p>
      <w:pPr>
        <w:keepNext w:val="0"/>
        <w:keepLines w:val="0"/>
        <w:pageBreakBefore w:val="0"/>
        <w:kinsoku/>
        <w:wordWrap/>
        <w:overflowPunct/>
        <w:topLinePunct w:val="0"/>
        <w:autoSpaceDE/>
        <w:autoSpaceDN/>
        <w:bidi w:val="0"/>
        <w:adjustRightInd/>
        <w:snapToGrid/>
        <w:spacing w:line="240" w:lineRule="auto"/>
        <w:ind w:left="-210" w:leftChars="-100" w:firstLine="2530" w:firstLineChars="900"/>
        <w:rPr>
          <w:rFonts w:hint="eastAsia" w:ascii="仿宋" w:hAnsi="仿宋" w:eastAsia="仿宋" w:cs="仿宋"/>
          <w:b/>
          <w:bCs/>
          <w:sz w:val="28"/>
          <w:szCs w:val="28"/>
        </w:rPr>
      </w:pPr>
      <w:r>
        <w:rPr>
          <w:rFonts w:hint="eastAsia" w:ascii="仿宋" w:hAnsi="仿宋" w:eastAsia="仿宋" w:cs="仿宋"/>
          <w:b/>
          <w:bCs/>
          <w:sz w:val="28"/>
          <w:szCs w:val="28"/>
        </w:rPr>
        <w:t>过程类指标评分情况</w:t>
      </w:r>
    </w:p>
    <w:tbl>
      <w:tblPr>
        <w:tblStyle w:val="6"/>
        <w:tblpPr w:leftFromText="180" w:rightFromText="180" w:vertAnchor="text" w:horzAnchor="page" w:tblpX="1732" w:tblpY="464"/>
        <w:tblOverlap w:val="never"/>
        <w:tblW w:w="9176" w:type="dxa"/>
        <w:tblInd w:w="0" w:type="dxa"/>
        <w:tblLayout w:type="fixed"/>
        <w:tblCellMar>
          <w:top w:w="0" w:type="dxa"/>
          <w:left w:w="0" w:type="dxa"/>
          <w:bottom w:w="0" w:type="dxa"/>
          <w:right w:w="0" w:type="dxa"/>
        </w:tblCellMar>
      </w:tblPr>
      <w:tblGrid>
        <w:gridCol w:w="781"/>
        <w:gridCol w:w="752"/>
        <w:gridCol w:w="1252"/>
        <w:gridCol w:w="2507"/>
        <w:gridCol w:w="3229"/>
        <w:gridCol w:w="655"/>
      </w:tblGrid>
      <w:tr>
        <w:tblPrEx>
          <w:tblCellMar>
            <w:top w:w="0" w:type="dxa"/>
            <w:left w:w="0" w:type="dxa"/>
            <w:bottom w:w="0" w:type="dxa"/>
            <w:right w:w="0" w:type="dxa"/>
          </w:tblCellMar>
        </w:tblPrEx>
        <w:trPr>
          <w:trHeight w:val="692" w:hRule="atLeast"/>
        </w:trPr>
        <w:tc>
          <w:tcPr>
            <w:tcW w:w="781"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一级指标</w:t>
            </w:r>
          </w:p>
        </w:tc>
        <w:tc>
          <w:tcPr>
            <w:tcW w:w="752"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二级指标</w:t>
            </w:r>
          </w:p>
        </w:tc>
        <w:tc>
          <w:tcPr>
            <w:tcW w:w="1252"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三级指标</w:t>
            </w:r>
          </w:p>
        </w:tc>
        <w:tc>
          <w:tcPr>
            <w:tcW w:w="2507"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指标内容</w:t>
            </w:r>
          </w:p>
        </w:tc>
        <w:tc>
          <w:tcPr>
            <w:tcW w:w="3229"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lang w:val="en-US" w:eastAsia="zh-CN"/>
              </w:rPr>
            </w:pPr>
            <w:r>
              <w:rPr>
                <w:rFonts w:hint="eastAsia" w:ascii="仿宋" w:hAnsi="仿宋" w:eastAsia="仿宋" w:cs="仿宋"/>
                <w:b/>
                <w:bCs/>
                <w:color w:val="000000"/>
                <w:kern w:val="0"/>
                <w:sz w:val="24"/>
                <w:szCs w:val="24"/>
                <w:lang w:val="en-US" w:eastAsia="zh-CN"/>
              </w:rPr>
              <w:t>评价情况</w:t>
            </w:r>
          </w:p>
        </w:tc>
        <w:tc>
          <w:tcPr>
            <w:tcW w:w="655"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分值</w:t>
            </w:r>
          </w:p>
        </w:tc>
      </w:tr>
      <w:tr>
        <w:tblPrEx>
          <w:tblCellMar>
            <w:top w:w="0" w:type="dxa"/>
            <w:left w:w="0" w:type="dxa"/>
            <w:bottom w:w="0" w:type="dxa"/>
            <w:right w:w="0" w:type="dxa"/>
          </w:tblCellMar>
        </w:tblPrEx>
        <w:trPr>
          <w:trHeight w:val="1095" w:hRule="atLeast"/>
        </w:trPr>
        <w:tc>
          <w:tcPr>
            <w:tcW w:w="781" w:type="dxa"/>
            <w:vMerge w:val="restar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过程</w:t>
            </w:r>
          </w:p>
          <w:p>
            <w:pPr>
              <w:keepNext w:val="0"/>
              <w:keepLines w:val="0"/>
              <w:pageBreakBefore w:val="0"/>
              <w:widowControl/>
              <w:kinsoku/>
              <w:wordWrap/>
              <w:overflowPunct/>
              <w:topLinePunct w:val="0"/>
              <w:autoSpaceDE/>
              <w:autoSpaceDN/>
              <w:bidi w:val="0"/>
              <w:adjustRightInd/>
              <w:snapToGrid/>
              <w:spacing w:line="240" w:lineRule="auto"/>
              <w:ind w:left="-105" w:leftChars="-50"/>
              <w:jc w:val="both"/>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lang w:val="en-US" w:eastAsia="zh-CN"/>
              </w:rPr>
              <w:t>（28分</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　</w:t>
            </w:r>
          </w:p>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　</w:t>
            </w:r>
          </w:p>
        </w:tc>
        <w:tc>
          <w:tcPr>
            <w:tcW w:w="752" w:type="dxa"/>
            <w:vMerge w:val="restart"/>
            <w:tcBorders>
              <w:top w:val="nil"/>
              <w:left w:val="nil"/>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资金管理</w:t>
            </w:r>
          </w:p>
          <w:p>
            <w:pPr>
              <w:keepNext w:val="0"/>
              <w:keepLines w:val="0"/>
              <w:pageBreakBefore w:val="0"/>
              <w:widowControl/>
              <w:kinsoku/>
              <w:wordWrap/>
              <w:overflowPunct/>
              <w:topLinePunct w:val="0"/>
              <w:autoSpaceDE/>
              <w:autoSpaceDN/>
              <w:bidi w:val="0"/>
              <w:adjustRightInd/>
              <w:snapToGrid/>
              <w:spacing w:line="240" w:lineRule="auto"/>
              <w:ind w:left="-105" w:leftChars="-50"/>
              <w:jc w:val="both"/>
              <w:textAlignment w:val="auto"/>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（24分</w:t>
            </w:r>
            <w:r>
              <w:rPr>
                <w:rFonts w:hint="eastAsia" w:ascii="仿宋" w:hAnsi="仿宋" w:eastAsia="仿宋" w:cs="仿宋"/>
                <w:color w:val="000000"/>
                <w:kern w:val="0"/>
                <w:sz w:val="24"/>
                <w:szCs w:val="24"/>
                <w:lang w:eastAsia="zh-CN"/>
              </w:rPr>
              <w:t>）</w:t>
            </w:r>
          </w:p>
        </w:tc>
        <w:tc>
          <w:tcPr>
            <w:tcW w:w="12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资金到位率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4分</w:t>
            </w:r>
            <w:r>
              <w:rPr>
                <w:rFonts w:hint="eastAsia" w:ascii="仿宋" w:hAnsi="仿宋" w:eastAsia="仿宋" w:cs="仿宋"/>
                <w:color w:val="000000"/>
                <w:kern w:val="0"/>
                <w:sz w:val="24"/>
                <w:szCs w:val="24"/>
                <w:lang w:eastAsia="zh-CN"/>
              </w:rPr>
              <w:t>）</w:t>
            </w:r>
          </w:p>
        </w:tc>
        <w:tc>
          <w:tcPr>
            <w:tcW w:w="2507"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实际到位资金与</w:t>
            </w:r>
            <w:r>
              <w:rPr>
                <w:rFonts w:hint="eastAsia" w:ascii="仿宋" w:hAnsi="仿宋" w:eastAsia="仿宋" w:cs="仿宋"/>
                <w:color w:val="000000"/>
                <w:kern w:val="0"/>
                <w:sz w:val="24"/>
                <w:szCs w:val="24"/>
                <w:lang w:val="en-US" w:eastAsia="zh-CN"/>
              </w:rPr>
              <w:t>申请</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预算</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资金的比率，用以反映和考核资金落实情况对项目实施的总体保障程度。</w:t>
            </w:r>
          </w:p>
        </w:tc>
        <w:tc>
          <w:tcPr>
            <w:tcW w:w="322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textAlignment w:val="auto"/>
              <w:rPr>
                <w:rFonts w:hint="default" w:ascii="仿宋" w:hAnsi="仿宋" w:eastAsia="仿宋" w:cs="仿宋"/>
                <w:kern w:val="0"/>
                <w:sz w:val="24"/>
                <w:szCs w:val="24"/>
                <w:lang w:val="en-US" w:eastAsia="zh-CN" w:bidi="ar-SA"/>
              </w:rPr>
            </w:pPr>
            <w:r>
              <w:rPr>
                <w:rFonts w:hint="eastAsia" w:ascii="仿宋" w:hAnsi="仿宋" w:eastAsia="仿宋" w:cs="仿宋"/>
                <w:color w:val="000000"/>
                <w:kern w:val="0"/>
                <w:sz w:val="24"/>
                <w:szCs w:val="24"/>
              </w:rPr>
              <w:t>实际到位资金与预算资金的比率</w:t>
            </w:r>
            <w:r>
              <w:rPr>
                <w:rFonts w:hint="eastAsia" w:ascii="仿宋" w:hAnsi="仿宋" w:eastAsia="仿宋" w:cs="仿宋"/>
                <w:color w:val="000000"/>
                <w:kern w:val="0"/>
                <w:sz w:val="24"/>
                <w:szCs w:val="24"/>
                <w:lang w:val="en-US" w:eastAsia="zh-CN"/>
              </w:rPr>
              <w:t>100%</w:t>
            </w:r>
            <w:r>
              <w:rPr>
                <w:rFonts w:hint="eastAsia" w:ascii="仿宋" w:hAnsi="仿宋" w:eastAsia="仿宋" w:cs="仿宋"/>
                <w:color w:val="000000"/>
                <w:kern w:val="0"/>
                <w:sz w:val="24"/>
                <w:szCs w:val="24"/>
              </w:rPr>
              <w:t>，</w:t>
            </w:r>
            <w:r>
              <w:rPr>
                <w:rFonts w:hint="eastAsia" w:ascii="仿宋" w:hAnsi="仿宋" w:eastAsia="仿宋" w:cs="仿宋"/>
                <w:color w:val="000000"/>
                <w:kern w:val="0"/>
                <w:sz w:val="24"/>
                <w:szCs w:val="24"/>
                <w:lang w:val="en-US" w:eastAsia="zh-CN"/>
              </w:rPr>
              <w:t>能</w:t>
            </w:r>
            <w:r>
              <w:rPr>
                <w:rFonts w:hint="eastAsia" w:ascii="仿宋" w:hAnsi="仿宋" w:eastAsia="仿宋" w:cs="仿宋"/>
                <w:color w:val="000000"/>
                <w:kern w:val="0"/>
                <w:sz w:val="24"/>
                <w:szCs w:val="24"/>
              </w:rPr>
              <w:t>反映和考核资金落实情况</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能</w:t>
            </w:r>
            <w:r>
              <w:rPr>
                <w:rFonts w:hint="eastAsia" w:ascii="仿宋" w:hAnsi="仿宋" w:eastAsia="仿宋" w:cs="仿宋"/>
                <w:color w:val="000000"/>
                <w:kern w:val="0"/>
                <w:sz w:val="24"/>
                <w:szCs w:val="24"/>
              </w:rPr>
              <w:t>对项目实施的总体保障。</w:t>
            </w:r>
            <w:r>
              <w:rPr>
                <w:rFonts w:hint="eastAsia" w:ascii="仿宋" w:hAnsi="仿宋" w:eastAsia="仿宋" w:cs="仿宋"/>
                <w:color w:val="000000"/>
                <w:kern w:val="0"/>
                <w:sz w:val="24"/>
                <w:szCs w:val="24"/>
                <w:lang w:val="en-US" w:eastAsia="zh-CN"/>
              </w:rPr>
              <w:t>得4分</w:t>
            </w:r>
          </w:p>
        </w:tc>
        <w:tc>
          <w:tcPr>
            <w:tcW w:w="65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4</w:t>
            </w:r>
          </w:p>
        </w:tc>
      </w:tr>
      <w:tr>
        <w:tblPrEx>
          <w:tblCellMar>
            <w:top w:w="0" w:type="dxa"/>
            <w:left w:w="0" w:type="dxa"/>
            <w:bottom w:w="0" w:type="dxa"/>
            <w:right w:w="0" w:type="dxa"/>
          </w:tblCellMar>
        </w:tblPrEx>
        <w:trPr>
          <w:trHeight w:val="836" w:hRule="atLeast"/>
        </w:trPr>
        <w:tc>
          <w:tcPr>
            <w:tcW w:w="781"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752" w:type="dxa"/>
            <w:vMerge w:val="continue"/>
            <w:tcBorders>
              <w:left w:val="nil"/>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12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资金拨付及时性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4分</w:t>
            </w:r>
            <w:r>
              <w:rPr>
                <w:rFonts w:hint="eastAsia" w:ascii="仿宋" w:hAnsi="仿宋" w:eastAsia="仿宋" w:cs="仿宋"/>
                <w:color w:val="000000"/>
                <w:kern w:val="0"/>
                <w:sz w:val="24"/>
                <w:szCs w:val="24"/>
                <w:lang w:eastAsia="zh-CN"/>
              </w:rPr>
              <w:t>）</w:t>
            </w:r>
          </w:p>
        </w:tc>
        <w:tc>
          <w:tcPr>
            <w:tcW w:w="2507"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项目资金是否按照依法依规及时拨付，用以反映和考核项目资金拨付时效情况。</w:t>
            </w:r>
          </w:p>
        </w:tc>
        <w:tc>
          <w:tcPr>
            <w:tcW w:w="322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支持企业稳产奖补资金没能按文件规定时间拨付，大都在2022年9月份拨付乡镇帐户，乡镇在10-12月份拨付到企业。得1分</w:t>
            </w:r>
          </w:p>
        </w:tc>
        <w:tc>
          <w:tcPr>
            <w:tcW w:w="65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1</w:t>
            </w:r>
          </w:p>
        </w:tc>
      </w:tr>
      <w:tr>
        <w:tblPrEx>
          <w:tblCellMar>
            <w:top w:w="0" w:type="dxa"/>
            <w:left w:w="0" w:type="dxa"/>
            <w:bottom w:w="0" w:type="dxa"/>
            <w:right w:w="0" w:type="dxa"/>
          </w:tblCellMar>
        </w:tblPrEx>
        <w:trPr>
          <w:trHeight w:val="792" w:hRule="atLeast"/>
        </w:trPr>
        <w:tc>
          <w:tcPr>
            <w:tcW w:w="781"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752" w:type="dxa"/>
            <w:vMerge w:val="continue"/>
            <w:tcBorders>
              <w:left w:val="nil"/>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12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预算执行率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4分</w:t>
            </w:r>
            <w:r>
              <w:rPr>
                <w:rFonts w:hint="eastAsia" w:ascii="仿宋" w:hAnsi="仿宋" w:eastAsia="仿宋" w:cs="仿宋"/>
                <w:color w:val="000000"/>
                <w:kern w:val="0"/>
                <w:sz w:val="24"/>
                <w:szCs w:val="24"/>
                <w:lang w:eastAsia="zh-CN"/>
              </w:rPr>
              <w:t>）</w:t>
            </w:r>
          </w:p>
        </w:tc>
        <w:tc>
          <w:tcPr>
            <w:tcW w:w="2507"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项目预算资金是否按照计划执行，用以反映或考核项目预算执行情况。</w:t>
            </w:r>
          </w:p>
        </w:tc>
        <w:tc>
          <w:tcPr>
            <w:tcW w:w="322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rPr>
              <w:t>项目预算资金</w:t>
            </w:r>
            <w:r>
              <w:rPr>
                <w:rFonts w:hint="eastAsia" w:ascii="仿宋" w:hAnsi="仿宋" w:eastAsia="仿宋" w:cs="仿宋"/>
                <w:color w:val="000000"/>
                <w:kern w:val="0"/>
                <w:sz w:val="24"/>
                <w:szCs w:val="24"/>
                <w:lang w:val="en-US" w:eastAsia="zh-CN"/>
              </w:rPr>
              <w:t>蚌埠市经信局文件及怀远县会议纪要里规定上级拨款与本级财政拨款比例</w:t>
            </w:r>
            <w:r>
              <w:rPr>
                <w:rFonts w:hint="eastAsia" w:ascii="仿宋" w:hAnsi="仿宋" w:eastAsia="仿宋" w:cs="仿宋"/>
                <w:color w:val="000000"/>
                <w:kern w:val="0"/>
                <w:sz w:val="24"/>
                <w:szCs w:val="24"/>
              </w:rPr>
              <w:t>，</w:t>
            </w:r>
            <w:r>
              <w:rPr>
                <w:rFonts w:hint="eastAsia" w:ascii="仿宋" w:hAnsi="仿宋" w:eastAsia="仿宋" w:cs="仿宋"/>
                <w:color w:val="000000"/>
                <w:kern w:val="0"/>
                <w:sz w:val="24"/>
                <w:szCs w:val="24"/>
                <w:lang w:val="en-US" w:eastAsia="zh-CN"/>
              </w:rPr>
              <w:t>能反</w:t>
            </w:r>
            <w:r>
              <w:rPr>
                <w:rFonts w:hint="eastAsia" w:ascii="仿宋" w:hAnsi="仿宋" w:eastAsia="仿宋" w:cs="仿宋"/>
                <w:color w:val="000000"/>
                <w:kern w:val="0"/>
                <w:sz w:val="24"/>
                <w:szCs w:val="24"/>
              </w:rPr>
              <w:t>映或考核项目预算执行情况</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但不能及时兑现</w:t>
            </w:r>
            <w:r>
              <w:rPr>
                <w:rFonts w:hint="eastAsia" w:ascii="仿宋" w:hAnsi="仿宋" w:eastAsia="仿宋" w:cs="仿宋"/>
                <w:color w:val="000000"/>
                <w:kern w:val="0"/>
                <w:sz w:val="24"/>
                <w:szCs w:val="24"/>
              </w:rPr>
              <w:t>。</w:t>
            </w:r>
            <w:r>
              <w:rPr>
                <w:rFonts w:hint="eastAsia" w:ascii="仿宋" w:hAnsi="仿宋" w:eastAsia="仿宋" w:cs="仿宋"/>
                <w:color w:val="000000"/>
                <w:kern w:val="0"/>
                <w:sz w:val="24"/>
                <w:szCs w:val="24"/>
                <w:lang w:val="en-US" w:eastAsia="zh-CN"/>
              </w:rPr>
              <w:t>得1分</w:t>
            </w:r>
          </w:p>
        </w:tc>
        <w:tc>
          <w:tcPr>
            <w:tcW w:w="65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r>
      <w:tr>
        <w:tblPrEx>
          <w:tblCellMar>
            <w:top w:w="0" w:type="dxa"/>
            <w:left w:w="0" w:type="dxa"/>
            <w:bottom w:w="0" w:type="dxa"/>
            <w:right w:w="0" w:type="dxa"/>
          </w:tblCellMar>
        </w:tblPrEx>
        <w:trPr>
          <w:trHeight w:val="1082" w:hRule="atLeast"/>
        </w:trPr>
        <w:tc>
          <w:tcPr>
            <w:tcW w:w="781"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752" w:type="dxa"/>
            <w:vMerge w:val="continue"/>
            <w:tcBorders>
              <w:left w:val="nil"/>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12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资金使用</w:t>
            </w:r>
          </w:p>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合规性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4分</w:t>
            </w:r>
            <w:r>
              <w:rPr>
                <w:rFonts w:hint="eastAsia" w:ascii="仿宋" w:hAnsi="仿宋" w:eastAsia="仿宋" w:cs="仿宋"/>
                <w:color w:val="000000"/>
                <w:kern w:val="0"/>
                <w:sz w:val="24"/>
                <w:szCs w:val="24"/>
                <w:lang w:eastAsia="zh-CN"/>
              </w:rPr>
              <w:t>）</w:t>
            </w:r>
          </w:p>
        </w:tc>
        <w:tc>
          <w:tcPr>
            <w:tcW w:w="2507"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项目资金使用是否符合相关的财务管理制度规定，用以反映和考核项目资金的规范运行情况。</w:t>
            </w:r>
          </w:p>
        </w:tc>
        <w:tc>
          <w:tcPr>
            <w:tcW w:w="322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制定政策奖补资金管理办法暂行规定，提供了财务管理制度，没有针对本项目制定政策，为此资金规范运行情况得2分</w:t>
            </w:r>
          </w:p>
        </w:tc>
        <w:tc>
          <w:tcPr>
            <w:tcW w:w="65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r>
      <w:tr>
        <w:tblPrEx>
          <w:tblCellMar>
            <w:top w:w="0" w:type="dxa"/>
            <w:left w:w="0" w:type="dxa"/>
            <w:bottom w:w="0" w:type="dxa"/>
            <w:right w:w="0" w:type="dxa"/>
          </w:tblCellMar>
        </w:tblPrEx>
        <w:trPr>
          <w:trHeight w:val="1082" w:hRule="atLeast"/>
        </w:trPr>
        <w:tc>
          <w:tcPr>
            <w:tcW w:w="781"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752" w:type="dxa"/>
            <w:vMerge w:val="continue"/>
            <w:tcBorders>
              <w:left w:val="nil"/>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12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绩效自评内容完整性（4分）</w:t>
            </w:r>
          </w:p>
        </w:tc>
        <w:tc>
          <w:tcPr>
            <w:tcW w:w="2507"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textAlignment w:val="auto"/>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绩效自评是否根据要求进行评价</w:t>
            </w:r>
          </w:p>
        </w:tc>
        <w:tc>
          <w:tcPr>
            <w:tcW w:w="322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绩效自评内容不完整，不细化，得2分</w:t>
            </w:r>
          </w:p>
        </w:tc>
        <w:tc>
          <w:tcPr>
            <w:tcW w:w="65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tblPrEx>
          <w:tblCellMar>
            <w:top w:w="0" w:type="dxa"/>
            <w:left w:w="0" w:type="dxa"/>
            <w:bottom w:w="0" w:type="dxa"/>
            <w:right w:w="0" w:type="dxa"/>
          </w:tblCellMar>
        </w:tblPrEx>
        <w:trPr>
          <w:trHeight w:val="1082" w:hRule="atLeast"/>
        </w:trPr>
        <w:tc>
          <w:tcPr>
            <w:tcW w:w="781"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752" w:type="dxa"/>
            <w:vMerge w:val="continue"/>
            <w:tcBorders>
              <w:left w:val="nil"/>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12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绩效自评结论真实性（4分）</w:t>
            </w:r>
          </w:p>
        </w:tc>
        <w:tc>
          <w:tcPr>
            <w:tcW w:w="2507"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textAlignment w:val="auto"/>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绩效自评是否与结论一致</w:t>
            </w:r>
          </w:p>
        </w:tc>
        <w:tc>
          <w:tcPr>
            <w:tcW w:w="322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_GB2312" w:cs="仿宋"/>
                <w:color w:val="000000"/>
                <w:kern w:val="0"/>
                <w:sz w:val="24"/>
                <w:szCs w:val="24"/>
                <w:lang w:val="en-US" w:eastAsia="zh-CN"/>
              </w:rPr>
            </w:pPr>
            <w:r>
              <w:rPr>
                <w:rFonts w:hint="eastAsia" w:ascii="仿宋_GB2312" w:hAnsi="Times New Roman" w:eastAsia="仿宋_GB2312" w:cs="Times New Roman"/>
                <w:sz w:val="24"/>
                <w:szCs w:val="24"/>
              </w:rPr>
              <w:t>项目资金投入自评结论与实际数据一致，其他指标设置不明确、不规范，自评结论未能真实准确反映项目实际完成情况</w:t>
            </w:r>
            <w:r>
              <w:rPr>
                <w:rFonts w:hint="eastAsia" w:ascii="仿宋_GB2312" w:eastAsia="仿宋_GB2312" w:cs="Times New Roman"/>
                <w:sz w:val="24"/>
                <w:szCs w:val="24"/>
                <w:lang w:eastAsia="zh-CN"/>
              </w:rPr>
              <w:t>。</w:t>
            </w:r>
            <w:r>
              <w:rPr>
                <w:rFonts w:hint="eastAsia" w:ascii="仿宋_GB2312" w:eastAsia="仿宋_GB2312" w:cs="Times New Roman"/>
                <w:sz w:val="24"/>
                <w:szCs w:val="24"/>
                <w:lang w:val="en-US" w:eastAsia="zh-CN"/>
              </w:rPr>
              <w:t>得2分</w:t>
            </w:r>
          </w:p>
        </w:tc>
        <w:tc>
          <w:tcPr>
            <w:tcW w:w="65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tblPrEx>
          <w:tblCellMar>
            <w:top w:w="0" w:type="dxa"/>
            <w:left w:w="0" w:type="dxa"/>
            <w:bottom w:w="0" w:type="dxa"/>
            <w:right w:w="0" w:type="dxa"/>
          </w:tblCellMar>
        </w:tblPrEx>
        <w:trPr>
          <w:trHeight w:val="1122" w:hRule="atLeast"/>
        </w:trPr>
        <w:tc>
          <w:tcPr>
            <w:tcW w:w="781"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7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组织实施</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4分</w:t>
            </w:r>
            <w:r>
              <w:rPr>
                <w:rFonts w:hint="eastAsia" w:ascii="仿宋" w:hAnsi="仿宋" w:eastAsia="仿宋" w:cs="仿宋"/>
                <w:color w:val="000000"/>
                <w:kern w:val="0"/>
                <w:sz w:val="24"/>
                <w:szCs w:val="24"/>
                <w:lang w:eastAsia="zh-CN"/>
              </w:rPr>
              <w:t>）</w:t>
            </w:r>
          </w:p>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　</w:t>
            </w:r>
          </w:p>
        </w:tc>
        <w:tc>
          <w:tcPr>
            <w:tcW w:w="12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管理制度</w:t>
            </w:r>
          </w:p>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健全性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4分</w:t>
            </w:r>
            <w:r>
              <w:rPr>
                <w:rFonts w:hint="eastAsia" w:ascii="仿宋" w:hAnsi="仿宋" w:eastAsia="仿宋" w:cs="仿宋"/>
                <w:color w:val="000000"/>
                <w:kern w:val="0"/>
                <w:sz w:val="24"/>
                <w:szCs w:val="24"/>
                <w:lang w:eastAsia="zh-CN"/>
              </w:rPr>
              <w:t>）</w:t>
            </w:r>
          </w:p>
        </w:tc>
        <w:tc>
          <w:tcPr>
            <w:tcW w:w="2507"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项目实施单位的财务和业务管理制度是否健全，用以反映和考核财务和业务管理制度对项目顺利实施的保障情况。</w:t>
            </w:r>
          </w:p>
        </w:tc>
        <w:tc>
          <w:tcPr>
            <w:tcW w:w="322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主管部门提供财务与业务管理制度，只有审批报销单据，没能根据合同约定支付.得2分</w:t>
            </w:r>
          </w:p>
        </w:tc>
        <w:tc>
          <w:tcPr>
            <w:tcW w:w="65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r>
      <w:tr>
        <w:tblPrEx>
          <w:tblCellMar>
            <w:top w:w="0" w:type="dxa"/>
            <w:left w:w="0" w:type="dxa"/>
            <w:bottom w:w="0" w:type="dxa"/>
            <w:right w:w="0" w:type="dxa"/>
          </w:tblCellMar>
        </w:tblPrEx>
        <w:trPr>
          <w:trHeight w:val="542" w:hRule="atLeast"/>
        </w:trPr>
        <w:tc>
          <w:tcPr>
            <w:tcW w:w="8521" w:type="dxa"/>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小计</w:t>
            </w:r>
          </w:p>
        </w:tc>
        <w:tc>
          <w:tcPr>
            <w:tcW w:w="65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14</w:t>
            </w:r>
          </w:p>
        </w:tc>
      </w:tr>
    </w:tbl>
    <w:p>
      <w:pPr>
        <w:pStyle w:val="2"/>
        <w:keepNext w:val="0"/>
        <w:keepLines w:val="0"/>
        <w:pageBreakBefore w:val="0"/>
        <w:kinsoku/>
        <w:wordWrap/>
        <w:overflowPunct/>
        <w:topLinePunct w:val="0"/>
        <w:autoSpaceDE/>
        <w:autoSpaceDN/>
        <w:bidi w:val="0"/>
        <w:adjustRightInd/>
        <w:snapToGrid/>
        <w:spacing w:line="240" w:lineRule="auto"/>
        <w:ind w:left="-210" w:leftChars="-100" w:firstLine="1920" w:firstLineChars="800"/>
        <w:rPr>
          <w:rFonts w:hint="eastAsia" w:ascii="楷体_GB2312" w:hAnsi="Times New Roman" w:eastAsia="楷体_GB2312" w:cs="Times New Roman"/>
          <w:sz w:val="24"/>
          <w:szCs w:val="24"/>
          <w:lang w:val="en-US" w:eastAsia="zh-CN"/>
        </w:rPr>
      </w:pP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1.资金到位率</w:t>
      </w:r>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rPr>
        <w:t>指标解释：实际到位资金与预算资金的比例，用以反映和考核资金落实情况对项目实施的总体保障程度。</w:t>
      </w:r>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lang w:val="en-US" w:eastAsia="zh-CN"/>
        </w:rPr>
      </w:pPr>
      <w:r>
        <w:rPr>
          <w:rFonts w:hint="eastAsia" w:ascii="仿宋" w:hAnsi="仿宋" w:eastAsia="仿宋" w:cs="仿宋"/>
          <w:sz w:val="28"/>
          <w:szCs w:val="28"/>
        </w:rPr>
        <w:t>评分情况：怀远县财政局</w:t>
      </w:r>
      <w:r>
        <w:rPr>
          <w:rFonts w:hint="eastAsia" w:ascii="仿宋" w:hAnsi="仿宋" w:eastAsia="仿宋" w:cs="仿宋"/>
          <w:sz w:val="28"/>
          <w:szCs w:val="28"/>
          <w:lang w:val="en-US" w:eastAsia="zh-CN"/>
        </w:rPr>
        <w:t>根据</w:t>
      </w:r>
      <w:r>
        <w:rPr>
          <w:rFonts w:hint="eastAsia" w:ascii="仿宋" w:hAnsi="仿宋" w:eastAsia="仿宋" w:cs="仿宋"/>
          <w:sz w:val="28"/>
          <w:szCs w:val="28"/>
        </w:rPr>
        <w:t>《怀远县人民政府县长办公会议纪要》（</w:t>
      </w:r>
      <w:r>
        <w:rPr>
          <w:rFonts w:hint="eastAsia" w:ascii="仿宋" w:hAnsi="仿宋" w:eastAsia="仿宋" w:cs="仿宋"/>
          <w:sz w:val="28"/>
          <w:szCs w:val="28"/>
          <w:lang w:val="en-US" w:eastAsia="zh-CN"/>
        </w:rPr>
        <w:t>第5次</w:t>
      </w:r>
      <w:r>
        <w:rPr>
          <w:rFonts w:hint="eastAsia" w:ascii="仿宋" w:hAnsi="仿宋" w:eastAsia="仿宋" w:cs="仿宋"/>
          <w:sz w:val="28"/>
          <w:szCs w:val="28"/>
        </w:rPr>
        <w:t>）</w:t>
      </w:r>
      <w:r>
        <w:rPr>
          <w:rFonts w:hint="eastAsia" w:ascii="仿宋" w:hAnsi="仿宋" w:eastAsia="仿宋" w:cs="仿宋"/>
          <w:sz w:val="28"/>
          <w:szCs w:val="28"/>
          <w:lang w:val="en-US" w:eastAsia="zh-CN"/>
        </w:rPr>
        <w:t>第八条会议确定:同意按照 《关于蚌埠市202年春节期间支持企业稳产留工奖补措施的通知》文件执行，由县经济和信息化局会同县人力资源社会保障局、县财政局对奖补资金进行审核确定。由县财政局从专项预算资金中予以安排拨付。</w:t>
      </w:r>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rPr>
        <w:t>预算金额</w:t>
      </w:r>
      <w:r>
        <w:rPr>
          <w:rFonts w:hint="eastAsia" w:ascii="仿宋" w:hAnsi="仿宋" w:eastAsia="仿宋" w:cs="仿宋"/>
          <w:sz w:val="28"/>
          <w:szCs w:val="28"/>
          <w:lang w:val="en-US" w:eastAsia="zh-CN"/>
        </w:rPr>
        <w:t>474.32</w:t>
      </w:r>
      <w:r>
        <w:rPr>
          <w:rFonts w:hint="eastAsia" w:ascii="仿宋" w:hAnsi="仿宋" w:eastAsia="仿宋" w:cs="仿宋"/>
          <w:sz w:val="28"/>
          <w:szCs w:val="28"/>
        </w:rPr>
        <w:t>万元，资金到位率为 100%。根据评价标准，该项满分</w:t>
      </w:r>
      <w:r>
        <w:rPr>
          <w:rFonts w:hint="eastAsia" w:ascii="仿宋" w:hAnsi="仿宋" w:eastAsia="仿宋" w:cs="仿宋"/>
          <w:sz w:val="28"/>
          <w:szCs w:val="28"/>
          <w:lang w:val="en-US" w:eastAsia="zh-CN"/>
        </w:rPr>
        <w:t>4</w:t>
      </w:r>
      <w:r>
        <w:rPr>
          <w:rFonts w:hint="eastAsia" w:ascii="仿宋" w:hAnsi="仿宋" w:eastAsia="仿宋" w:cs="仿宋"/>
          <w:sz w:val="28"/>
          <w:szCs w:val="28"/>
        </w:rPr>
        <w:t>分，得</w:t>
      </w:r>
      <w:r>
        <w:rPr>
          <w:rFonts w:hint="eastAsia" w:ascii="仿宋" w:hAnsi="仿宋" w:eastAsia="仿宋" w:cs="仿宋"/>
          <w:sz w:val="28"/>
          <w:szCs w:val="28"/>
          <w:lang w:val="en-US" w:eastAsia="zh-CN"/>
        </w:rPr>
        <w:t>4</w:t>
      </w:r>
      <w:r>
        <w:rPr>
          <w:rFonts w:hint="eastAsia" w:ascii="仿宋" w:hAnsi="仿宋" w:eastAsia="仿宋" w:cs="仿宋"/>
          <w:sz w:val="28"/>
          <w:szCs w:val="28"/>
        </w:rPr>
        <w:t>分，得分率100.00%。</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2.资金拨付及时性</w:t>
      </w:r>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rPr>
        <w:t>指标解释：项目资金是否按照依法依规及时拨付，用以反映和考核项目资金拨付时效情况。</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评分情况：</w:t>
      </w:r>
      <w:r>
        <w:rPr>
          <w:rFonts w:hint="eastAsia" w:ascii="仿宋" w:hAnsi="仿宋" w:eastAsia="仿宋" w:cs="仿宋"/>
          <w:color w:val="000000"/>
          <w:kern w:val="0"/>
          <w:sz w:val="28"/>
          <w:szCs w:val="28"/>
          <w:lang w:val="en-US" w:eastAsia="zh-CN"/>
        </w:rPr>
        <w:t>支持企业稳产奖补资金没能按文件规定时间拨付，大都在2022年9月份拨付乡镇帐户，乡镇在10-12月份拨付到企业。</w:t>
      </w:r>
      <w:r>
        <w:rPr>
          <w:rFonts w:hint="eastAsia" w:ascii="仿宋" w:hAnsi="仿宋" w:eastAsia="仿宋" w:cs="仿宋"/>
          <w:sz w:val="28"/>
          <w:szCs w:val="28"/>
        </w:rPr>
        <w:t>该项满分</w:t>
      </w:r>
      <w:r>
        <w:rPr>
          <w:rFonts w:hint="eastAsia" w:ascii="仿宋" w:hAnsi="仿宋" w:eastAsia="仿宋" w:cs="仿宋"/>
          <w:sz w:val="28"/>
          <w:szCs w:val="28"/>
          <w:lang w:val="en-US" w:eastAsia="zh-CN"/>
        </w:rPr>
        <w:t>4</w:t>
      </w:r>
      <w:r>
        <w:rPr>
          <w:rFonts w:hint="eastAsia" w:ascii="仿宋" w:hAnsi="仿宋" w:eastAsia="仿宋" w:cs="仿宋"/>
          <w:sz w:val="28"/>
          <w:szCs w:val="28"/>
        </w:rPr>
        <w:t>分，得</w:t>
      </w:r>
      <w:r>
        <w:rPr>
          <w:rFonts w:hint="eastAsia" w:ascii="仿宋" w:hAnsi="仿宋" w:eastAsia="仿宋" w:cs="仿宋"/>
          <w:sz w:val="28"/>
          <w:szCs w:val="28"/>
          <w:lang w:val="en-US" w:eastAsia="zh-CN"/>
        </w:rPr>
        <w:t>1</w:t>
      </w:r>
      <w:r>
        <w:rPr>
          <w:rFonts w:hint="eastAsia" w:ascii="仿宋" w:hAnsi="仿宋" w:eastAsia="仿宋" w:cs="仿宋"/>
          <w:sz w:val="28"/>
          <w:szCs w:val="28"/>
        </w:rPr>
        <w:t>分，得分率</w:t>
      </w:r>
      <w:r>
        <w:rPr>
          <w:rFonts w:hint="eastAsia" w:ascii="仿宋" w:hAnsi="仿宋" w:eastAsia="仿宋" w:cs="仿宋"/>
          <w:sz w:val="28"/>
          <w:szCs w:val="28"/>
          <w:lang w:val="en-US" w:eastAsia="zh-CN"/>
        </w:rPr>
        <w:t>25</w:t>
      </w:r>
      <w:r>
        <w:rPr>
          <w:rFonts w:hint="eastAsia" w:ascii="仿宋" w:hAnsi="仿宋" w:eastAsia="仿宋" w:cs="仿宋"/>
          <w:sz w:val="28"/>
          <w:szCs w:val="28"/>
        </w:rPr>
        <w:t>.00%。</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3.预算执行率</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指标解释：项目预算资金是否按照计划执行，用以反映或考核项目预算执行情况。</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评分情况： 县</w:t>
      </w:r>
      <w:r>
        <w:rPr>
          <w:rFonts w:hint="eastAsia" w:ascii="仿宋" w:hAnsi="仿宋" w:eastAsia="仿宋" w:cs="仿宋"/>
          <w:sz w:val="28"/>
          <w:szCs w:val="28"/>
          <w:lang w:val="en-US" w:eastAsia="zh-CN"/>
        </w:rPr>
        <w:t>经信局</w:t>
      </w:r>
      <w:r>
        <w:rPr>
          <w:rFonts w:hint="eastAsia" w:ascii="仿宋" w:hAnsi="仿宋" w:eastAsia="仿宋" w:cs="仿宋"/>
          <w:sz w:val="28"/>
          <w:szCs w:val="28"/>
        </w:rPr>
        <w:t>202</w:t>
      </w:r>
      <w:r>
        <w:rPr>
          <w:rFonts w:hint="eastAsia" w:ascii="仿宋" w:hAnsi="仿宋" w:eastAsia="仿宋" w:cs="仿宋"/>
          <w:sz w:val="28"/>
          <w:szCs w:val="28"/>
          <w:lang w:val="en-US" w:eastAsia="zh-CN"/>
        </w:rPr>
        <w:t>2</w:t>
      </w:r>
      <w:r>
        <w:rPr>
          <w:rFonts w:hint="eastAsia" w:ascii="仿宋" w:hAnsi="仿宋" w:eastAsia="仿宋" w:cs="仿宋"/>
          <w:sz w:val="28"/>
          <w:szCs w:val="28"/>
        </w:rPr>
        <w:t>年度“</w:t>
      </w:r>
      <w:r>
        <w:rPr>
          <w:rFonts w:hint="eastAsia" w:ascii="仿宋" w:hAnsi="仿宋" w:eastAsia="仿宋" w:cs="仿宋"/>
          <w:sz w:val="28"/>
          <w:szCs w:val="28"/>
          <w:lang w:val="en-US" w:eastAsia="zh-CN"/>
        </w:rPr>
        <w:t>春节期间支持企业稳产留工补助资金支出</w:t>
      </w:r>
      <w:r>
        <w:rPr>
          <w:rFonts w:hint="eastAsia" w:ascii="仿宋" w:hAnsi="仿宋" w:eastAsia="仿宋" w:cs="仿宋"/>
          <w:sz w:val="28"/>
          <w:szCs w:val="28"/>
        </w:rPr>
        <w:t>”预算金额</w:t>
      </w:r>
      <w:r>
        <w:rPr>
          <w:rFonts w:hint="eastAsia" w:ascii="仿宋" w:hAnsi="仿宋" w:eastAsia="仿宋" w:cs="仿宋"/>
          <w:sz w:val="28"/>
          <w:szCs w:val="28"/>
          <w:lang w:val="en-US" w:eastAsia="zh-CN"/>
        </w:rPr>
        <w:t>474.32</w:t>
      </w:r>
      <w:r>
        <w:rPr>
          <w:rFonts w:hint="eastAsia" w:ascii="仿宋" w:hAnsi="仿宋" w:eastAsia="仿宋" w:cs="仿宋"/>
          <w:sz w:val="28"/>
          <w:szCs w:val="28"/>
        </w:rPr>
        <w:t>万元，预算执行率100.00%</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但不能及时兑现</w:t>
      </w:r>
      <w:r>
        <w:rPr>
          <w:rFonts w:hint="eastAsia" w:ascii="仿宋" w:hAnsi="仿宋" w:eastAsia="仿宋" w:cs="仿宋"/>
          <w:sz w:val="28"/>
          <w:szCs w:val="28"/>
        </w:rPr>
        <w:t>。根据评价标准，该项满分</w:t>
      </w:r>
      <w:r>
        <w:rPr>
          <w:rFonts w:hint="eastAsia" w:ascii="仿宋" w:hAnsi="仿宋" w:eastAsia="仿宋" w:cs="仿宋"/>
          <w:sz w:val="28"/>
          <w:szCs w:val="28"/>
          <w:lang w:val="en-US" w:eastAsia="zh-CN"/>
        </w:rPr>
        <w:t>4</w:t>
      </w:r>
      <w:r>
        <w:rPr>
          <w:rFonts w:hint="eastAsia" w:ascii="仿宋" w:hAnsi="仿宋" w:eastAsia="仿宋" w:cs="仿宋"/>
          <w:sz w:val="28"/>
          <w:szCs w:val="28"/>
        </w:rPr>
        <w:t>分，得</w:t>
      </w:r>
      <w:r>
        <w:rPr>
          <w:rFonts w:hint="eastAsia" w:ascii="仿宋" w:hAnsi="仿宋" w:eastAsia="仿宋" w:cs="仿宋"/>
          <w:sz w:val="28"/>
          <w:szCs w:val="28"/>
          <w:lang w:val="en-US" w:eastAsia="zh-CN"/>
        </w:rPr>
        <w:t>1</w:t>
      </w:r>
      <w:r>
        <w:rPr>
          <w:rFonts w:hint="eastAsia" w:ascii="仿宋" w:hAnsi="仿宋" w:eastAsia="仿宋" w:cs="仿宋"/>
          <w:sz w:val="28"/>
          <w:szCs w:val="28"/>
        </w:rPr>
        <w:t>分，得分率</w:t>
      </w:r>
      <w:r>
        <w:rPr>
          <w:rFonts w:hint="eastAsia" w:ascii="仿宋" w:hAnsi="仿宋" w:eastAsia="仿宋" w:cs="仿宋"/>
          <w:sz w:val="28"/>
          <w:szCs w:val="28"/>
          <w:lang w:val="en-US" w:eastAsia="zh-CN"/>
        </w:rPr>
        <w:t>25</w:t>
      </w:r>
      <w:r>
        <w:rPr>
          <w:rFonts w:hint="eastAsia" w:ascii="仿宋" w:hAnsi="仿宋" w:eastAsia="仿宋" w:cs="仿宋"/>
          <w:sz w:val="28"/>
          <w:szCs w:val="28"/>
        </w:rPr>
        <w:t>.00%。</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4.资金使用合规性</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指标解释：项目资金使用是否符合相关的财务管理制度规定，用以反映和考核项目资金的规范运行情况。</w:t>
      </w:r>
    </w:p>
    <w:p>
      <w:pPr>
        <w:keepNext w:val="0"/>
        <w:keepLines w:val="0"/>
        <w:pageBreakBefore w:val="0"/>
        <w:kinsoku/>
        <w:wordWrap/>
        <w:overflowPunct/>
        <w:topLinePunct w:val="0"/>
        <w:autoSpaceDE/>
        <w:autoSpaceDN/>
        <w:bidi w:val="0"/>
        <w:adjustRightInd/>
        <w:snapToGrid/>
        <w:spacing w:line="240" w:lineRule="auto"/>
        <w:ind w:left="69" w:leftChars="33" w:firstLine="280" w:firstLineChars="100"/>
        <w:rPr>
          <w:rFonts w:hint="eastAsia" w:ascii="仿宋" w:hAnsi="仿宋" w:eastAsia="仿宋" w:cs="仿宋"/>
          <w:sz w:val="28"/>
          <w:szCs w:val="28"/>
        </w:rPr>
      </w:pPr>
      <w:r>
        <w:rPr>
          <w:rFonts w:hint="eastAsia" w:ascii="仿宋" w:hAnsi="仿宋" w:eastAsia="仿宋" w:cs="仿宋"/>
          <w:sz w:val="28"/>
          <w:szCs w:val="28"/>
        </w:rPr>
        <w:t>评分情况：202</w:t>
      </w:r>
      <w:r>
        <w:rPr>
          <w:rFonts w:hint="eastAsia" w:ascii="仿宋" w:hAnsi="仿宋" w:eastAsia="仿宋" w:cs="仿宋"/>
          <w:sz w:val="28"/>
          <w:szCs w:val="28"/>
          <w:lang w:val="en-US" w:eastAsia="zh-CN"/>
        </w:rPr>
        <w:t>2</w:t>
      </w:r>
      <w:r>
        <w:rPr>
          <w:rFonts w:hint="eastAsia" w:ascii="仿宋" w:hAnsi="仿宋" w:eastAsia="仿宋" w:cs="仿宋"/>
          <w:sz w:val="28"/>
          <w:szCs w:val="28"/>
        </w:rPr>
        <w:t>年度“</w:t>
      </w:r>
      <w:r>
        <w:rPr>
          <w:rFonts w:hint="eastAsia" w:ascii="仿宋" w:hAnsi="仿宋" w:eastAsia="仿宋" w:cs="仿宋"/>
          <w:sz w:val="28"/>
          <w:szCs w:val="28"/>
          <w:lang w:val="en-US" w:eastAsia="zh-CN"/>
        </w:rPr>
        <w:t>春节期间支持企业稳产留工补助资金支出</w:t>
      </w:r>
      <w:r>
        <w:rPr>
          <w:rFonts w:hint="eastAsia" w:ascii="仿宋" w:hAnsi="仿宋" w:eastAsia="仿宋" w:cs="仿宋"/>
          <w:sz w:val="28"/>
          <w:szCs w:val="28"/>
        </w:rPr>
        <w:t>”资金使用符合相关财务制度的规定，审批程序和手续完整，能够做到专款专用，</w:t>
      </w:r>
      <w:r>
        <w:rPr>
          <w:rFonts w:hint="eastAsia" w:ascii="仿宋" w:hAnsi="仿宋" w:eastAsia="仿宋" w:cs="仿宋"/>
          <w:sz w:val="28"/>
          <w:szCs w:val="28"/>
          <w:lang w:val="en-US" w:eastAsia="zh-CN"/>
        </w:rPr>
        <w:t>没能提供上级部门或财政资金转入凭证，不能完全判断资金</w:t>
      </w:r>
      <w:r>
        <w:rPr>
          <w:rFonts w:hint="eastAsia" w:ascii="仿宋" w:hAnsi="仿宋" w:eastAsia="仿宋" w:cs="仿宋"/>
          <w:sz w:val="28"/>
          <w:szCs w:val="28"/>
        </w:rPr>
        <w:t>截留、挤占、挪用、虚列开支等情况。该项指标满分4分，得</w:t>
      </w:r>
      <w:r>
        <w:rPr>
          <w:rFonts w:hint="eastAsia" w:ascii="仿宋" w:hAnsi="仿宋" w:eastAsia="仿宋" w:cs="仿宋"/>
          <w:sz w:val="28"/>
          <w:szCs w:val="28"/>
          <w:lang w:val="en-US" w:eastAsia="zh-CN"/>
        </w:rPr>
        <w:t>2</w:t>
      </w:r>
      <w:r>
        <w:rPr>
          <w:rFonts w:hint="eastAsia" w:ascii="仿宋" w:hAnsi="仿宋" w:eastAsia="仿宋" w:cs="仿宋"/>
          <w:sz w:val="28"/>
          <w:szCs w:val="28"/>
        </w:rPr>
        <w:t>分，得分率</w:t>
      </w:r>
      <w:r>
        <w:rPr>
          <w:rFonts w:hint="eastAsia" w:ascii="仿宋" w:hAnsi="仿宋" w:eastAsia="仿宋" w:cs="仿宋"/>
          <w:sz w:val="28"/>
          <w:szCs w:val="28"/>
          <w:lang w:val="en-US" w:eastAsia="zh-CN"/>
        </w:rPr>
        <w:t>5</w:t>
      </w:r>
      <w:r>
        <w:rPr>
          <w:rFonts w:hint="eastAsia" w:ascii="仿宋" w:hAnsi="仿宋" w:eastAsia="仿宋" w:cs="仿宋"/>
          <w:sz w:val="28"/>
          <w:szCs w:val="28"/>
        </w:rPr>
        <w:t>0%。</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5.绩效自评内容准确完整性</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指标解释：是否对设定的绩效目标指标值均进行了绩效自评，相关数据填写是否规范。</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评分情况：县</w:t>
      </w:r>
      <w:r>
        <w:rPr>
          <w:rFonts w:hint="eastAsia" w:ascii="仿宋" w:hAnsi="仿宋" w:eastAsia="仿宋" w:cs="仿宋"/>
          <w:sz w:val="28"/>
          <w:szCs w:val="28"/>
          <w:lang w:val="en-US" w:eastAsia="zh-CN"/>
        </w:rPr>
        <w:t>经信局</w:t>
      </w:r>
      <w:r>
        <w:rPr>
          <w:rFonts w:hint="eastAsia" w:ascii="仿宋" w:hAnsi="仿宋" w:eastAsia="仿宋" w:cs="仿宋"/>
          <w:sz w:val="28"/>
          <w:szCs w:val="28"/>
        </w:rPr>
        <w:t>根据设定的绩效目标进行了绩效自评，但由于指标设定不完整，细化、量化程度不高，实际完成值数据填写不规范，</w:t>
      </w:r>
      <w:r>
        <w:rPr>
          <w:rFonts w:hint="eastAsia" w:ascii="仿宋" w:hAnsi="仿宋" w:eastAsia="仿宋" w:cs="仿宋"/>
          <w:sz w:val="28"/>
          <w:szCs w:val="28"/>
          <w:lang w:val="en-US" w:eastAsia="zh-CN"/>
        </w:rPr>
        <w:t>没有具体的解释说明</w:t>
      </w:r>
      <w:r>
        <w:rPr>
          <w:rFonts w:hint="eastAsia" w:ascii="仿宋" w:hAnsi="仿宋" w:eastAsia="仿宋" w:cs="仿宋"/>
          <w:sz w:val="28"/>
          <w:szCs w:val="28"/>
        </w:rPr>
        <w:t>。该项指标满分</w:t>
      </w:r>
      <w:r>
        <w:rPr>
          <w:rFonts w:hint="eastAsia" w:ascii="仿宋" w:hAnsi="仿宋" w:eastAsia="仿宋" w:cs="仿宋"/>
          <w:sz w:val="28"/>
          <w:szCs w:val="28"/>
          <w:lang w:val="en-US" w:eastAsia="zh-CN"/>
        </w:rPr>
        <w:t>4</w:t>
      </w:r>
      <w:r>
        <w:rPr>
          <w:rFonts w:hint="eastAsia" w:ascii="仿宋" w:hAnsi="仿宋" w:eastAsia="仿宋" w:cs="仿宋"/>
          <w:sz w:val="28"/>
          <w:szCs w:val="28"/>
        </w:rPr>
        <w:t>分，得</w:t>
      </w:r>
      <w:r>
        <w:rPr>
          <w:rFonts w:hint="eastAsia" w:ascii="仿宋" w:hAnsi="仿宋" w:eastAsia="仿宋" w:cs="仿宋"/>
          <w:sz w:val="28"/>
          <w:szCs w:val="28"/>
          <w:lang w:val="en-US" w:eastAsia="zh-CN"/>
        </w:rPr>
        <w:t>2</w:t>
      </w:r>
      <w:r>
        <w:rPr>
          <w:rFonts w:hint="eastAsia" w:ascii="仿宋" w:hAnsi="仿宋" w:eastAsia="仿宋" w:cs="仿宋"/>
          <w:sz w:val="28"/>
          <w:szCs w:val="28"/>
        </w:rPr>
        <w:t>分，得分率</w:t>
      </w:r>
      <w:r>
        <w:rPr>
          <w:rFonts w:hint="eastAsia" w:ascii="仿宋" w:hAnsi="仿宋" w:eastAsia="仿宋" w:cs="仿宋"/>
          <w:sz w:val="28"/>
          <w:szCs w:val="28"/>
          <w:lang w:val="en-US" w:eastAsia="zh-CN"/>
        </w:rPr>
        <w:t>5</w:t>
      </w:r>
      <w:r>
        <w:rPr>
          <w:rFonts w:hint="eastAsia" w:ascii="仿宋" w:hAnsi="仿宋" w:eastAsia="仿宋" w:cs="仿宋"/>
          <w:sz w:val="28"/>
          <w:szCs w:val="28"/>
        </w:rPr>
        <w:t>0.00%。</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6.绩效自评结论真实性</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指标解释：绩效自评结论是否与实际数据一致。</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评分情况：项目资金投入自评结论与实际数据一致，其他指标设置不明确、不规范，自评结论未能真实准确反映项目实际完成情况。该项指标满分</w:t>
      </w:r>
      <w:r>
        <w:rPr>
          <w:rFonts w:hint="eastAsia" w:ascii="仿宋" w:hAnsi="仿宋" w:eastAsia="仿宋" w:cs="仿宋"/>
          <w:sz w:val="28"/>
          <w:szCs w:val="28"/>
          <w:lang w:val="en-US" w:eastAsia="zh-CN"/>
        </w:rPr>
        <w:t>4</w:t>
      </w:r>
      <w:r>
        <w:rPr>
          <w:rFonts w:hint="eastAsia" w:ascii="仿宋" w:hAnsi="仿宋" w:eastAsia="仿宋" w:cs="仿宋"/>
          <w:sz w:val="28"/>
          <w:szCs w:val="28"/>
        </w:rPr>
        <w:t>分，得</w:t>
      </w:r>
      <w:r>
        <w:rPr>
          <w:rFonts w:hint="eastAsia" w:ascii="仿宋" w:hAnsi="仿宋" w:eastAsia="仿宋" w:cs="仿宋"/>
          <w:sz w:val="28"/>
          <w:szCs w:val="28"/>
          <w:lang w:val="en-US" w:eastAsia="zh-CN"/>
        </w:rPr>
        <w:t>2</w:t>
      </w:r>
      <w:r>
        <w:rPr>
          <w:rFonts w:hint="eastAsia" w:ascii="仿宋" w:hAnsi="仿宋" w:eastAsia="仿宋" w:cs="仿宋"/>
          <w:sz w:val="28"/>
          <w:szCs w:val="28"/>
        </w:rPr>
        <w:t>分，得分率</w:t>
      </w:r>
      <w:r>
        <w:rPr>
          <w:rFonts w:hint="eastAsia" w:ascii="仿宋" w:hAnsi="仿宋" w:eastAsia="仿宋" w:cs="仿宋"/>
          <w:sz w:val="28"/>
          <w:szCs w:val="28"/>
          <w:lang w:val="en-US" w:eastAsia="zh-CN"/>
        </w:rPr>
        <w:t>5</w:t>
      </w:r>
      <w:r>
        <w:rPr>
          <w:rFonts w:hint="eastAsia" w:ascii="仿宋" w:hAnsi="仿宋" w:eastAsia="仿宋" w:cs="仿宋"/>
          <w:sz w:val="28"/>
          <w:szCs w:val="28"/>
        </w:rPr>
        <w:t>0.00%。</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7.管理制度健全性</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指标解释：项目实施单位的财务和业务管理制度是否健全，用以反映和考核财务和业务管理制度对项目顺利实施的保障情况。</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highlight w:val="yellow"/>
        </w:rPr>
      </w:pPr>
      <w:r>
        <w:rPr>
          <w:rFonts w:hint="eastAsia" w:ascii="仿宋" w:hAnsi="仿宋" w:eastAsia="仿宋" w:cs="仿宋"/>
          <w:sz w:val="28"/>
          <w:szCs w:val="28"/>
        </w:rPr>
        <w:t>评分情况：管理制度健全，有完善的内控制度、收支业务管理制度、合同管理办法、预算管理制度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但没有针对本项目制定政策</w:t>
      </w:r>
      <w:r>
        <w:rPr>
          <w:rFonts w:hint="eastAsia" w:ascii="仿宋" w:hAnsi="仿宋" w:eastAsia="仿宋" w:cs="仿宋"/>
          <w:sz w:val="28"/>
          <w:szCs w:val="28"/>
        </w:rPr>
        <w:t>。该项指标满分4分，得</w:t>
      </w:r>
      <w:r>
        <w:rPr>
          <w:rFonts w:hint="eastAsia" w:ascii="仿宋" w:hAnsi="仿宋" w:eastAsia="仿宋" w:cs="仿宋"/>
          <w:sz w:val="28"/>
          <w:szCs w:val="28"/>
          <w:lang w:val="en-US" w:eastAsia="zh-CN"/>
        </w:rPr>
        <w:t>2</w:t>
      </w:r>
      <w:r>
        <w:rPr>
          <w:rFonts w:hint="eastAsia" w:ascii="仿宋" w:hAnsi="仿宋" w:eastAsia="仿宋" w:cs="仿宋"/>
          <w:sz w:val="28"/>
          <w:szCs w:val="28"/>
        </w:rPr>
        <w:t>分，得分率</w:t>
      </w:r>
      <w:r>
        <w:rPr>
          <w:rFonts w:hint="eastAsia" w:ascii="仿宋" w:hAnsi="仿宋" w:eastAsia="仿宋" w:cs="仿宋"/>
          <w:sz w:val="28"/>
          <w:szCs w:val="28"/>
          <w:lang w:val="en-US" w:eastAsia="zh-CN"/>
        </w:rPr>
        <w:t>5</w:t>
      </w:r>
      <w:r>
        <w:rPr>
          <w:rFonts w:hint="eastAsia" w:ascii="仿宋" w:hAnsi="仿宋" w:eastAsia="仿宋" w:cs="仿宋"/>
          <w:sz w:val="28"/>
          <w:szCs w:val="28"/>
        </w:rPr>
        <w:t>0.00%。</w:t>
      </w:r>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31" w:name="_Toc14450"/>
      <w:r>
        <w:rPr>
          <w:rFonts w:hint="eastAsia" w:ascii="仿宋" w:hAnsi="仿宋" w:eastAsia="仿宋" w:cs="仿宋"/>
          <w:sz w:val="28"/>
          <w:szCs w:val="28"/>
        </w:rPr>
        <w:t>（三）项目产出情况</w:t>
      </w:r>
      <w:bookmarkEnd w:id="31"/>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lang w:val="en-US" w:eastAsia="zh-CN"/>
        </w:rPr>
      </w:pPr>
      <w:r>
        <w:rPr>
          <w:rFonts w:hint="eastAsia" w:ascii="仿宋" w:hAnsi="仿宋" w:eastAsia="仿宋" w:cs="仿宋"/>
          <w:sz w:val="28"/>
          <w:szCs w:val="28"/>
        </w:rPr>
        <w:t>项目产出的评价指标包括产出数量、产出质量、产出时效、产</w:t>
      </w:r>
      <w:r>
        <w:rPr>
          <w:rFonts w:hint="eastAsia" w:ascii="仿宋" w:hAnsi="仿宋" w:eastAsia="仿宋" w:cs="仿宋"/>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ind w:left="-210" w:leftChars="-100" w:firstLine="0" w:firstLineChars="0"/>
        <w:rPr>
          <w:rFonts w:hint="eastAsia" w:ascii="仿宋" w:hAnsi="仿宋" w:eastAsia="仿宋" w:cs="仿宋"/>
          <w:sz w:val="28"/>
          <w:szCs w:val="28"/>
          <w:highlight w:val="none"/>
          <w:lang w:val="en-US" w:eastAsia="zh-CN"/>
        </w:rPr>
      </w:pPr>
      <w:r>
        <w:rPr>
          <w:rFonts w:hint="eastAsia" w:ascii="仿宋" w:hAnsi="仿宋" w:eastAsia="仿宋" w:cs="仿宋"/>
          <w:sz w:val="28"/>
          <w:szCs w:val="28"/>
        </w:rPr>
        <w:t>出成本四项二级指标，共涉及</w:t>
      </w:r>
      <w:r>
        <w:rPr>
          <w:rFonts w:hint="eastAsia" w:ascii="仿宋" w:hAnsi="仿宋" w:eastAsia="仿宋" w:cs="仿宋"/>
          <w:sz w:val="28"/>
          <w:szCs w:val="28"/>
          <w:lang w:val="en-US" w:eastAsia="zh-CN"/>
        </w:rPr>
        <w:t>补助企业数、留蚌职工数，奖补资金</w:t>
      </w:r>
      <w:r>
        <w:rPr>
          <w:rFonts w:hint="eastAsia" w:ascii="仿宋" w:hAnsi="仿宋" w:eastAsia="仿宋" w:cs="仿宋"/>
          <w:sz w:val="28"/>
          <w:szCs w:val="28"/>
        </w:rPr>
        <w:t>、测评结果、各项任务完成及时性、预算</w:t>
      </w:r>
      <w:r>
        <w:rPr>
          <w:rFonts w:hint="eastAsia" w:ascii="仿宋" w:hAnsi="仿宋" w:eastAsia="仿宋" w:cs="仿宋"/>
          <w:sz w:val="28"/>
          <w:szCs w:val="28"/>
          <w:lang w:eastAsia="zh-CN"/>
        </w:rPr>
        <w:t>控制</w:t>
      </w:r>
      <w:r>
        <w:rPr>
          <w:rFonts w:hint="eastAsia" w:ascii="仿宋" w:hAnsi="仿宋" w:eastAsia="仿宋" w:cs="仿宋"/>
          <w:sz w:val="28"/>
          <w:szCs w:val="28"/>
        </w:rPr>
        <w:t>率4个三级指标。“项目产出”总分2</w:t>
      </w:r>
      <w:r>
        <w:rPr>
          <w:rFonts w:hint="eastAsia" w:ascii="仿宋" w:hAnsi="仿宋" w:eastAsia="仿宋" w:cs="仿宋"/>
          <w:sz w:val="28"/>
          <w:szCs w:val="28"/>
          <w:lang w:val="en-US" w:eastAsia="zh-CN"/>
        </w:rPr>
        <w:t>2</w:t>
      </w:r>
      <w:r>
        <w:rPr>
          <w:rFonts w:hint="eastAsia" w:ascii="仿宋" w:hAnsi="仿宋" w:eastAsia="仿宋" w:cs="仿宋"/>
          <w:sz w:val="28"/>
          <w:szCs w:val="28"/>
          <w:highlight w:val="none"/>
        </w:rPr>
        <w:t>分，得分</w:t>
      </w: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分，得分率</w:t>
      </w:r>
      <w:r>
        <w:rPr>
          <w:rFonts w:hint="eastAsia" w:ascii="仿宋" w:hAnsi="仿宋" w:eastAsia="仿宋" w:cs="仿宋"/>
          <w:sz w:val="28"/>
          <w:szCs w:val="28"/>
          <w:highlight w:val="none"/>
          <w:lang w:val="en-US" w:eastAsia="zh-CN"/>
        </w:rPr>
        <w:t>54.5</w:t>
      </w:r>
      <w:r>
        <w:rPr>
          <w:rFonts w:hint="eastAsia" w:ascii="仿宋" w:hAnsi="仿宋" w:eastAsia="仿宋" w:cs="仿宋"/>
          <w:sz w:val="28"/>
          <w:szCs w:val="28"/>
          <w:highlight w:val="none"/>
        </w:rPr>
        <w:t>%。</w:t>
      </w:r>
      <w:bookmarkStart w:id="32" w:name="_Hlk80115348"/>
      <w:r>
        <w:rPr>
          <w:rFonts w:hint="eastAsia" w:ascii="仿宋" w:hAnsi="仿宋" w:eastAsia="仿宋" w:cs="仿宋"/>
          <w:sz w:val="28"/>
          <w:szCs w:val="28"/>
          <w:highlight w:val="none"/>
        </w:rPr>
        <w:t>主要问题在</w:t>
      </w:r>
      <w:bookmarkEnd w:id="32"/>
      <w:r>
        <w:rPr>
          <w:rFonts w:hint="eastAsia" w:ascii="仿宋" w:hAnsi="仿宋" w:eastAsia="仿宋" w:cs="仿宋"/>
          <w:sz w:val="28"/>
          <w:szCs w:val="28"/>
          <w:highlight w:val="none"/>
          <w:lang w:eastAsia="zh-CN"/>
        </w:rPr>
        <w:t>于</w:t>
      </w:r>
      <w:r>
        <w:rPr>
          <w:rFonts w:hint="eastAsia" w:ascii="仿宋" w:hAnsi="仿宋" w:eastAsia="仿宋" w:cs="仿宋"/>
          <w:sz w:val="28"/>
          <w:szCs w:val="28"/>
          <w:highlight w:val="none"/>
          <w:lang w:val="en-US" w:eastAsia="zh-CN"/>
        </w:rPr>
        <w:t>拨付款不及时。</w:t>
      </w:r>
    </w:p>
    <w:p>
      <w:pPr>
        <w:keepNext w:val="0"/>
        <w:keepLines w:val="0"/>
        <w:pageBreakBefore w:val="0"/>
        <w:kinsoku/>
        <w:wordWrap/>
        <w:overflowPunct/>
        <w:topLinePunct w:val="0"/>
        <w:autoSpaceDE/>
        <w:autoSpaceDN/>
        <w:bidi w:val="0"/>
        <w:adjustRightInd/>
        <w:snapToGrid/>
        <w:spacing w:line="240" w:lineRule="auto"/>
        <w:ind w:left="-210" w:leftChars="-100" w:firstLine="2530" w:firstLineChars="900"/>
        <w:rPr>
          <w:rFonts w:hint="eastAsia" w:ascii="仿宋" w:hAnsi="仿宋" w:eastAsia="仿宋" w:cs="仿宋"/>
          <w:color w:val="FF0000"/>
          <w:sz w:val="28"/>
          <w:szCs w:val="28"/>
        </w:rPr>
      </w:pPr>
      <w:r>
        <w:rPr>
          <w:rFonts w:hint="eastAsia" w:ascii="仿宋" w:hAnsi="仿宋" w:eastAsia="仿宋" w:cs="仿宋"/>
          <w:b/>
          <w:bCs/>
          <w:sz w:val="28"/>
          <w:szCs w:val="28"/>
          <w:lang w:val="en-US" w:eastAsia="zh-CN"/>
        </w:rPr>
        <w:t>产出</w:t>
      </w:r>
      <w:r>
        <w:rPr>
          <w:rFonts w:hint="eastAsia" w:ascii="仿宋" w:hAnsi="仿宋" w:eastAsia="仿宋" w:cs="仿宋"/>
          <w:b/>
          <w:bCs/>
          <w:sz w:val="28"/>
          <w:szCs w:val="28"/>
        </w:rPr>
        <w:t>类指标评分情况</w:t>
      </w:r>
    </w:p>
    <w:tbl>
      <w:tblPr>
        <w:tblStyle w:val="6"/>
        <w:tblW w:w="8925" w:type="dxa"/>
        <w:jc w:val="center"/>
        <w:tblLayout w:type="autofit"/>
        <w:tblCellMar>
          <w:top w:w="0" w:type="dxa"/>
          <w:left w:w="0" w:type="dxa"/>
          <w:bottom w:w="0" w:type="dxa"/>
          <w:right w:w="0" w:type="dxa"/>
        </w:tblCellMar>
      </w:tblPr>
      <w:tblGrid>
        <w:gridCol w:w="760"/>
        <w:gridCol w:w="1013"/>
        <w:gridCol w:w="2428"/>
        <w:gridCol w:w="2060"/>
        <w:gridCol w:w="2018"/>
        <w:gridCol w:w="646"/>
      </w:tblGrid>
      <w:tr>
        <w:tblPrEx>
          <w:tblCellMar>
            <w:top w:w="0" w:type="dxa"/>
            <w:left w:w="0" w:type="dxa"/>
            <w:bottom w:w="0" w:type="dxa"/>
            <w:right w:w="0" w:type="dxa"/>
          </w:tblCellMar>
        </w:tblPrEx>
        <w:trPr>
          <w:trHeight w:val="90" w:hRule="atLeast"/>
          <w:jc w:val="center"/>
        </w:trPr>
        <w:tc>
          <w:tcPr>
            <w:tcW w:w="760"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一级指标</w:t>
            </w:r>
          </w:p>
        </w:tc>
        <w:tc>
          <w:tcPr>
            <w:tcW w:w="1013"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二级指标</w:t>
            </w:r>
          </w:p>
        </w:tc>
        <w:tc>
          <w:tcPr>
            <w:tcW w:w="2428"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三级指标</w:t>
            </w:r>
          </w:p>
        </w:tc>
        <w:tc>
          <w:tcPr>
            <w:tcW w:w="2060"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指标内容</w:t>
            </w:r>
          </w:p>
        </w:tc>
        <w:tc>
          <w:tcPr>
            <w:tcW w:w="2018"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lang w:val="en-US" w:eastAsia="zh-CN"/>
              </w:rPr>
              <w:t>评价情况</w:t>
            </w:r>
          </w:p>
        </w:tc>
        <w:tc>
          <w:tcPr>
            <w:tcW w:w="646"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分值</w:t>
            </w:r>
          </w:p>
        </w:tc>
      </w:tr>
      <w:tr>
        <w:tblPrEx>
          <w:tblCellMar>
            <w:top w:w="0" w:type="dxa"/>
            <w:left w:w="0" w:type="dxa"/>
            <w:bottom w:w="0" w:type="dxa"/>
            <w:right w:w="0" w:type="dxa"/>
          </w:tblCellMar>
        </w:tblPrEx>
        <w:trPr>
          <w:trHeight w:val="1067" w:hRule="atLeast"/>
          <w:jc w:val="center"/>
        </w:trPr>
        <w:tc>
          <w:tcPr>
            <w:tcW w:w="760" w:type="dxa"/>
            <w:vMerge w:val="restar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产出指标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满分22</w:t>
            </w:r>
            <w:r>
              <w:rPr>
                <w:rFonts w:hint="eastAsia" w:ascii="仿宋" w:hAnsi="仿宋" w:eastAsia="仿宋" w:cs="仿宋"/>
                <w:color w:val="000000"/>
                <w:kern w:val="0"/>
                <w:sz w:val="24"/>
                <w:szCs w:val="24"/>
                <w:lang w:eastAsia="zh-CN"/>
              </w:rPr>
              <w:t>）</w:t>
            </w: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rPr>
              <w:t>数量指标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6分）</w:t>
            </w:r>
          </w:p>
        </w:tc>
        <w:tc>
          <w:tcPr>
            <w:tcW w:w="242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主管部门落实</w:t>
            </w:r>
            <w:r>
              <w:rPr>
                <w:rFonts w:hint="eastAsia" w:ascii="仿宋" w:hAnsi="仿宋" w:eastAsia="仿宋" w:cs="仿宋"/>
                <w:color w:val="000000"/>
                <w:kern w:val="0"/>
                <w:sz w:val="24"/>
                <w:szCs w:val="24"/>
              </w:rPr>
              <w:t>项目全覆盖</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采集符合条件的企业数与员工数</w:t>
            </w:r>
          </w:p>
        </w:tc>
        <w:tc>
          <w:tcPr>
            <w:tcW w:w="20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对2022年第一季度营业收入较去年同期增长10%及以上的，分别给予每户最高5-30万的补贴。对2022年1月26日（小年）至2月9日期间留蚌，且在蚌缴纳社会保险的非我市户籍员工，按照每人1000元的标准发放一次性过节补贴。</w:t>
            </w:r>
          </w:p>
        </w:tc>
        <w:tc>
          <w:tcPr>
            <w:tcW w:w="20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center"/>
              <w:rPr>
                <w:rFonts w:hint="default" w:ascii="仿宋" w:hAnsi="仿宋" w:eastAsia="仿宋" w:cs="仿宋"/>
                <w:kern w:val="0"/>
                <w:sz w:val="24"/>
                <w:szCs w:val="24"/>
                <w:lang w:val="en-US"/>
              </w:rPr>
            </w:pPr>
            <w:r>
              <w:rPr>
                <w:rFonts w:hint="eastAsia" w:ascii="仿宋" w:hAnsi="仿宋" w:eastAsia="仿宋" w:cs="仿宋"/>
                <w:kern w:val="0"/>
                <w:sz w:val="24"/>
                <w:szCs w:val="24"/>
                <w:lang w:val="en-US" w:eastAsia="zh-CN"/>
              </w:rPr>
              <w:t>支持2022年春节期间稳产留工的人员176人，2022年春节期间稳定生产的企业116家；没有可比较性。</w:t>
            </w:r>
            <w:r>
              <w:rPr>
                <w:rFonts w:hint="eastAsia" w:ascii="仿宋" w:hAnsi="仿宋" w:eastAsia="仿宋" w:cs="仿宋"/>
                <w:sz w:val="24"/>
                <w:szCs w:val="24"/>
                <w:lang w:val="en-US" w:eastAsia="zh-CN"/>
              </w:rPr>
              <w:t>得3分</w:t>
            </w:r>
          </w:p>
        </w:tc>
        <w:tc>
          <w:tcPr>
            <w:tcW w:w="64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3</w:t>
            </w:r>
          </w:p>
        </w:tc>
      </w:tr>
      <w:tr>
        <w:tblPrEx>
          <w:tblCellMar>
            <w:top w:w="0" w:type="dxa"/>
            <w:left w:w="0" w:type="dxa"/>
            <w:bottom w:w="0" w:type="dxa"/>
            <w:right w:w="0" w:type="dxa"/>
          </w:tblCellMar>
        </w:tblPrEx>
        <w:trPr>
          <w:trHeight w:val="960"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rPr>
                <w:rFonts w:hint="eastAsia" w:ascii="仿宋" w:hAnsi="仿宋" w:eastAsia="仿宋" w:cs="仿宋"/>
                <w:kern w:val="0"/>
                <w:sz w:val="24"/>
                <w:szCs w:val="24"/>
              </w:rPr>
            </w:pPr>
          </w:p>
        </w:tc>
        <w:tc>
          <w:tcPr>
            <w:tcW w:w="1013" w:type="dxa"/>
            <w:vMerge w:val="restart"/>
            <w:tcBorders>
              <w:top w:val="nil"/>
              <w:left w:val="nil"/>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质量指标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6分）</w:t>
            </w:r>
          </w:p>
        </w:tc>
        <w:tc>
          <w:tcPr>
            <w:tcW w:w="242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奖补</w:t>
            </w:r>
            <w:r>
              <w:rPr>
                <w:rFonts w:hint="eastAsia" w:ascii="仿宋" w:hAnsi="仿宋" w:eastAsia="仿宋" w:cs="仿宋"/>
                <w:color w:val="000000"/>
                <w:kern w:val="0"/>
                <w:sz w:val="24"/>
                <w:szCs w:val="24"/>
              </w:rPr>
              <w:t>支出合规性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3分）</w:t>
            </w:r>
          </w:p>
        </w:tc>
        <w:tc>
          <w:tcPr>
            <w:tcW w:w="20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rPr>
              <w:t>严格遵守财务制度，合规支付</w:t>
            </w:r>
            <w:r>
              <w:rPr>
                <w:rFonts w:hint="eastAsia" w:ascii="仿宋" w:hAnsi="仿宋" w:eastAsia="仿宋" w:cs="仿宋"/>
                <w:color w:val="000000"/>
                <w:kern w:val="0"/>
                <w:sz w:val="24"/>
                <w:szCs w:val="24"/>
                <w:lang w:val="en-US" w:eastAsia="zh-CN"/>
              </w:rPr>
              <w:t>奖补</w:t>
            </w:r>
          </w:p>
        </w:tc>
        <w:tc>
          <w:tcPr>
            <w:tcW w:w="20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主管部门提供财务制度，由拨付资金审批流程，但拨付不及时，没有提供财政资金凭证得1.5分</w:t>
            </w:r>
          </w:p>
        </w:tc>
        <w:tc>
          <w:tcPr>
            <w:tcW w:w="64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1.5</w:t>
            </w:r>
          </w:p>
        </w:tc>
      </w:tr>
      <w:tr>
        <w:tblPrEx>
          <w:tblCellMar>
            <w:top w:w="0" w:type="dxa"/>
            <w:left w:w="0" w:type="dxa"/>
            <w:bottom w:w="0" w:type="dxa"/>
            <w:right w:w="0" w:type="dxa"/>
          </w:tblCellMar>
        </w:tblPrEx>
        <w:trPr>
          <w:trHeight w:val="960" w:hRule="atLeast"/>
          <w:jc w:val="center"/>
        </w:trPr>
        <w:tc>
          <w:tcPr>
            <w:tcW w:w="760" w:type="dxa"/>
            <w:vMerge w:val="continue"/>
            <w:tcBorders>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pPr>
          </w:p>
        </w:tc>
        <w:tc>
          <w:tcPr>
            <w:tcW w:w="1013" w:type="dxa"/>
            <w:vMerge w:val="continue"/>
            <w:tcBorders>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pPr>
          </w:p>
        </w:tc>
        <w:tc>
          <w:tcPr>
            <w:tcW w:w="242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核实结果与《通知》规定相符性（3分）</w:t>
            </w:r>
          </w:p>
        </w:tc>
        <w:tc>
          <w:tcPr>
            <w:tcW w:w="20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对2022年第一季度营业收入较去年同期增长10%及以上的</w:t>
            </w:r>
          </w:p>
        </w:tc>
        <w:tc>
          <w:tcPr>
            <w:tcW w:w="20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由怀远县经信局联合县财政局、税务局、人社局对符合要求企业的税收、营业收入，企业职工的行程码、社保等进行审核，没能提供具体凭证来证明增长10%以上得1.5分</w:t>
            </w:r>
          </w:p>
        </w:tc>
        <w:tc>
          <w:tcPr>
            <w:tcW w:w="64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1.5</w:t>
            </w:r>
          </w:p>
        </w:tc>
      </w:tr>
      <w:tr>
        <w:tblPrEx>
          <w:tblCellMar>
            <w:top w:w="0" w:type="dxa"/>
            <w:left w:w="0" w:type="dxa"/>
            <w:bottom w:w="0" w:type="dxa"/>
            <w:right w:w="0" w:type="dxa"/>
          </w:tblCellMar>
        </w:tblPrEx>
        <w:trPr>
          <w:trHeight w:val="1276"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rPr>
                <w:rFonts w:hint="eastAsia" w:ascii="仿宋" w:hAnsi="仿宋" w:eastAsia="仿宋" w:cs="仿宋"/>
                <w:kern w:val="0"/>
                <w:sz w:val="24"/>
                <w:szCs w:val="24"/>
              </w:rPr>
            </w:pP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时效指标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6分）</w:t>
            </w:r>
          </w:p>
        </w:tc>
        <w:tc>
          <w:tcPr>
            <w:tcW w:w="242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eastAsia" w:ascii="仿宋" w:hAnsi="仿宋" w:eastAsia="仿宋" w:cs="仿宋"/>
                <w:kern w:val="0"/>
                <w:sz w:val="24"/>
                <w:szCs w:val="24"/>
              </w:rPr>
            </w:pPr>
            <w:r>
              <w:rPr>
                <w:rFonts w:hint="eastAsia" w:ascii="仿宋" w:hAnsi="仿宋" w:eastAsia="仿宋" w:cs="仿宋"/>
                <w:color w:val="000000"/>
                <w:kern w:val="0"/>
                <w:sz w:val="24"/>
                <w:szCs w:val="24"/>
                <w:lang w:val="en-US" w:eastAsia="zh-CN"/>
              </w:rPr>
              <w:t>奖补</w:t>
            </w:r>
            <w:r>
              <w:rPr>
                <w:rFonts w:hint="eastAsia" w:ascii="仿宋" w:hAnsi="仿宋" w:eastAsia="仿宋" w:cs="仿宋"/>
                <w:color w:val="000000"/>
                <w:kern w:val="0"/>
                <w:sz w:val="24"/>
                <w:szCs w:val="24"/>
              </w:rPr>
              <w:t>支出的时效性</w:t>
            </w:r>
          </w:p>
        </w:tc>
        <w:tc>
          <w:tcPr>
            <w:tcW w:w="20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rPr>
                <w:rFonts w:hint="eastAsia" w:ascii="仿宋" w:hAnsi="仿宋" w:eastAsia="仿宋" w:cs="仿宋"/>
                <w:kern w:val="0"/>
                <w:sz w:val="24"/>
                <w:szCs w:val="24"/>
              </w:rPr>
            </w:pPr>
            <w:r>
              <w:rPr>
                <w:rFonts w:hint="eastAsia" w:ascii="仿宋" w:hAnsi="仿宋" w:eastAsia="仿宋" w:cs="仿宋"/>
                <w:color w:val="000000"/>
                <w:kern w:val="0"/>
                <w:sz w:val="24"/>
                <w:szCs w:val="24"/>
              </w:rPr>
              <w:t>及时支付</w:t>
            </w:r>
            <w:r>
              <w:rPr>
                <w:rFonts w:hint="eastAsia" w:ascii="仿宋" w:hAnsi="仿宋" w:eastAsia="仿宋" w:cs="仿宋"/>
                <w:color w:val="000000"/>
                <w:kern w:val="0"/>
                <w:sz w:val="24"/>
                <w:szCs w:val="24"/>
                <w:lang w:val="en-US" w:eastAsia="zh-CN"/>
              </w:rPr>
              <w:t>奖补</w:t>
            </w:r>
            <w:r>
              <w:rPr>
                <w:rFonts w:hint="eastAsia" w:ascii="仿宋" w:hAnsi="仿宋" w:eastAsia="仿宋" w:cs="仿宋"/>
                <w:color w:val="000000"/>
                <w:kern w:val="0"/>
                <w:sz w:val="24"/>
                <w:szCs w:val="24"/>
              </w:rPr>
              <w:t>，确保</w:t>
            </w:r>
            <w:r>
              <w:rPr>
                <w:rFonts w:hint="eastAsia" w:ascii="仿宋" w:hAnsi="仿宋" w:eastAsia="仿宋" w:cs="仿宋"/>
                <w:color w:val="000000"/>
                <w:kern w:val="0"/>
                <w:sz w:val="24"/>
                <w:szCs w:val="24"/>
                <w:lang w:val="en-US" w:eastAsia="zh-CN"/>
              </w:rPr>
              <w:t>项目</w:t>
            </w:r>
            <w:r>
              <w:rPr>
                <w:rFonts w:hint="eastAsia" w:ascii="仿宋" w:hAnsi="仿宋" w:eastAsia="仿宋" w:cs="仿宋"/>
                <w:color w:val="000000"/>
                <w:kern w:val="0"/>
                <w:sz w:val="24"/>
                <w:szCs w:val="24"/>
              </w:rPr>
              <w:t>工作顺利进行</w:t>
            </w:r>
          </w:p>
        </w:tc>
        <w:tc>
          <w:tcPr>
            <w:tcW w:w="20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奖补大都在9月份拨付没能按通知要求执行，时效性不强得2分</w:t>
            </w:r>
          </w:p>
        </w:tc>
        <w:tc>
          <w:tcPr>
            <w:tcW w:w="64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r>
      <w:tr>
        <w:tblPrEx>
          <w:tblCellMar>
            <w:top w:w="0" w:type="dxa"/>
            <w:left w:w="0" w:type="dxa"/>
            <w:bottom w:w="0" w:type="dxa"/>
            <w:right w:w="0" w:type="dxa"/>
          </w:tblCellMar>
        </w:tblPrEx>
        <w:trPr>
          <w:trHeight w:val="1276"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rPr>
                <w:rFonts w:hint="eastAsia" w:ascii="仿宋" w:hAnsi="仿宋" w:eastAsia="仿宋" w:cs="仿宋"/>
                <w:kern w:val="0"/>
                <w:sz w:val="24"/>
                <w:szCs w:val="24"/>
              </w:rPr>
            </w:pP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成本指标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4分）</w:t>
            </w:r>
          </w:p>
        </w:tc>
        <w:tc>
          <w:tcPr>
            <w:tcW w:w="242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eastAsia" w:ascii="仿宋" w:hAnsi="仿宋" w:eastAsia="仿宋" w:cs="仿宋"/>
                <w:kern w:val="0"/>
                <w:sz w:val="24"/>
                <w:szCs w:val="24"/>
              </w:rPr>
            </w:pPr>
            <w:r>
              <w:rPr>
                <w:rFonts w:hint="eastAsia" w:ascii="仿宋" w:hAnsi="仿宋" w:eastAsia="仿宋" w:cs="仿宋"/>
                <w:color w:val="000000"/>
                <w:kern w:val="0"/>
                <w:sz w:val="24"/>
                <w:szCs w:val="24"/>
                <w:lang w:eastAsia="zh-CN"/>
              </w:rPr>
              <w:t>预算控制率</w:t>
            </w:r>
          </w:p>
        </w:tc>
        <w:tc>
          <w:tcPr>
            <w:tcW w:w="20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有无按奖补标准执行</w:t>
            </w:r>
          </w:p>
        </w:tc>
        <w:tc>
          <w:tcPr>
            <w:tcW w:w="20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rPr>
                <w:rFonts w:hint="default" w:ascii="仿宋" w:hAnsi="仿宋" w:eastAsia="仿宋" w:cs="仿宋"/>
                <w:kern w:val="0"/>
                <w:sz w:val="24"/>
                <w:szCs w:val="24"/>
                <w:lang w:val="en-US"/>
              </w:rPr>
            </w:pPr>
            <w:r>
              <w:rPr>
                <w:rFonts w:hint="eastAsia" w:ascii="仿宋" w:hAnsi="仿宋" w:eastAsia="仿宋" w:cs="仿宋"/>
                <w:color w:val="000000"/>
                <w:kern w:val="0"/>
                <w:sz w:val="24"/>
                <w:szCs w:val="24"/>
                <w:lang w:val="en-US" w:eastAsia="zh-CN"/>
              </w:rPr>
              <w:t>能按《通知》要求完成拨付677.6万元得</w:t>
            </w:r>
            <w:r>
              <w:rPr>
                <w:rFonts w:hint="eastAsia" w:ascii="仿宋" w:hAnsi="仿宋" w:eastAsia="仿宋" w:cs="仿宋"/>
                <w:sz w:val="24"/>
                <w:szCs w:val="24"/>
                <w:lang w:val="en-US" w:eastAsia="zh-CN"/>
              </w:rPr>
              <w:t>4分</w:t>
            </w:r>
          </w:p>
        </w:tc>
        <w:tc>
          <w:tcPr>
            <w:tcW w:w="64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0" w:type="dxa"/>
            <w:bottom w:w="0" w:type="dxa"/>
            <w:right w:w="0" w:type="dxa"/>
          </w:tblCellMar>
        </w:tblPrEx>
        <w:trPr>
          <w:trHeight w:val="786" w:hRule="atLeast"/>
          <w:jc w:val="center"/>
        </w:trPr>
        <w:tc>
          <w:tcPr>
            <w:tcW w:w="8279" w:type="dxa"/>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小计</w:t>
            </w:r>
          </w:p>
        </w:tc>
        <w:tc>
          <w:tcPr>
            <w:tcW w:w="64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12</w:t>
            </w:r>
          </w:p>
        </w:tc>
      </w:tr>
    </w:tbl>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color w:val="000000"/>
          <w:kern w:val="0"/>
          <w:sz w:val="28"/>
          <w:szCs w:val="28"/>
          <w:lang w:val="en-US" w:eastAsia="zh-CN"/>
        </w:rPr>
        <w:t>采集符合条件的企业数与员工数</w:t>
      </w:r>
    </w:p>
    <w:p>
      <w:pPr>
        <w:pStyle w:val="2"/>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指标解释：项目实施的实际产出数，用以反映和考核项目产出数量目标的实现程度</w:t>
      </w:r>
    </w:p>
    <w:p>
      <w:pPr>
        <w:pStyle w:val="2"/>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default" w:ascii="仿宋" w:hAnsi="仿宋" w:eastAsia="仿宋" w:cs="仿宋"/>
          <w:sz w:val="28"/>
          <w:szCs w:val="28"/>
          <w:lang w:val="en-US"/>
        </w:rPr>
      </w:pPr>
      <w:r>
        <w:rPr>
          <w:rFonts w:hint="eastAsia" w:ascii="仿宋" w:hAnsi="仿宋" w:eastAsia="仿宋" w:cs="仿宋"/>
          <w:sz w:val="28"/>
          <w:szCs w:val="28"/>
        </w:rPr>
        <w:t>评分情况：</w:t>
      </w:r>
      <w:r>
        <w:rPr>
          <w:rFonts w:hint="eastAsia" w:ascii="仿宋" w:hAnsi="仿宋" w:eastAsia="仿宋" w:cs="仿宋"/>
          <w:sz w:val="28"/>
          <w:szCs w:val="28"/>
          <w:lang w:val="en-US" w:eastAsia="zh-CN"/>
        </w:rPr>
        <w:t>根据文件要求，进行筛选符合条件的企业数与留蚌员工数。经统计</w:t>
      </w:r>
      <w:r>
        <w:rPr>
          <w:rFonts w:hint="eastAsia" w:ascii="仿宋" w:hAnsi="仿宋" w:eastAsia="仿宋" w:cs="仿宋"/>
          <w:kern w:val="0"/>
          <w:sz w:val="28"/>
          <w:szCs w:val="28"/>
          <w:lang w:val="en-US" w:eastAsia="zh-CN"/>
        </w:rPr>
        <w:t>支持2022年春节期间稳产留工的人员176人，2022年春节期间稳定生产的企业116家，没有目标比较，不能准确判断企业数与员工数的准确性。</w:t>
      </w:r>
    </w:p>
    <w:p>
      <w:pPr>
        <w:pStyle w:val="2"/>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该项指标满分</w:t>
      </w:r>
      <w:r>
        <w:rPr>
          <w:rFonts w:hint="eastAsia" w:ascii="仿宋" w:hAnsi="仿宋" w:eastAsia="仿宋" w:cs="仿宋"/>
          <w:sz w:val="28"/>
          <w:szCs w:val="28"/>
          <w:lang w:val="en-US" w:eastAsia="zh-CN"/>
        </w:rPr>
        <w:t>6</w:t>
      </w:r>
      <w:r>
        <w:rPr>
          <w:rFonts w:hint="eastAsia" w:ascii="仿宋" w:hAnsi="仿宋" w:eastAsia="仿宋" w:cs="仿宋"/>
          <w:sz w:val="28"/>
          <w:szCs w:val="28"/>
        </w:rPr>
        <w:t>分，得</w:t>
      </w:r>
      <w:r>
        <w:rPr>
          <w:rFonts w:hint="eastAsia" w:ascii="仿宋" w:hAnsi="仿宋" w:eastAsia="仿宋" w:cs="仿宋"/>
          <w:sz w:val="28"/>
          <w:szCs w:val="28"/>
          <w:lang w:val="en-US" w:eastAsia="zh-CN"/>
        </w:rPr>
        <w:t>3</w:t>
      </w:r>
      <w:r>
        <w:rPr>
          <w:rFonts w:hint="eastAsia" w:ascii="仿宋" w:hAnsi="仿宋" w:eastAsia="仿宋" w:cs="仿宋"/>
          <w:sz w:val="28"/>
          <w:szCs w:val="28"/>
        </w:rPr>
        <w:t>分，得分率</w:t>
      </w:r>
      <w:r>
        <w:rPr>
          <w:rFonts w:hint="eastAsia" w:ascii="仿宋" w:hAnsi="仿宋" w:eastAsia="仿宋" w:cs="仿宋"/>
          <w:sz w:val="28"/>
          <w:szCs w:val="28"/>
          <w:lang w:val="en-US" w:eastAsia="zh-CN"/>
        </w:rPr>
        <w:t>5</w:t>
      </w:r>
      <w:r>
        <w:rPr>
          <w:rFonts w:hint="eastAsia" w:ascii="仿宋" w:hAnsi="仿宋" w:eastAsia="仿宋" w:cs="仿宋"/>
          <w:sz w:val="28"/>
          <w:szCs w:val="28"/>
        </w:rPr>
        <w:t>0.00%。</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rPr>
        <w:t>.</w:t>
      </w:r>
      <w:bookmarkStart w:id="33" w:name="_Hlk79870035"/>
      <w:r>
        <w:rPr>
          <w:rFonts w:hint="eastAsia" w:ascii="仿宋" w:hAnsi="仿宋" w:eastAsia="仿宋" w:cs="仿宋"/>
          <w:sz w:val="28"/>
          <w:szCs w:val="28"/>
          <w:lang w:val="en-US" w:eastAsia="zh-CN"/>
        </w:rPr>
        <w:t>奖补支出合规性</w:t>
      </w:r>
    </w:p>
    <w:bookmarkEnd w:id="33"/>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指标解释：项目实际</w:t>
      </w:r>
      <w:r>
        <w:rPr>
          <w:rFonts w:hint="eastAsia" w:ascii="仿宋" w:hAnsi="仿宋" w:eastAsia="仿宋" w:cs="仿宋"/>
          <w:sz w:val="28"/>
          <w:szCs w:val="28"/>
          <w:lang w:val="en-US" w:eastAsia="zh-CN"/>
        </w:rPr>
        <w:t>支出与合同或文件规定相比</w:t>
      </w:r>
      <w:r>
        <w:rPr>
          <w:rFonts w:hint="eastAsia" w:ascii="仿宋" w:hAnsi="仿宋" w:eastAsia="仿宋" w:cs="仿宋"/>
          <w:sz w:val="28"/>
          <w:szCs w:val="28"/>
        </w:rPr>
        <w:t>，用以反映和考核项目</w:t>
      </w:r>
      <w:r>
        <w:rPr>
          <w:rFonts w:hint="eastAsia" w:ascii="仿宋" w:hAnsi="仿宋" w:eastAsia="仿宋" w:cs="仿宋"/>
          <w:sz w:val="28"/>
          <w:szCs w:val="28"/>
          <w:lang w:val="en-US" w:eastAsia="zh-CN"/>
        </w:rPr>
        <w:t>支出合规</w:t>
      </w:r>
      <w:r>
        <w:rPr>
          <w:rFonts w:hint="eastAsia" w:ascii="仿宋" w:hAnsi="仿宋" w:eastAsia="仿宋" w:cs="仿宋"/>
          <w:sz w:val="28"/>
          <w:szCs w:val="28"/>
        </w:rPr>
        <w:t>程度。</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default" w:ascii="仿宋" w:hAnsi="仿宋" w:eastAsia="仿宋" w:cs="仿宋"/>
          <w:kern w:val="0"/>
          <w:sz w:val="28"/>
          <w:szCs w:val="28"/>
          <w:lang w:val="en-US" w:eastAsia="zh-CN"/>
        </w:rPr>
      </w:pPr>
      <w:r>
        <w:rPr>
          <w:rFonts w:hint="eastAsia" w:ascii="仿宋" w:hAnsi="仿宋" w:eastAsia="仿宋" w:cs="仿宋"/>
          <w:sz w:val="28"/>
          <w:szCs w:val="28"/>
        </w:rPr>
        <w:t>评分情况：</w:t>
      </w:r>
      <w:r>
        <w:rPr>
          <w:rFonts w:hint="eastAsia" w:ascii="仿宋" w:hAnsi="仿宋" w:eastAsia="仿宋" w:cs="仿宋"/>
          <w:sz w:val="28"/>
          <w:szCs w:val="28"/>
          <w:lang w:val="en-US" w:eastAsia="zh-CN"/>
        </w:rPr>
        <w:t>通过查阅文件档案，经信局制定了资金管理制度与机关事业单位</w:t>
      </w:r>
      <w:r>
        <w:rPr>
          <w:rFonts w:hint="eastAsia" w:ascii="仿宋" w:hAnsi="仿宋" w:eastAsia="仿宋" w:cs="仿宋"/>
          <w:kern w:val="0"/>
          <w:sz w:val="28"/>
          <w:szCs w:val="28"/>
          <w:lang w:val="en-US" w:eastAsia="zh-CN"/>
        </w:rPr>
        <w:t>财务制度，由拨付资金审批流程</w:t>
      </w:r>
      <w:r>
        <w:rPr>
          <w:rFonts w:hint="eastAsia" w:ascii="仿宋" w:hAnsi="仿宋" w:eastAsia="仿宋" w:cs="仿宋"/>
          <w:sz w:val="28"/>
          <w:szCs w:val="28"/>
          <w:lang w:val="en-US" w:eastAsia="zh-CN"/>
        </w:rPr>
        <w:t>转账凭证</w:t>
      </w:r>
      <w:r>
        <w:rPr>
          <w:rFonts w:hint="eastAsia" w:ascii="仿宋" w:hAnsi="仿宋" w:eastAsia="仿宋" w:cs="仿宋"/>
          <w:kern w:val="0"/>
          <w:sz w:val="28"/>
          <w:szCs w:val="28"/>
          <w:lang w:val="en-US" w:eastAsia="zh-CN"/>
        </w:rPr>
        <w:t>。但没有收到到账资金凭证。拨付不及时。</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满分</w:t>
      </w:r>
      <w:r>
        <w:rPr>
          <w:rFonts w:hint="eastAsia" w:ascii="仿宋" w:hAnsi="仿宋" w:eastAsia="仿宋" w:cs="仿宋"/>
          <w:sz w:val="28"/>
          <w:szCs w:val="28"/>
          <w:lang w:val="en-US" w:eastAsia="zh-CN"/>
        </w:rPr>
        <w:t>3</w:t>
      </w:r>
      <w:r>
        <w:rPr>
          <w:rFonts w:hint="eastAsia" w:ascii="仿宋" w:hAnsi="仿宋" w:eastAsia="仿宋" w:cs="仿宋"/>
          <w:sz w:val="28"/>
          <w:szCs w:val="28"/>
        </w:rPr>
        <w:t>分，得分</w:t>
      </w:r>
      <w:r>
        <w:rPr>
          <w:rFonts w:hint="eastAsia" w:ascii="仿宋" w:hAnsi="仿宋" w:eastAsia="仿宋" w:cs="仿宋"/>
          <w:sz w:val="28"/>
          <w:szCs w:val="28"/>
          <w:lang w:val="en-US" w:eastAsia="zh-CN"/>
        </w:rPr>
        <w:t>1.5</w:t>
      </w:r>
      <w:r>
        <w:rPr>
          <w:rFonts w:hint="eastAsia" w:ascii="仿宋" w:hAnsi="仿宋" w:eastAsia="仿宋" w:cs="仿宋"/>
          <w:sz w:val="28"/>
          <w:szCs w:val="28"/>
        </w:rPr>
        <w:t>分，得分率</w:t>
      </w:r>
      <w:r>
        <w:rPr>
          <w:rFonts w:hint="eastAsia" w:ascii="仿宋" w:hAnsi="仿宋" w:eastAsia="仿宋" w:cs="仿宋"/>
          <w:sz w:val="28"/>
          <w:szCs w:val="28"/>
          <w:lang w:val="en-US" w:eastAsia="zh-CN"/>
        </w:rPr>
        <w:t>50.00</w:t>
      </w:r>
      <w:r>
        <w:rPr>
          <w:rFonts w:hint="eastAsia" w:ascii="仿宋" w:hAnsi="仿宋" w:eastAsia="仿宋" w:cs="仿宋"/>
          <w:sz w:val="28"/>
          <w:szCs w:val="28"/>
        </w:rPr>
        <w:t>%。</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color w:val="000000"/>
          <w:kern w:val="0"/>
          <w:sz w:val="28"/>
          <w:szCs w:val="28"/>
          <w:lang w:val="en-US" w:eastAsia="zh-CN"/>
        </w:rPr>
        <w:t>核实结果与《通知》规定相符性</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指标解释：项目实际完成</w:t>
      </w:r>
      <w:r>
        <w:rPr>
          <w:rFonts w:hint="eastAsia" w:ascii="仿宋" w:hAnsi="仿宋" w:eastAsia="仿宋" w:cs="仿宋"/>
          <w:sz w:val="28"/>
          <w:szCs w:val="28"/>
          <w:lang w:val="en-US" w:eastAsia="zh-CN"/>
        </w:rPr>
        <w:t>与合同规定要求相</w:t>
      </w:r>
      <w:r>
        <w:rPr>
          <w:rFonts w:hint="eastAsia" w:ascii="仿宋" w:hAnsi="仿宋" w:eastAsia="仿宋" w:cs="仿宋"/>
          <w:sz w:val="28"/>
          <w:szCs w:val="28"/>
        </w:rPr>
        <w:t>比较，用以反映和考核项目产出</w:t>
      </w:r>
      <w:r>
        <w:rPr>
          <w:rFonts w:hint="eastAsia" w:ascii="仿宋" w:hAnsi="仿宋" w:eastAsia="仿宋" w:cs="仿宋"/>
          <w:sz w:val="28"/>
          <w:szCs w:val="28"/>
          <w:lang w:val="en-US" w:eastAsia="zh-CN"/>
        </w:rPr>
        <w:t>质量</w:t>
      </w:r>
      <w:r>
        <w:rPr>
          <w:rFonts w:hint="eastAsia" w:ascii="仿宋" w:hAnsi="仿宋" w:eastAsia="仿宋" w:cs="仿宋"/>
          <w:sz w:val="28"/>
          <w:szCs w:val="28"/>
        </w:rPr>
        <w:t>目标的实现程度。</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sz w:val="28"/>
          <w:szCs w:val="28"/>
        </w:rPr>
        <w:t>评分情况：</w:t>
      </w:r>
      <w:r>
        <w:rPr>
          <w:rFonts w:hint="eastAsia" w:ascii="仿宋" w:hAnsi="仿宋" w:eastAsia="仿宋" w:cs="仿宋"/>
          <w:sz w:val="28"/>
          <w:szCs w:val="28"/>
          <w:lang w:val="en-US" w:eastAsia="zh-CN"/>
        </w:rPr>
        <w:t>通过经信局发相关单位联系函，</w:t>
      </w:r>
      <w:r>
        <w:rPr>
          <w:rFonts w:hint="eastAsia" w:ascii="仿宋" w:hAnsi="仿宋" w:eastAsia="仿宋" w:cs="仿宋"/>
          <w:color w:val="000000"/>
          <w:kern w:val="0"/>
          <w:sz w:val="28"/>
          <w:szCs w:val="28"/>
          <w:lang w:val="en-US" w:eastAsia="zh-CN"/>
        </w:rPr>
        <w:t xml:space="preserve">县财政局、税务局、 </w:t>
      </w:r>
    </w:p>
    <w:p>
      <w:pPr>
        <w:keepNext w:val="0"/>
        <w:keepLines w:val="0"/>
        <w:pageBreakBefore w:val="0"/>
        <w:kinsoku/>
        <w:wordWrap/>
        <w:overflowPunct/>
        <w:topLinePunct w:val="0"/>
        <w:autoSpaceDE/>
        <w:autoSpaceDN/>
        <w:bidi w:val="0"/>
        <w:adjustRightInd/>
        <w:snapToGrid/>
        <w:spacing w:line="240" w:lineRule="auto"/>
        <w:ind w:left="-210" w:leftChars="-100" w:firstLine="0" w:firstLineChars="0"/>
        <w:rPr>
          <w:rFonts w:hint="default"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人社局对符合要求企业的税收、营业收入，企业职工的行程码、社保等进行审核</w:t>
      </w:r>
      <w:r>
        <w:rPr>
          <w:rFonts w:hint="eastAsia" w:ascii="仿宋" w:hAnsi="仿宋" w:eastAsia="仿宋" w:cs="仿宋"/>
          <w:sz w:val="28"/>
          <w:szCs w:val="28"/>
          <w:lang w:val="en-US" w:eastAsia="zh-CN"/>
        </w:rPr>
        <w:t xml:space="preserve"> ，确保在《通知》框架内统计数字准确性。没能提供各相关单位出具凭证，能证明企业增长10%。</w:t>
      </w:r>
    </w:p>
    <w:p>
      <w:pPr>
        <w:keepNext w:val="0"/>
        <w:keepLines w:val="0"/>
        <w:pageBreakBefore w:val="0"/>
        <w:kinsoku/>
        <w:wordWrap/>
        <w:overflowPunct/>
        <w:topLinePunct w:val="0"/>
        <w:autoSpaceDE/>
        <w:autoSpaceDN/>
        <w:bidi w:val="0"/>
        <w:adjustRightInd/>
        <w:snapToGrid/>
        <w:spacing w:line="240" w:lineRule="auto"/>
        <w:ind w:left="-210" w:leftChars="-100" w:firstLine="0" w:firstLineChars="0"/>
        <w:rPr>
          <w:rFonts w:hint="eastAsia" w:ascii="仿宋" w:hAnsi="仿宋" w:eastAsia="仿宋" w:cs="仿宋"/>
          <w:sz w:val="28"/>
          <w:szCs w:val="28"/>
        </w:rPr>
      </w:pPr>
      <w:r>
        <w:rPr>
          <w:rFonts w:hint="eastAsia" w:ascii="仿宋" w:hAnsi="仿宋" w:eastAsia="仿宋" w:cs="仿宋"/>
          <w:sz w:val="28"/>
          <w:szCs w:val="28"/>
        </w:rPr>
        <w:t>该项指标满分</w:t>
      </w:r>
      <w:r>
        <w:rPr>
          <w:rFonts w:hint="eastAsia" w:ascii="仿宋" w:hAnsi="仿宋" w:eastAsia="仿宋" w:cs="仿宋"/>
          <w:sz w:val="28"/>
          <w:szCs w:val="28"/>
          <w:lang w:val="en-US" w:eastAsia="zh-CN"/>
        </w:rPr>
        <w:t>3</w:t>
      </w:r>
      <w:r>
        <w:rPr>
          <w:rFonts w:hint="eastAsia" w:ascii="仿宋" w:hAnsi="仿宋" w:eastAsia="仿宋" w:cs="仿宋"/>
          <w:sz w:val="28"/>
          <w:szCs w:val="28"/>
        </w:rPr>
        <w:t>分，得</w:t>
      </w:r>
      <w:r>
        <w:rPr>
          <w:rFonts w:hint="eastAsia" w:ascii="仿宋" w:hAnsi="仿宋" w:eastAsia="仿宋" w:cs="仿宋"/>
          <w:sz w:val="28"/>
          <w:szCs w:val="28"/>
          <w:lang w:val="en-US" w:eastAsia="zh-CN"/>
        </w:rPr>
        <w:t>1.5</w:t>
      </w:r>
      <w:r>
        <w:rPr>
          <w:rFonts w:hint="eastAsia" w:ascii="仿宋" w:hAnsi="仿宋" w:eastAsia="仿宋" w:cs="仿宋"/>
          <w:sz w:val="28"/>
          <w:szCs w:val="28"/>
        </w:rPr>
        <w:t>分，得分率</w:t>
      </w:r>
      <w:r>
        <w:rPr>
          <w:rFonts w:hint="eastAsia" w:ascii="仿宋" w:hAnsi="仿宋" w:eastAsia="仿宋" w:cs="仿宋"/>
          <w:sz w:val="28"/>
          <w:szCs w:val="28"/>
          <w:lang w:val="en-US" w:eastAsia="zh-CN"/>
        </w:rPr>
        <w:t>5</w:t>
      </w:r>
      <w:r>
        <w:rPr>
          <w:rFonts w:hint="eastAsia" w:ascii="仿宋" w:hAnsi="仿宋" w:eastAsia="仿宋" w:cs="仿宋"/>
          <w:sz w:val="28"/>
          <w:szCs w:val="28"/>
        </w:rPr>
        <w:t>0.00%。</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s="仿宋"/>
          <w:color w:val="000000"/>
          <w:kern w:val="0"/>
          <w:sz w:val="28"/>
          <w:szCs w:val="28"/>
          <w:lang w:val="en-US" w:eastAsia="zh-CN"/>
        </w:rPr>
        <w:t>奖补</w:t>
      </w:r>
      <w:r>
        <w:rPr>
          <w:rFonts w:hint="eastAsia" w:ascii="仿宋" w:hAnsi="仿宋" w:eastAsia="仿宋" w:cs="仿宋"/>
          <w:color w:val="000000"/>
          <w:kern w:val="0"/>
          <w:sz w:val="28"/>
          <w:szCs w:val="28"/>
        </w:rPr>
        <w:t>支出的时效性</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指标解释：项目实际完成时间与计划完成时间的比较，用以反映和考核项目产出时效目标的实现程度。</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评分情况：通过</w:t>
      </w:r>
      <w:r>
        <w:rPr>
          <w:rFonts w:hint="eastAsia" w:ascii="仿宋" w:hAnsi="仿宋" w:eastAsia="仿宋" w:cs="仿宋"/>
          <w:sz w:val="28"/>
          <w:szCs w:val="28"/>
          <w:lang w:val="en-US" w:eastAsia="zh-CN"/>
        </w:rPr>
        <w:t>查阅转账凭证发现，各乡镇转给企业资金大部分在9月份拨付，少数乡镇在12月份拨付，奖补资金兑付不及时</w:t>
      </w:r>
      <w:r>
        <w:rPr>
          <w:rFonts w:hint="eastAsia" w:ascii="仿宋" w:hAnsi="仿宋" w:eastAsia="仿宋" w:cs="仿宋"/>
          <w:sz w:val="28"/>
          <w:szCs w:val="28"/>
        </w:rPr>
        <w:t>。</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该项指标满分</w:t>
      </w:r>
      <w:r>
        <w:rPr>
          <w:rFonts w:hint="eastAsia" w:ascii="仿宋" w:hAnsi="仿宋" w:eastAsia="仿宋" w:cs="仿宋"/>
          <w:sz w:val="28"/>
          <w:szCs w:val="28"/>
          <w:lang w:val="en-US" w:eastAsia="zh-CN"/>
        </w:rPr>
        <w:t>6</w:t>
      </w:r>
      <w:r>
        <w:rPr>
          <w:rFonts w:hint="eastAsia" w:ascii="仿宋" w:hAnsi="仿宋" w:eastAsia="仿宋" w:cs="仿宋"/>
          <w:sz w:val="28"/>
          <w:szCs w:val="28"/>
        </w:rPr>
        <w:t>分，得</w:t>
      </w:r>
      <w:r>
        <w:rPr>
          <w:rFonts w:hint="eastAsia" w:ascii="仿宋" w:hAnsi="仿宋" w:eastAsia="仿宋" w:cs="仿宋"/>
          <w:sz w:val="28"/>
          <w:szCs w:val="28"/>
          <w:lang w:val="en-US" w:eastAsia="zh-CN"/>
        </w:rPr>
        <w:t>2</w:t>
      </w:r>
      <w:r>
        <w:rPr>
          <w:rFonts w:hint="eastAsia" w:ascii="仿宋" w:hAnsi="仿宋" w:eastAsia="仿宋" w:cs="仿宋"/>
          <w:sz w:val="28"/>
          <w:szCs w:val="28"/>
        </w:rPr>
        <w:t>分，得分率</w:t>
      </w:r>
      <w:r>
        <w:rPr>
          <w:rFonts w:hint="eastAsia" w:ascii="仿宋" w:hAnsi="仿宋" w:eastAsia="仿宋" w:cs="仿宋"/>
          <w:sz w:val="28"/>
          <w:szCs w:val="28"/>
          <w:lang w:val="en-US" w:eastAsia="zh-CN"/>
        </w:rPr>
        <w:t>33.33</w:t>
      </w:r>
      <w:r>
        <w:rPr>
          <w:rFonts w:hint="eastAsia" w:ascii="仿宋" w:hAnsi="仿宋" w:eastAsia="仿宋" w:cs="仿宋"/>
          <w:sz w:val="28"/>
          <w:szCs w:val="28"/>
        </w:rPr>
        <w:t>%。</w:t>
      </w:r>
    </w:p>
    <w:p>
      <w:pPr>
        <w:keepNext w:val="0"/>
        <w:keepLines w:val="0"/>
        <w:pageBreakBefore w:val="0"/>
        <w:kinsoku/>
        <w:wordWrap/>
        <w:overflowPunct/>
        <w:topLinePunct w:val="0"/>
        <w:autoSpaceDE/>
        <w:autoSpaceDN/>
        <w:bidi w:val="0"/>
        <w:adjustRightInd/>
        <w:snapToGrid/>
        <w:spacing w:line="240" w:lineRule="auto"/>
        <w:ind w:firstLine="280" w:firstLineChars="10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.预算</w:t>
      </w:r>
      <w:r>
        <w:rPr>
          <w:rFonts w:hint="eastAsia" w:ascii="仿宋" w:hAnsi="仿宋" w:eastAsia="仿宋" w:cs="仿宋"/>
          <w:sz w:val="28"/>
          <w:szCs w:val="28"/>
          <w:lang w:eastAsia="zh-CN"/>
        </w:rPr>
        <w:t>控制</w:t>
      </w:r>
      <w:r>
        <w:rPr>
          <w:rFonts w:hint="eastAsia" w:ascii="仿宋" w:hAnsi="仿宋" w:eastAsia="仿宋" w:cs="仿宋"/>
          <w:sz w:val="28"/>
          <w:szCs w:val="28"/>
        </w:rPr>
        <w:t>率</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指标解释：完成项目计划工作目标的实际节约成本与计划成本的</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比率，用以反映和考核项目的成本节约程度。</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评分情况：通过财政授权支付额度到账通知书与财务支出明细账，</w:t>
      </w:r>
      <w:r>
        <w:rPr>
          <w:rFonts w:hint="eastAsia" w:ascii="仿宋" w:hAnsi="仿宋" w:eastAsia="仿宋" w:cs="仿宋"/>
          <w:color w:val="333333"/>
          <w:kern w:val="0"/>
          <w:sz w:val="28"/>
          <w:szCs w:val="28"/>
          <w:lang w:val="en-US" w:eastAsia="zh-CN"/>
        </w:rPr>
        <w:t>支持企业稳定生产共有116户企业奖补资金660万元、支持企业稳岗留工共有176人奖补资金17.6万，合计677.6万元。</w:t>
      </w:r>
      <w:r>
        <w:rPr>
          <w:rFonts w:hint="eastAsia" w:ascii="仿宋" w:hAnsi="仿宋" w:eastAsia="仿宋" w:cs="仿宋"/>
          <w:color w:val="333333"/>
          <w:kern w:val="0"/>
          <w:sz w:val="28"/>
          <w:szCs w:val="28"/>
        </w:rPr>
        <w:t>由</w:t>
      </w:r>
      <w:r>
        <w:rPr>
          <w:rFonts w:hint="eastAsia" w:ascii="仿宋" w:hAnsi="仿宋" w:eastAsia="仿宋" w:cs="仿宋"/>
          <w:color w:val="333333"/>
          <w:kern w:val="0"/>
          <w:sz w:val="28"/>
          <w:szCs w:val="28"/>
          <w:lang w:val="en-US" w:eastAsia="zh-CN"/>
        </w:rPr>
        <w:t>怀远县经信局申请企业稳产与留工补助资金677.6万元，其中市级承担奖补资金203.28万元，本级承担奖补资金474.32万元</w:t>
      </w:r>
      <w:r>
        <w:rPr>
          <w:rFonts w:hint="eastAsia" w:ascii="仿宋" w:hAnsi="仿宋" w:eastAsia="仿宋" w:cs="仿宋"/>
          <w:sz w:val="28"/>
          <w:szCs w:val="28"/>
        </w:rPr>
        <w:t>。预算</w:t>
      </w:r>
      <w:r>
        <w:rPr>
          <w:rFonts w:hint="eastAsia" w:ascii="仿宋" w:hAnsi="仿宋" w:eastAsia="仿宋" w:cs="仿宋"/>
          <w:sz w:val="28"/>
          <w:szCs w:val="28"/>
          <w:lang w:eastAsia="zh-CN"/>
        </w:rPr>
        <w:t>控制</w:t>
      </w:r>
      <w:r>
        <w:rPr>
          <w:rFonts w:hint="eastAsia" w:ascii="仿宋" w:hAnsi="仿宋" w:eastAsia="仿宋" w:cs="仿宋"/>
          <w:sz w:val="28"/>
          <w:szCs w:val="28"/>
        </w:rPr>
        <w:t>率=实际支付资金/实际到位资金*100%，实际完成值为 100%。该项指标满分</w:t>
      </w:r>
      <w:r>
        <w:rPr>
          <w:rFonts w:hint="eastAsia" w:ascii="仿宋" w:hAnsi="仿宋" w:eastAsia="仿宋" w:cs="仿宋"/>
          <w:sz w:val="28"/>
          <w:szCs w:val="28"/>
          <w:lang w:val="en-US" w:eastAsia="zh-CN"/>
        </w:rPr>
        <w:t>4</w:t>
      </w:r>
      <w:r>
        <w:rPr>
          <w:rFonts w:hint="eastAsia" w:ascii="仿宋" w:hAnsi="仿宋" w:eastAsia="仿宋" w:cs="仿宋"/>
          <w:sz w:val="28"/>
          <w:szCs w:val="28"/>
        </w:rPr>
        <w:t>分，得</w:t>
      </w:r>
      <w:r>
        <w:rPr>
          <w:rFonts w:hint="eastAsia" w:ascii="仿宋" w:hAnsi="仿宋" w:eastAsia="仿宋" w:cs="仿宋"/>
          <w:sz w:val="28"/>
          <w:szCs w:val="28"/>
          <w:lang w:val="en-US" w:eastAsia="zh-CN"/>
        </w:rPr>
        <w:t>4</w:t>
      </w:r>
      <w:r>
        <w:rPr>
          <w:rFonts w:hint="eastAsia" w:ascii="仿宋" w:hAnsi="仿宋" w:eastAsia="仿宋" w:cs="仿宋"/>
          <w:sz w:val="28"/>
          <w:szCs w:val="28"/>
        </w:rPr>
        <w:t>分，得分率100.00%。</w:t>
      </w:r>
    </w:p>
    <w:p>
      <w:pPr>
        <w:keepNext w:val="0"/>
        <w:keepLines w:val="0"/>
        <w:pageBreakBefore w:val="0"/>
        <w:kinsoku/>
        <w:wordWrap/>
        <w:overflowPunct/>
        <w:topLinePunct w:val="0"/>
        <w:autoSpaceDE/>
        <w:autoSpaceDN/>
        <w:bidi w:val="0"/>
        <w:adjustRightInd/>
        <w:snapToGrid/>
        <w:spacing w:line="240" w:lineRule="auto"/>
        <w:ind w:firstLine="280" w:firstLineChars="100"/>
        <w:outlineLvl w:val="1"/>
        <w:rPr>
          <w:rFonts w:hint="eastAsia" w:ascii="仿宋" w:hAnsi="仿宋" w:eastAsia="仿宋" w:cs="仿宋"/>
          <w:sz w:val="28"/>
          <w:szCs w:val="28"/>
        </w:rPr>
      </w:pPr>
      <w:bookmarkStart w:id="34" w:name="_Toc13789"/>
      <w:r>
        <w:rPr>
          <w:rFonts w:hint="eastAsia" w:ascii="仿宋" w:hAnsi="仿宋" w:eastAsia="仿宋" w:cs="仿宋"/>
          <w:sz w:val="28"/>
          <w:szCs w:val="28"/>
        </w:rPr>
        <w:t>（四）项目效益情况</w:t>
      </w:r>
      <w:bookmarkEnd w:id="34"/>
    </w:p>
    <w:p>
      <w:pPr>
        <w:keepNext w:val="0"/>
        <w:keepLines w:val="0"/>
        <w:pageBreakBefore w:val="0"/>
        <w:widowControl w:val="0"/>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项目效益的评价指标包括经济效益</w:t>
      </w:r>
      <w:r>
        <w:rPr>
          <w:rFonts w:hint="eastAsia" w:ascii="仿宋" w:hAnsi="仿宋" w:eastAsia="仿宋" w:cs="仿宋"/>
          <w:sz w:val="28"/>
          <w:szCs w:val="28"/>
          <w:lang w:eastAsia="zh-CN"/>
        </w:rPr>
        <w:t>、</w:t>
      </w:r>
      <w:r>
        <w:rPr>
          <w:rFonts w:hint="eastAsia" w:ascii="仿宋" w:hAnsi="仿宋" w:eastAsia="仿宋" w:cs="仿宋"/>
          <w:sz w:val="28"/>
          <w:szCs w:val="28"/>
        </w:rPr>
        <w:t>社会效益、可持续影响、满意度</w:t>
      </w:r>
      <w:r>
        <w:rPr>
          <w:rFonts w:hint="eastAsia" w:ascii="仿宋" w:hAnsi="仿宋" w:eastAsia="仿宋" w:cs="仿宋"/>
          <w:sz w:val="28"/>
          <w:szCs w:val="28"/>
          <w:lang w:val="en-US" w:eastAsia="zh-CN"/>
        </w:rPr>
        <w:t>四</w:t>
      </w:r>
      <w:r>
        <w:rPr>
          <w:rFonts w:hint="eastAsia" w:ascii="仿宋" w:hAnsi="仿宋" w:eastAsia="仿宋" w:cs="仿宋"/>
          <w:sz w:val="28"/>
          <w:szCs w:val="28"/>
        </w:rPr>
        <w:t>项二级指标，共涉及</w:t>
      </w:r>
      <w:r>
        <w:rPr>
          <w:rFonts w:hint="eastAsia" w:ascii="仿宋" w:hAnsi="仿宋" w:eastAsia="仿宋" w:cs="仿宋"/>
          <w:sz w:val="28"/>
          <w:szCs w:val="28"/>
          <w:lang w:val="en-US" w:eastAsia="zh-CN"/>
        </w:rPr>
        <w:t>春节期间稳定企业生产、留蚌员工数</w:t>
      </w:r>
      <w:r>
        <w:rPr>
          <w:rFonts w:hint="eastAsia" w:ascii="仿宋" w:hAnsi="仿宋" w:eastAsia="仿宋" w:cs="仿宋"/>
          <w:sz w:val="28"/>
          <w:szCs w:val="28"/>
        </w:rPr>
        <w:t>，支撑县域经济发展；营造美好、</w:t>
      </w:r>
      <w:r>
        <w:rPr>
          <w:rFonts w:hint="eastAsia" w:ascii="仿宋" w:hAnsi="仿宋" w:eastAsia="仿宋" w:cs="仿宋"/>
          <w:sz w:val="28"/>
          <w:szCs w:val="28"/>
          <w:lang w:val="en-US" w:eastAsia="zh-CN"/>
        </w:rPr>
        <w:t>生产有序</w:t>
      </w:r>
      <w:r>
        <w:rPr>
          <w:rFonts w:hint="eastAsia" w:ascii="仿宋" w:hAnsi="仿宋" w:eastAsia="仿宋" w:cs="仿宋"/>
          <w:sz w:val="28"/>
          <w:szCs w:val="28"/>
        </w:rPr>
        <w:t>、积极向上的</w:t>
      </w:r>
      <w:r>
        <w:rPr>
          <w:rFonts w:hint="eastAsia" w:ascii="仿宋" w:hAnsi="仿宋" w:eastAsia="仿宋" w:cs="仿宋"/>
          <w:sz w:val="28"/>
          <w:szCs w:val="28"/>
          <w:lang w:val="en-US" w:eastAsia="zh-CN"/>
        </w:rPr>
        <w:t>企业生产职工工作与生活的</w:t>
      </w:r>
      <w:r>
        <w:rPr>
          <w:rFonts w:hint="eastAsia" w:ascii="仿宋" w:hAnsi="仿宋" w:eastAsia="仿宋" w:cs="仿宋"/>
          <w:sz w:val="28"/>
          <w:szCs w:val="28"/>
        </w:rPr>
        <w:t>城市氛围；</w:t>
      </w:r>
      <w:r>
        <w:rPr>
          <w:rFonts w:hint="eastAsia" w:ascii="仿宋" w:hAnsi="仿宋" w:eastAsia="仿宋" w:cs="仿宋"/>
          <w:sz w:val="28"/>
          <w:szCs w:val="28"/>
          <w:lang w:val="en-US" w:eastAsia="zh-CN"/>
        </w:rPr>
        <w:t>促进地区经济发展与社会效益的影响程度</w:t>
      </w:r>
      <w:r>
        <w:rPr>
          <w:rFonts w:hint="eastAsia" w:ascii="仿宋" w:hAnsi="仿宋" w:eastAsia="仿宋" w:cs="仿宋"/>
          <w:sz w:val="28"/>
          <w:szCs w:val="28"/>
        </w:rPr>
        <w:t>；</w:t>
      </w:r>
      <w:r>
        <w:rPr>
          <w:rFonts w:hint="eastAsia" w:ascii="仿宋" w:hAnsi="仿宋" w:eastAsia="仿宋" w:cs="仿宋"/>
          <w:sz w:val="28"/>
          <w:szCs w:val="28"/>
          <w:lang w:val="en-US" w:eastAsia="zh-CN"/>
        </w:rPr>
        <w:t>对提升县城规模以上企业稳产留工的扶持影响及后期</w:t>
      </w:r>
      <w:r>
        <w:rPr>
          <w:rFonts w:hint="eastAsia" w:ascii="仿宋" w:hAnsi="仿宋" w:eastAsia="仿宋" w:cs="仿宋"/>
          <w:sz w:val="28"/>
          <w:szCs w:val="28"/>
        </w:rPr>
        <w:t>工作常态化及服务对象满意度</w:t>
      </w:r>
      <w:r>
        <w:rPr>
          <w:rFonts w:hint="eastAsia" w:ascii="仿宋" w:hAnsi="仿宋" w:eastAsia="仿宋" w:cs="仿宋"/>
          <w:sz w:val="28"/>
          <w:szCs w:val="28"/>
          <w:lang w:val="en-US" w:eastAsia="zh-CN"/>
        </w:rPr>
        <w:t>4</w:t>
      </w:r>
      <w:r>
        <w:rPr>
          <w:rFonts w:hint="eastAsia" w:ascii="仿宋" w:hAnsi="仿宋" w:eastAsia="仿宋" w:cs="仿宋"/>
          <w:sz w:val="28"/>
          <w:szCs w:val="28"/>
        </w:rPr>
        <w:t>个三级指标。“项目效益”总分</w:t>
      </w:r>
      <w:r>
        <w:rPr>
          <w:rFonts w:hint="eastAsia" w:ascii="仿宋" w:hAnsi="仿宋" w:eastAsia="仿宋" w:cs="仿宋"/>
          <w:sz w:val="28"/>
          <w:szCs w:val="28"/>
          <w:lang w:val="en-US" w:eastAsia="zh-CN"/>
        </w:rPr>
        <w:t>20</w:t>
      </w:r>
      <w:r>
        <w:rPr>
          <w:rFonts w:hint="eastAsia" w:ascii="仿宋" w:hAnsi="仿宋" w:eastAsia="仿宋" w:cs="仿宋"/>
          <w:sz w:val="28"/>
          <w:szCs w:val="28"/>
        </w:rPr>
        <w:t>分，得分</w:t>
      </w:r>
      <w:r>
        <w:rPr>
          <w:rFonts w:hint="eastAsia" w:ascii="仿宋" w:hAnsi="仿宋" w:eastAsia="仿宋" w:cs="仿宋"/>
          <w:sz w:val="28"/>
          <w:szCs w:val="28"/>
          <w:lang w:val="en-US" w:eastAsia="zh-CN"/>
        </w:rPr>
        <w:t>11</w:t>
      </w:r>
      <w:r>
        <w:rPr>
          <w:rFonts w:hint="eastAsia" w:ascii="仿宋" w:hAnsi="仿宋" w:eastAsia="仿宋" w:cs="仿宋"/>
          <w:sz w:val="28"/>
          <w:szCs w:val="28"/>
        </w:rPr>
        <w:t>分，得分率</w:t>
      </w:r>
      <w:r>
        <w:rPr>
          <w:rFonts w:hint="eastAsia" w:ascii="仿宋" w:hAnsi="仿宋" w:eastAsia="仿宋" w:cs="仿宋"/>
          <w:sz w:val="28"/>
          <w:szCs w:val="28"/>
          <w:lang w:val="en-US" w:eastAsia="zh-CN"/>
        </w:rPr>
        <w:t>55.00</w:t>
      </w:r>
      <w:r>
        <w:rPr>
          <w:rFonts w:hint="eastAsia" w:ascii="仿宋" w:hAnsi="仿宋" w:eastAsia="仿宋" w:cs="仿宋"/>
          <w:sz w:val="28"/>
          <w:szCs w:val="28"/>
        </w:rPr>
        <w:t>%。</w:t>
      </w:r>
    </w:p>
    <w:p>
      <w:pPr>
        <w:keepNext w:val="0"/>
        <w:keepLines w:val="0"/>
        <w:pageBreakBefore w:val="0"/>
        <w:kinsoku/>
        <w:wordWrap/>
        <w:overflowPunct/>
        <w:topLinePunct w:val="0"/>
        <w:autoSpaceDE/>
        <w:autoSpaceDN/>
        <w:bidi w:val="0"/>
        <w:adjustRightInd/>
        <w:snapToGrid/>
        <w:spacing w:line="240" w:lineRule="auto"/>
        <w:ind w:left="-210" w:leftChars="-100" w:firstLine="2530" w:firstLineChars="900"/>
        <w:rPr>
          <w:rFonts w:hint="eastAsia" w:ascii="仿宋" w:hAnsi="仿宋" w:eastAsia="仿宋" w:cs="仿宋"/>
          <w:b/>
          <w:bCs/>
          <w:sz w:val="28"/>
          <w:szCs w:val="28"/>
        </w:rPr>
      </w:pPr>
      <w:r>
        <w:rPr>
          <w:rFonts w:hint="eastAsia" w:ascii="仿宋" w:hAnsi="仿宋" w:eastAsia="仿宋" w:cs="仿宋"/>
          <w:b/>
          <w:bCs/>
          <w:sz w:val="28"/>
          <w:szCs w:val="28"/>
        </w:rPr>
        <w:t xml:space="preserve"> </w:t>
      </w:r>
      <w:r>
        <w:rPr>
          <w:rFonts w:hint="eastAsia" w:ascii="仿宋" w:hAnsi="仿宋" w:eastAsia="仿宋" w:cs="仿宋"/>
          <w:b/>
          <w:bCs/>
          <w:sz w:val="28"/>
          <w:szCs w:val="28"/>
          <w:lang w:val="en-US" w:eastAsia="zh-CN"/>
        </w:rPr>
        <w:t>效益</w:t>
      </w:r>
      <w:r>
        <w:rPr>
          <w:rFonts w:hint="eastAsia" w:ascii="仿宋" w:hAnsi="仿宋" w:eastAsia="仿宋" w:cs="仿宋"/>
          <w:b/>
          <w:bCs/>
          <w:sz w:val="28"/>
          <w:szCs w:val="28"/>
        </w:rPr>
        <w:t>类指标评分情况</w:t>
      </w:r>
    </w:p>
    <w:tbl>
      <w:tblPr>
        <w:tblStyle w:val="6"/>
        <w:tblW w:w="5099" w:type="pct"/>
        <w:jc w:val="center"/>
        <w:tblLayout w:type="autofit"/>
        <w:tblCellMar>
          <w:top w:w="0" w:type="dxa"/>
          <w:left w:w="0" w:type="dxa"/>
          <w:bottom w:w="0" w:type="dxa"/>
          <w:right w:w="0" w:type="dxa"/>
        </w:tblCellMar>
      </w:tblPr>
      <w:tblGrid>
        <w:gridCol w:w="879"/>
        <w:gridCol w:w="781"/>
        <w:gridCol w:w="1980"/>
        <w:gridCol w:w="2582"/>
        <w:gridCol w:w="1789"/>
        <w:gridCol w:w="680"/>
      </w:tblGrid>
      <w:tr>
        <w:tblPrEx>
          <w:tblCellMar>
            <w:top w:w="0" w:type="dxa"/>
            <w:left w:w="0" w:type="dxa"/>
            <w:bottom w:w="0" w:type="dxa"/>
            <w:right w:w="0" w:type="dxa"/>
          </w:tblCellMar>
        </w:tblPrEx>
        <w:trPr>
          <w:trHeight w:val="692" w:hRule="atLeast"/>
          <w:jc w:val="center"/>
        </w:trPr>
        <w:tc>
          <w:tcPr>
            <w:tcW w:w="506" w:type="pct"/>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一级指标</w:t>
            </w:r>
          </w:p>
        </w:tc>
        <w:tc>
          <w:tcPr>
            <w:tcW w:w="449"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二级指标</w:t>
            </w:r>
          </w:p>
        </w:tc>
        <w:tc>
          <w:tcPr>
            <w:tcW w:w="1139"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三级指标</w:t>
            </w:r>
          </w:p>
        </w:tc>
        <w:tc>
          <w:tcPr>
            <w:tcW w:w="1485"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指标内容</w:t>
            </w:r>
          </w:p>
        </w:tc>
        <w:tc>
          <w:tcPr>
            <w:tcW w:w="1027"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lang w:val="en-US" w:eastAsia="zh-CN"/>
              </w:rPr>
              <w:t>评价情况</w:t>
            </w:r>
          </w:p>
        </w:tc>
        <w:tc>
          <w:tcPr>
            <w:tcW w:w="391"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分值</w:t>
            </w:r>
          </w:p>
        </w:tc>
      </w:tr>
      <w:tr>
        <w:tblPrEx>
          <w:tblCellMar>
            <w:top w:w="0" w:type="dxa"/>
            <w:left w:w="0" w:type="dxa"/>
            <w:bottom w:w="0" w:type="dxa"/>
            <w:right w:w="0" w:type="dxa"/>
          </w:tblCellMar>
        </w:tblPrEx>
        <w:trPr>
          <w:trHeight w:val="1137" w:hRule="atLeast"/>
          <w:jc w:val="center"/>
        </w:trPr>
        <w:tc>
          <w:tcPr>
            <w:tcW w:w="506" w:type="pct"/>
            <w:vMerge w:val="restart"/>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效益指标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20分</w:t>
            </w:r>
            <w:r>
              <w:rPr>
                <w:rFonts w:hint="eastAsia" w:ascii="仿宋" w:hAnsi="仿宋" w:eastAsia="仿宋" w:cs="仿宋"/>
                <w:color w:val="000000"/>
                <w:kern w:val="0"/>
                <w:sz w:val="24"/>
                <w:szCs w:val="24"/>
                <w:lang w:eastAsia="zh-CN"/>
              </w:rPr>
              <w:t>）</w:t>
            </w:r>
          </w:p>
        </w:tc>
        <w:tc>
          <w:tcPr>
            <w:tcW w:w="449" w:type="pct"/>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经济效益</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13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rPr>
              <w:t>对促进地区经济发展的影响程度</w:t>
            </w:r>
          </w:p>
        </w:tc>
        <w:tc>
          <w:tcPr>
            <w:tcW w:w="1485"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lang w:val="en-US" w:eastAsia="zh-CN"/>
              </w:rPr>
              <w:t>2022年第一季度营业收入较去年同期增长10%及以上</w:t>
            </w:r>
          </w:p>
        </w:tc>
        <w:tc>
          <w:tcPr>
            <w:tcW w:w="102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经筛选共有116家企业达到或超过10%的，但未能体现对当地经济增长影响程度。标准得2.5分</w:t>
            </w:r>
          </w:p>
        </w:tc>
        <w:tc>
          <w:tcPr>
            <w:tcW w:w="39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2.5</w:t>
            </w:r>
          </w:p>
        </w:tc>
      </w:tr>
      <w:tr>
        <w:tblPrEx>
          <w:tblCellMar>
            <w:top w:w="0" w:type="dxa"/>
            <w:left w:w="0" w:type="dxa"/>
            <w:bottom w:w="0" w:type="dxa"/>
            <w:right w:w="0" w:type="dxa"/>
          </w:tblCellMar>
        </w:tblPrEx>
        <w:trPr>
          <w:trHeight w:val="1137" w:hRule="atLeast"/>
          <w:jc w:val="center"/>
        </w:trPr>
        <w:tc>
          <w:tcPr>
            <w:tcW w:w="506"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449" w:type="pct"/>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社会效益</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13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rPr>
              <w:t>对促进地区</w:t>
            </w:r>
            <w:r>
              <w:rPr>
                <w:rFonts w:hint="eastAsia" w:ascii="仿宋" w:hAnsi="仿宋" w:eastAsia="仿宋" w:cs="仿宋"/>
                <w:color w:val="000000"/>
                <w:kern w:val="0"/>
                <w:sz w:val="24"/>
                <w:szCs w:val="24"/>
                <w:lang w:val="en-US" w:eastAsia="zh-CN"/>
              </w:rPr>
              <w:t>社会效益</w:t>
            </w:r>
            <w:r>
              <w:rPr>
                <w:rFonts w:hint="eastAsia" w:ascii="仿宋" w:hAnsi="仿宋" w:eastAsia="仿宋" w:cs="仿宋"/>
                <w:color w:val="000000"/>
                <w:kern w:val="0"/>
                <w:sz w:val="24"/>
                <w:szCs w:val="24"/>
              </w:rPr>
              <w:t>的影响程度</w:t>
            </w:r>
          </w:p>
        </w:tc>
        <w:tc>
          <w:tcPr>
            <w:tcW w:w="1485"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通过</w:t>
            </w:r>
            <w:r>
              <w:rPr>
                <w:rFonts w:hint="eastAsia" w:ascii="仿宋" w:hAnsi="仿宋" w:eastAsia="仿宋" w:cs="仿宋"/>
                <w:color w:val="000000"/>
                <w:kern w:val="0"/>
                <w:sz w:val="24"/>
                <w:szCs w:val="24"/>
                <w:lang w:val="en-US" w:eastAsia="zh-CN"/>
              </w:rPr>
              <w:t>项目实施，鼓励营造和支持企业稳产留工的社会氛围</w:t>
            </w:r>
          </w:p>
        </w:tc>
        <w:tc>
          <w:tcPr>
            <w:tcW w:w="102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kern w:val="0"/>
                <w:sz w:val="24"/>
                <w:szCs w:val="24"/>
                <w:lang w:val="en-US"/>
              </w:rPr>
            </w:pPr>
            <w:r>
              <w:rPr>
                <w:rFonts w:hint="eastAsia" w:ascii="仿宋" w:hAnsi="仿宋" w:eastAsia="仿宋" w:cs="仿宋"/>
                <w:color w:val="000000"/>
                <w:kern w:val="0"/>
                <w:sz w:val="24"/>
                <w:szCs w:val="24"/>
                <w:lang w:val="en-US" w:eastAsia="zh-CN"/>
              </w:rPr>
              <w:t>通过四送一服、走访调研等形式，达到了预期效果得3分</w:t>
            </w:r>
          </w:p>
        </w:tc>
        <w:tc>
          <w:tcPr>
            <w:tcW w:w="39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3</w:t>
            </w:r>
          </w:p>
        </w:tc>
      </w:tr>
      <w:tr>
        <w:tblPrEx>
          <w:tblCellMar>
            <w:top w:w="0" w:type="dxa"/>
            <w:left w:w="0" w:type="dxa"/>
            <w:bottom w:w="0" w:type="dxa"/>
            <w:right w:w="0" w:type="dxa"/>
          </w:tblCellMar>
        </w:tblPrEx>
        <w:trPr>
          <w:trHeight w:val="1560" w:hRule="atLeast"/>
          <w:jc w:val="center"/>
        </w:trPr>
        <w:tc>
          <w:tcPr>
            <w:tcW w:w="506"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449" w:type="pct"/>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可持续影响指标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13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对提升</w:t>
            </w:r>
            <w:r>
              <w:rPr>
                <w:rFonts w:hint="eastAsia" w:ascii="仿宋" w:hAnsi="仿宋" w:eastAsia="仿宋" w:cs="仿宋"/>
                <w:color w:val="000000"/>
                <w:kern w:val="0"/>
                <w:sz w:val="24"/>
                <w:szCs w:val="24"/>
                <w:lang w:val="en-US" w:eastAsia="zh-CN"/>
              </w:rPr>
              <w:t>县城规模以上企业稳产留工</w:t>
            </w:r>
            <w:r>
              <w:rPr>
                <w:rFonts w:hint="eastAsia" w:ascii="仿宋" w:hAnsi="仿宋" w:eastAsia="仿宋" w:cs="仿宋"/>
                <w:color w:val="000000"/>
                <w:kern w:val="0"/>
                <w:sz w:val="24"/>
                <w:szCs w:val="24"/>
              </w:rPr>
              <w:t>的持续影响程度</w:t>
            </w:r>
          </w:p>
        </w:tc>
        <w:tc>
          <w:tcPr>
            <w:tcW w:w="1485"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持续引导和推荐企业生产有序，务工人员就业稳定。</w:t>
            </w:r>
          </w:p>
        </w:tc>
        <w:tc>
          <w:tcPr>
            <w:tcW w:w="102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通过奖补政策的推广，对企业生产和员工就业稳定起到了很好的推动效应，得3分</w:t>
            </w:r>
          </w:p>
        </w:tc>
        <w:tc>
          <w:tcPr>
            <w:tcW w:w="39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3</w:t>
            </w:r>
          </w:p>
        </w:tc>
      </w:tr>
      <w:tr>
        <w:tblPrEx>
          <w:tblCellMar>
            <w:top w:w="0" w:type="dxa"/>
            <w:left w:w="0" w:type="dxa"/>
            <w:bottom w:w="0" w:type="dxa"/>
            <w:right w:w="0" w:type="dxa"/>
          </w:tblCellMar>
        </w:tblPrEx>
        <w:trPr>
          <w:trHeight w:val="1137" w:hRule="atLeast"/>
          <w:jc w:val="center"/>
        </w:trPr>
        <w:tc>
          <w:tcPr>
            <w:tcW w:w="506"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left"/>
              <w:textAlignment w:val="auto"/>
              <w:rPr>
                <w:rFonts w:hint="eastAsia" w:ascii="仿宋" w:hAnsi="仿宋" w:eastAsia="仿宋" w:cs="仿宋"/>
                <w:kern w:val="0"/>
                <w:sz w:val="24"/>
                <w:szCs w:val="24"/>
              </w:rPr>
            </w:pPr>
          </w:p>
        </w:tc>
        <w:tc>
          <w:tcPr>
            <w:tcW w:w="449" w:type="pct"/>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满意度</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13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公众满意度</w:t>
            </w:r>
          </w:p>
        </w:tc>
        <w:tc>
          <w:tcPr>
            <w:tcW w:w="1485"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社会公众或服务对象对项目实施效果的满意程度。</w:t>
            </w:r>
          </w:p>
        </w:tc>
        <w:tc>
          <w:tcPr>
            <w:tcW w:w="102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105" w:leftChars="-50"/>
              <w:jc w:val="center"/>
              <w:textAlignment w:val="auto"/>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小于80%大于70</w:t>
            </w:r>
            <w:r>
              <w:rPr>
                <w:rFonts w:hint="eastAsia" w:ascii="仿宋" w:hAnsi="仿宋" w:eastAsia="仿宋" w:cs="仿宋"/>
                <w:color w:val="000000"/>
                <w:kern w:val="0"/>
                <w:sz w:val="24"/>
                <w:szCs w:val="24"/>
              </w:rPr>
              <w:t>%</w:t>
            </w:r>
            <w:r>
              <w:rPr>
                <w:rFonts w:hint="eastAsia" w:ascii="仿宋" w:hAnsi="仿宋" w:eastAsia="仿宋" w:cs="仿宋"/>
                <w:color w:val="000000"/>
                <w:kern w:val="0"/>
                <w:sz w:val="24"/>
                <w:szCs w:val="24"/>
                <w:lang w:val="en-US" w:eastAsia="zh-CN"/>
              </w:rPr>
              <w:t>扣2.5分</w:t>
            </w:r>
          </w:p>
        </w:tc>
        <w:tc>
          <w:tcPr>
            <w:tcW w:w="39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2.5</w:t>
            </w:r>
          </w:p>
        </w:tc>
      </w:tr>
      <w:tr>
        <w:tblPrEx>
          <w:tblCellMar>
            <w:top w:w="0" w:type="dxa"/>
            <w:left w:w="0" w:type="dxa"/>
            <w:bottom w:w="0" w:type="dxa"/>
            <w:right w:w="0" w:type="dxa"/>
          </w:tblCellMar>
        </w:tblPrEx>
        <w:trPr>
          <w:trHeight w:val="672" w:hRule="atLeast"/>
          <w:jc w:val="center"/>
        </w:trPr>
        <w:tc>
          <w:tcPr>
            <w:tcW w:w="4608" w:type="pct"/>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小计</w:t>
            </w:r>
          </w:p>
        </w:tc>
        <w:tc>
          <w:tcPr>
            <w:tcW w:w="39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jc w:val="center"/>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11</w:t>
            </w:r>
          </w:p>
        </w:tc>
      </w:tr>
    </w:tbl>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color w:val="000000"/>
          <w:kern w:val="0"/>
          <w:sz w:val="28"/>
          <w:szCs w:val="28"/>
        </w:rPr>
        <w:t>促进地区经济发展的影响程度</w:t>
      </w:r>
      <w:r>
        <w:rPr>
          <w:rFonts w:hint="eastAsia" w:ascii="仿宋" w:hAnsi="仿宋" w:eastAsia="仿宋" w:cs="仿宋"/>
          <w:sz w:val="28"/>
          <w:szCs w:val="28"/>
        </w:rPr>
        <w:t>，支撑县域经济发展</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指标解释：项目实施对经济发展所带来的直接或间接影响情况。</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评分情况：通过</w:t>
      </w:r>
      <w:r>
        <w:rPr>
          <w:rFonts w:hint="eastAsia" w:ascii="仿宋" w:hAnsi="仿宋" w:eastAsia="仿宋" w:cs="仿宋"/>
          <w:sz w:val="28"/>
          <w:szCs w:val="28"/>
          <w:lang w:val="en-US" w:eastAsia="zh-CN"/>
        </w:rPr>
        <w:t>项目实施</w:t>
      </w:r>
      <w:r>
        <w:rPr>
          <w:rFonts w:hint="eastAsia" w:ascii="仿宋" w:hAnsi="仿宋" w:eastAsia="仿宋" w:cs="仿宋"/>
          <w:color w:val="000000"/>
          <w:kern w:val="0"/>
          <w:sz w:val="28"/>
          <w:szCs w:val="28"/>
          <w:lang w:val="en-US" w:eastAsia="zh-CN"/>
        </w:rPr>
        <w:t>2022年第一季度营业收入较去年同期增长10%及以上的企业</w:t>
      </w:r>
      <w:r>
        <w:rPr>
          <w:rFonts w:hint="eastAsia" w:ascii="仿宋" w:hAnsi="仿宋" w:eastAsia="仿宋" w:cs="仿宋"/>
          <w:sz w:val="28"/>
          <w:szCs w:val="28"/>
          <w:lang w:val="en-US" w:eastAsia="zh-CN"/>
        </w:rPr>
        <w:t>，</w:t>
      </w:r>
      <w:r>
        <w:rPr>
          <w:rFonts w:hint="eastAsia" w:ascii="仿宋" w:hAnsi="仿宋" w:eastAsia="仿宋" w:cs="仿宋"/>
          <w:color w:val="000000"/>
          <w:kern w:val="0"/>
          <w:sz w:val="28"/>
          <w:szCs w:val="28"/>
          <w:lang w:val="en-US" w:eastAsia="zh-CN"/>
        </w:rPr>
        <w:t>共有116家企业，符合留蚌的职工有176名</w:t>
      </w:r>
      <w:r>
        <w:rPr>
          <w:rFonts w:hint="eastAsia" w:ascii="仿宋" w:hAnsi="仿宋" w:eastAsia="仿宋" w:cs="仿宋"/>
          <w:sz w:val="28"/>
          <w:szCs w:val="28"/>
        </w:rPr>
        <w:t>，</w:t>
      </w:r>
      <w:r>
        <w:rPr>
          <w:rFonts w:hint="eastAsia" w:ascii="仿宋" w:hAnsi="仿宋" w:eastAsia="仿宋" w:cs="仿宋"/>
          <w:sz w:val="28"/>
          <w:szCs w:val="28"/>
          <w:lang w:val="en-US" w:eastAsia="zh-CN"/>
        </w:rPr>
        <w:t>但未能体现对当地经济增长影响程度。</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该指标满分</w:t>
      </w:r>
      <w:r>
        <w:rPr>
          <w:rFonts w:hint="eastAsia" w:ascii="仿宋" w:hAnsi="仿宋" w:eastAsia="仿宋" w:cs="仿宋"/>
          <w:sz w:val="28"/>
          <w:szCs w:val="28"/>
          <w:lang w:val="en-US" w:eastAsia="zh-CN"/>
        </w:rPr>
        <w:t>5</w:t>
      </w:r>
      <w:r>
        <w:rPr>
          <w:rFonts w:hint="eastAsia" w:ascii="仿宋" w:hAnsi="仿宋" w:eastAsia="仿宋" w:cs="仿宋"/>
          <w:sz w:val="28"/>
          <w:szCs w:val="28"/>
        </w:rPr>
        <w:t>分，得分</w:t>
      </w:r>
      <w:r>
        <w:rPr>
          <w:rFonts w:hint="eastAsia" w:ascii="仿宋" w:hAnsi="仿宋" w:eastAsia="仿宋" w:cs="仿宋"/>
          <w:sz w:val="28"/>
          <w:szCs w:val="28"/>
          <w:lang w:val="en-US" w:eastAsia="zh-CN"/>
        </w:rPr>
        <w:t>2.5</w:t>
      </w:r>
      <w:r>
        <w:rPr>
          <w:rFonts w:hint="eastAsia" w:ascii="仿宋" w:hAnsi="仿宋" w:eastAsia="仿宋" w:cs="仿宋"/>
          <w:sz w:val="28"/>
          <w:szCs w:val="28"/>
        </w:rPr>
        <w:t>分，得分率</w:t>
      </w:r>
      <w:r>
        <w:rPr>
          <w:rFonts w:hint="eastAsia" w:ascii="仿宋" w:hAnsi="仿宋" w:eastAsia="仿宋" w:cs="仿宋"/>
          <w:sz w:val="28"/>
          <w:szCs w:val="28"/>
          <w:lang w:val="en-US" w:eastAsia="zh-CN"/>
        </w:rPr>
        <w:t>50.00</w:t>
      </w:r>
      <w:r>
        <w:rPr>
          <w:rFonts w:hint="eastAsia" w:ascii="仿宋" w:hAnsi="仿宋" w:eastAsia="仿宋" w:cs="仿宋"/>
          <w:sz w:val="28"/>
          <w:szCs w:val="28"/>
        </w:rPr>
        <w:t>%。</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sz w:val="28"/>
          <w:szCs w:val="28"/>
          <w:lang w:val="en-US" w:eastAsia="zh-CN"/>
        </w:rPr>
        <w:t>2.</w:t>
      </w:r>
      <w:r>
        <w:rPr>
          <w:rFonts w:hint="eastAsia" w:ascii="仿宋" w:hAnsi="仿宋" w:eastAsia="仿宋" w:cs="仿宋"/>
          <w:color w:val="000000"/>
          <w:kern w:val="0"/>
          <w:sz w:val="28"/>
          <w:szCs w:val="28"/>
          <w:lang w:val="en-US" w:eastAsia="zh-CN"/>
        </w:rPr>
        <w:t>对</w:t>
      </w:r>
      <w:r>
        <w:rPr>
          <w:rFonts w:hint="eastAsia" w:ascii="仿宋" w:hAnsi="仿宋" w:eastAsia="仿宋" w:cs="仿宋"/>
          <w:color w:val="000000"/>
          <w:kern w:val="0"/>
          <w:sz w:val="28"/>
          <w:szCs w:val="28"/>
        </w:rPr>
        <w:t>促进地区</w:t>
      </w:r>
      <w:r>
        <w:rPr>
          <w:rFonts w:hint="eastAsia" w:ascii="仿宋" w:hAnsi="仿宋" w:eastAsia="仿宋" w:cs="仿宋"/>
          <w:color w:val="000000"/>
          <w:kern w:val="0"/>
          <w:sz w:val="28"/>
          <w:szCs w:val="28"/>
          <w:lang w:val="en-US" w:eastAsia="zh-CN"/>
        </w:rPr>
        <w:t>社会效益</w:t>
      </w:r>
      <w:r>
        <w:rPr>
          <w:rFonts w:hint="eastAsia" w:ascii="仿宋" w:hAnsi="仿宋" w:eastAsia="仿宋" w:cs="仿宋"/>
          <w:color w:val="000000"/>
          <w:kern w:val="0"/>
          <w:sz w:val="28"/>
          <w:szCs w:val="28"/>
        </w:rPr>
        <w:t>的影响程度</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指标解释：项目实施对社会发展所带来的直接或间接影响情况。</w:t>
      </w:r>
    </w:p>
    <w:p>
      <w:pPr>
        <w:keepNext w:val="0"/>
        <w:keepLines w:val="0"/>
        <w:pageBreakBefore w:val="0"/>
        <w:kinsoku/>
        <w:wordWrap/>
        <w:overflowPunct/>
        <w:topLinePunct w:val="0"/>
        <w:autoSpaceDE/>
        <w:autoSpaceDN/>
        <w:bidi w:val="0"/>
        <w:adjustRightInd/>
        <w:snapToGrid/>
        <w:spacing w:line="240" w:lineRule="auto"/>
        <w:ind w:left="-210" w:leftChars="-100" w:firstLine="280" w:firstLineChars="100"/>
        <w:rPr>
          <w:rFonts w:hint="default" w:ascii="仿宋" w:hAnsi="仿宋" w:eastAsia="仿宋" w:cs="仿宋"/>
          <w:sz w:val="28"/>
          <w:szCs w:val="28"/>
          <w:lang w:val="en-US" w:eastAsia="zh-CN"/>
        </w:rPr>
      </w:pPr>
      <w:r>
        <w:rPr>
          <w:rFonts w:hint="eastAsia" w:ascii="仿宋" w:hAnsi="仿宋" w:eastAsia="仿宋" w:cs="仿宋"/>
          <w:sz w:val="28"/>
          <w:szCs w:val="28"/>
        </w:rPr>
        <w:t>评分情况：</w:t>
      </w:r>
      <w:r>
        <w:rPr>
          <w:rFonts w:hint="eastAsia" w:ascii="仿宋" w:hAnsi="仿宋" w:eastAsia="仿宋" w:cs="仿宋"/>
          <w:color w:val="000000"/>
          <w:kern w:val="0"/>
          <w:sz w:val="28"/>
          <w:szCs w:val="28"/>
        </w:rPr>
        <w:t>通过</w:t>
      </w:r>
      <w:r>
        <w:rPr>
          <w:rFonts w:hint="eastAsia" w:ascii="仿宋" w:hAnsi="仿宋" w:eastAsia="仿宋" w:cs="仿宋"/>
          <w:color w:val="000000"/>
          <w:kern w:val="0"/>
          <w:sz w:val="28"/>
          <w:szCs w:val="28"/>
          <w:lang w:val="en-US" w:eastAsia="zh-CN"/>
        </w:rPr>
        <w:t>项目实施，鼓励营造和支持企业稳产留工的社 氛围，通过四送一服、走访调研等形式，达到了预期效果</w:t>
      </w:r>
      <w:r>
        <w:rPr>
          <w:rFonts w:hint="eastAsia" w:ascii="仿宋" w:hAnsi="仿宋" w:eastAsia="仿宋" w:cs="仿宋"/>
          <w:sz w:val="28"/>
          <w:szCs w:val="28"/>
          <w:lang w:val="en-US" w:eastAsia="zh-CN"/>
        </w:rPr>
        <w:t>。对企业稳定生产，保障员工生产有序起到一定的作用，重点项目不停工的良好生产秩序。但无法反应对促进地区社会效益影响程度。</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该指标满分</w:t>
      </w:r>
      <w:r>
        <w:rPr>
          <w:rFonts w:hint="eastAsia" w:ascii="仿宋" w:hAnsi="仿宋" w:eastAsia="仿宋" w:cs="仿宋"/>
          <w:sz w:val="28"/>
          <w:szCs w:val="28"/>
          <w:lang w:val="en-US" w:eastAsia="zh-CN"/>
        </w:rPr>
        <w:t>5</w:t>
      </w:r>
      <w:r>
        <w:rPr>
          <w:rFonts w:hint="eastAsia" w:ascii="仿宋" w:hAnsi="仿宋" w:eastAsia="仿宋" w:cs="仿宋"/>
          <w:sz w:val="28"/>
          <w:szCs w:val="28"/>
        </w:rPr>
        <w:t>分，得</w:t>
      </w:r>
      <w:r>
        <w:rPr>
          <w:rFonts w:hint="eastAsia" w:ascii="仿宋" w:hAnsi="仿宋" w:eastAsia="仿宋" w:cs="仿宋"/>
          <w:sz w:val="28"/>
          <w:szCs w:val="28"/>
          <w:lang w:val="en-US" w:eastAsia="zh-CN"/>
        </w:rPr>
        <w:t>3</w:t>
      </w:r>
      <w:r>
        <w:rPr>
          <w:rFonts w:hint="eastAsia" w:ascii="仿宋" w:hAnsi="仿宋" w:eastAsia="仿宋" w:cs="仿宋"/>
          <w:sz w:val="28"/>
          <w:szCs w:val="28"/>
        </w:rPr>
        <w:t>分，得分率</w:t>
      </w:r>
      <w:r>
        <w:rPr>
          <w:rFonts w:hint="eastAsia" w:ascii="仿宋" w:hAnsi="仿宋" w:eastAsia="仿宋" w:cs="仿宋"/>
          <w:sz w:val="28"/>
          <w:szCs w:val="28"/>
          <w:lang w:val="en-US" w:eastAsia="zh-CN"/>
        </w:rPr>
        <w:t>60.00</w:t>
      </w:r>
      <w:r>
        <w:rPr>
          <w:rFonts w:hint="eastAsia" w:ascii="仿宋" w:hAnsi="仿宋" w:eastAsia="仿宋" w:cs="仿宋"/>
          <w:sz w:val="28"/>
          <w:szCs w:val="28"/>
        </w:rPr>
        <w:t>%。</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3.</w:t>
      </w:r>
      <w:r>
        <w:rPr>
          <w:rFonts w:hint="eastAsia" w:ascii="仿宋" w:hAnsi="仿宋" w:eastAsia="仿宋" w:cs="仿宋"/>
          <w:color w:val="000000"/>
          <w:kern w:val="0"/>
          <w:sz w:val="28"/>
          <w:szCs w:val="28"/>
        </w:rPr>
        <w:t>对提升</w:t>
      </w:r>
      <w:r>
        <w:rPr>
          <w:rFonts w:hint="eastAsia" w:ascii="仿宋" w:hAnsi="仿宋" w:eastAsia="仿宋" w:cs="仿宋"/>
          <w:color w:val="000000"/>
          <w:kern w:val="0"/>
          <w:sz w:val="28"/>
          <w:szCs w:val="28"/>
          <w:lang w:val="en-US" w:eastAsia="zh-CN"/>
        </w:rPr>
        <w:t>县城规模以上企业稳产留工</w:t>
      </w:r>
      <w:r>
        <w:rPr>
          <w:rFonts w:hint="eastAsia" w:ascii="仿宋" w:hAnsi="仿宋" w:eastAsia="仿宋" w:cs="仿宋"/>
          <w:color w:val="000000"/>
          <w:kern w:val="0"/>
          <w:sz w:val="28"/>
          <w:szCs w:val="28"/>
        </w:rPr>
        <w:t>的持续影响程度</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rPr>
          <w:rFonts w:hint="eastAsia" w:ascii="仿宋" w:hAnsi="仿宋" w:eastAsia="仿宋" w:cs="仿宋"/>
          <w:sz w:val="28"/>
          <w:szCs w:val="28"/>
        </w:rPr>
      </w:pPr>
      <w:r>
        <w:rPr>
          <w:rFonts w:hint="eastAsia" w:ascii="仿宋" w:hAnsi="仿宋" w:eastAsia="仿宋" w:cs="仿宋"/>
          <w:sz w:val="28"/>
          <w:szCs w:val="28"/>
        </w:rPr>
        <w:t>指标解释：项目实施</w:t>
      </w:r>
      <w:r>
        <w:rPr>
          <w:rFonts w:hint="eastAsia" w:ascii="仿宋" w:hAnsi="仿宋" w:eastAsia="仿宋" w:cs="仿宋"/>
          <w:sz w:val="28"/>
          <w:szCs w:val="28"/>
          <w:lang w:val="en-US" w:eastAsia="zh-CN"/>
        </w:rPr>
        <w:t>后期产生的可持续性影响</w:t>
      </w:r>
      <w:r>
        <w:rPr>
          <w:rFonts w:hint="eastAsia" w:ascii="仿宋" w:hAnsi="仿宋" w:eastAsia="仿宋" w:cs="仿宋"/>
          <w:sz w:val="28"/>
          <w:szCs w:val="28"/>
        </w:rPr>
        <w:t>所带来的直接或间</w:t>
      </w:r>
    </w:p>
    <w:p>
      <w:pPr>
        <w:keepNext w:val="0"/>
        <w:keepLines w:val="0"/>
        <w:pageBreakBefore w:val="0"/>
        <w:numPr>
          <w:ilvl w:val="0"/>
          <w:numId w:val="0"/>
        </w:numPr>
        <w:kinsoku/>
        <w:wordWrap/>
        <w:overflowPunct/>
        <w:topLinePunct w:val="0"/>
        <w:autoSpaceDE/>
        <w:autoSpaceDN/>
        <w:bidi w:val="0"/>
        <w:adjustRightInd/>
        <w:snapToGrid/>
        <w:spacing w:line="240" w:lineRule="auto"/>
        <w:ind w:left="-210" w:leftChars="-100"/>
        <w:rPr>
          <w:rFonts w:hint="eastAsia" w:ascii="仿宋" w:hAnsi="仿宋" w:eastAsia="仿宋" w:cs="仿宋"/>
          <w:sz w:val="28"/>
          <w:szCs w:val="28"/>
        </w:rPr>
      </w:pPr>
      <w:r>
        <w:rPr>
          <w:rFonts w:hint="eastAsia" w:ascii="仿宋" w:hAnsi="仿宋" w:eastAsia="仿宋" w:cs="仿宋"/>
          <w:sz w:val="28"/>
          <w:szCs w:val="28"/>
        </w:rPr>
        <w:t>接影响情况。</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color w:val="000000"/>
          <w:kern w:val="0"/>
          <w:sz w:val="28"/>
          <w:szCs w:val="28"/>
          <w:lang w:val="en-US" w:eastAsia="zh-CN"/>
        </w:rPr>
      </w:pPr>
      <w:r>
        <w:rPr>
          <w:rFonts w:hint="eastAsia" w:ascii="仿宋" w:hAnsi="仿宋" w:eastAsia="仿宋" w:cs="仿宋"/>
          <w:sz w:val="28"/>
          <w:szCs w:val="28"/>
        </w:rPr>
        <w:t>评分情况：</w:t>
      </w:r>
      <w:r>
        <w:rPr>
          <w:rFonts w:hint="eastAsia" w:ascii="仿宋" w:hAnsi="仿宋" w:eastAsia="仿宋" w:cs="仿宋"/>
          <w:sz w:val="28"/>
          <w:szCs w:val="28"/>
          <w:lang w:val="en-US" w:eastAsia="zh-CN"/>
        </w:rPr>
        <w:t>政</w:t>
      </w:r>
      <w:r>
        <w:rPr>
          <w:rFonts w:hint="eastAsia" w:ascii="仿宋" w:hAnsi="仿宋" w:eastAsia="仿宋" w:cs="仿宋"/>
          <w:color w:val="000000"/>
          <w:kern w:val="0"/>
          <w:sz w:val="28"/>
          <w:szCs w:val="28"/>
          <w:lang w:val="en-US" w:eastAsia="zh-CN"/>
        </w:rPr>
        <w:t>策的推广，对企业生产和员工就业稳定起到了一定的推动效应，因是临时性政策，无法准确反应持续影响程度。</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该指标满分</w:t>
      </w:r>
      <w:r>
        <w:rPr>
          <w:rFonts w:hint="eastAsia" w:ascii="仿宋" w:hAnsi="仿宋" w:eastAsia="仿宋" w:cs="仿宋"/>
          <w:sz w:val="28"/>
          <w:szCs w:val="28"/>
          <w:lang w:val="en-US" w:eastAsia="zh-CN"/>
        </w:rPr>
        <w:t>5</w:t>
      </w:r>
      <w:r>
        <w:rPr>
          <w:rFonts w:hint="eastAsia" w:ascii="仿宋" w:hAnsi="仿宋" w:eastAsia="仿宋" w:cs="仿宋"/>
          <w:sz w:val="28"/>
          <w:szCs w:val="28"/>
        </w:rPr>
        <w:t>分，得分</w:t>
      </w:r>
      <w:r>
        <w:rPr>
          <w:rFonts w:hint="eastAsia" w:ascii="仿宋" w:hAnsi="仿宋" w:eastAsia="仿宋" w:cs="仿宋"/>
          <w:sz w:val="28"/>
          <w:szCs w:val="28"/>
          <w:lang w:val="en-US" w:eastAsia="zh-CN"/>
        </w:rPr>
        <w:t>3</w:t>
      </w:r>
      <w:r>
        <w:rPr>
          <w:rFonts w:hint="eastAsia" w:ascii="仿宋" w:hAnsi="仿宋" w:eastAsia="仿宋" w:cs="仿宋"/>
          <w:sz w:val="28"/>
          <w:szCs w:val="28"/>
        </w:rPr>
        <w:t>分，得分率</w:t>
      </w:r>
      <w:r>
        <w:rPr>
          <w:rFonts w:hint="eastAsia" w:ascii="仿宋" w:hAnsi="仿宋" w:eastAsia="仿宋" w:cs="仿宋"/>
          <w:sz w:val="28"/>
          <w:szCs w:val="28"/>
          <w:lang w:val="en-US" w:eastAsia="zh-CN"/>
        </w:rPr>
        <w:t>60</w:t>
      </w:r>
      <w:r>
        <w:rPr>
          <w:rFonts w:hint="eastAsia" w:ascii="仿宋" w:hAnsi="仿宋" w:eastAsia="仿宋" w:cs="仿宋"/>
          <w:sz w:val="28"/>
          <w:szCs w:val="28"/>
        </w:rPr>
        <w:t>.</w:t>
      </w:r>
      <w:r>
        <w:rPr>
          <w:rFonts w:hint="eastAsia" w:ascii="仿宋" w:hAnsi="仿宋" w:eastAsia="仿宋" w:cs="仿宋"/>
          <w:sz w:val="28"/>
          <w:szCs w:val="28"/>
          <w:lang w:val="en-US" w:eastAsia="zh-CN"/>
        </w:rPr>
        <w:t>00</w:t>
      </w:r>
      <w:r>
        <w:rPr>
          <w:rFonts w:hint="eastAsia" w:ascii="仿宋" w:hAnsi="仿宋" w:eastAsia="仿宋" w:cs="仿宋"/>
          <w:sz w:val="28"/>
          <w:szCs w:val="28"/>
        </w:rPr>
        <w:t>%。</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4.满意度</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指标解释：服务对象满意度。</w:t>
      </w:r>
    </w:p>
    <w:p>
      <w:pPr>
        <w:keepNext w:val="0"/>
        <w:keepLines w:val="0"/>
        <w:pageBreakBefore w:val="0"/>
        <w:kinsoku/>
        <w:wordWrap/>
        <w:overflowPunct/>
        <w:topLinePunct w:val="0"/>
        <w:autoSpaceDE/>
        <w:autoSpaceDN/>
        <w:bidi w:val="0"/>
        <w:adjustRightInd/>
        <w:snapToGrid/>
        <w:spacing w:line="240" w:lineRule="auto"/>
        <w:ind w:left="-210" w:leftChars="-100" w:firstLine="560" w:firstLineChars="200"/>
        <w:rPr>
          <w:rFonts w:hint="eastAsia" w:ascii="仿宋" w:hAnsi="仿宋" w:eastAsia="仿宋" w:cs="仿宋"/>
          <w:sz w:val="28"/>
          <w:szCs w:val="28"/>
        </w:rPr>
      </w:pPr>
      <w:r>
        <w:rPr>
          <w:rFonts w:hint="eastAsia" w:ascii="仿宋" w:hAnsi="仿宋" w:eastAsia="仿宋" w:cs="仿宋"/>
          <w:sz w:val="28"/>
          <w:szCs w:val="28"/>
        </w:rPr>
        <w:t>评分情况：通过电话回访服务对象，综合政务网站上群众反馈意见，满意度为</w:t>
      </w:r>
      <w:r>
        <w:rPr>
          <w:rFonts w:hint="eastAsia" w:ascii="仿宋" w:hAnsi="仿宋" w:eastAsia="仿宋" w:cs="仿宋"/>
          <w:sz w:val="28"/>
          <w:szCs w:val="28"/>
          <w:lang w:val="en-US" w:eastAsia="zh-CN"/>
        </w:rPr>
        <w:t>78</w:t>
      </w:r>
      <w:r>
        <w:rPr>
          <w:rFonts w:hint="eastAsia" w:ascii="仿宋" w:hAnsi="仿宋" w:eastAsia="仿宋" w:cs="仿宋"/>
          <w:sz w:val="28"/>
          <w:szCs w:val="28"/>
        </w:rPr>
        <w:t>%。该指标满分</w:t>
      </w:r>
      <w:r>
        <w:rPr>
          <w:rFonts w:hint="eastAsia" w:ascii="仿宋" w:hAnsi="仿宋" w:eastAsia="仿宋" w:cs="仿宋"/>
          <w:sz w:val="28"/>
          <w:szCs w:val="28"/>
          <w:lang w:val="en-US" w:eastAsia="zh-CN"/>
        </w:rPr>
        <w:t>5</w:t>
      </w:r>
      <w:r>
        <w:rPr>
          <w:rFonts w:hint="eastAsia" w:ascii="仿宋" w:hAnsi="仿宋" w:eastAsia="仿宋" w:cs="仿宋"/>
          <w:sz w:val="28"/>
          <w:szCs w:val="28"/>
        </w:rPr>
        <w:t>分，得分</w:t>
      </w:r>
      <w:r>
        <w:rPr>
          <w:rFonts w:hint="eastAsia" w:ascii="仿宋" w:hAnsi="仿宋" w:eastAsia="仿宋" w:cs="仿宋"/>
          <w:sz w:val="28"/>
          <w:szCs w:val="28"/>
          <w:lang w:val="en-US" w:eastAsia="zh-CN"/>
        </w:rPr>
        <w:t>2.5</w:t>
      </w:r>
      <w:r>
        <w:rPr>
          <w:rFonts w:hint="eastAsia" w:ascii="仿宋" w:hAnsi="仿宋" w:eastAsia="仿宋" w:cs="仿宋"/>
          <w:sz w:val="28"/>
          <w:szCs w:val="28"/>
        </w:rPr>
        <w:t>分，得分率</w:t>
      </w:r>
      <w:r>
        <w:rPr>
          <w:rFonts w:hint="eastAsia" w:ascii="仿宋" w:hAnsi="仿宋" w:eastAsia="仿宋" w:cs="仿宋"/>
          <w:sz w:val="28"/>
          <w:szCs w:val="28"/>
          <w:lang w:val="en-US" w:eastAsia="zh-CN"/>
        </w:rPr>
        <w:t>5</w:t>
      </w:r>
      <w:r>
        <w:rPr>
          <w:rFonts w:hint="eastAsia" w:ascii="仿宋" w:hAnsi="仿宋" w:eastAsia="仿宋" w:cs="仿宋"/>
          <w:sz w:val="28"/>
          <w:szCs w:val="28"/>
        </w:rPr>
        <w:t>0.00%。</w:t>
      </w:r>
    </w:p>
    <w:p>
      <w:pPr>
        <w:keepNext w:val="0"/>
        <w:keepLines w:val="0"/>
        <w:pageBreakBefore w:val="0"/>
        <w:kinsoku/>
        <w:wordWrap/>
        <w:overflowPunct/>
        <w:topLinePunct w:val="0"/>
        <w:autoSpaceDE/>
        <w:autoSpaceDN/>
        <w:bidi w:val="0"/>
        <w:adjustRightInd/>
        <w:snapToGrid/>
        <w:spacing w:line="240" w:lineRule="auto"/>
        <w:ind w:firstLine="281" w:firstLineChars="100"/>
        <w:outlineLvl w:val="0"/>
        <w:rPr>
          <w:rFonts w:hint="eastAsia" w:ascii="仿宋" w:hAnsi="仿宋" w:eastAsia="仿宋" w:cs="仿宋"/>
          <w:b/>
          <w:bCs w:val="0"/>
          <w:sz w:val="28"/>
          <w:szCs w:val="28"/>
        </w:rPr>
      </w:pPr>
      <w:r>
        <w:rPr>
          <w:rFonts w:hint="eastAsia" w:ascii="仿宋" w:hAnsi="仿宋" w:eastAsia="仿宋" w:cs="仿宋"/>
          <w:b/>
          <w:bCs w:val="0"/>
          <w:sz w:val="28"/>
          <w:szCs w:val="28"/>
        </w:rPr>
        <w:t>五、主要经验及做法</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100" w:firstLine="560" w:firstLineChars="200"/>
        <w:jc w:val="both"/>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为贯彻落实</w:t>
      </w:r>
      <w:r>
        <w:rPr>
          <w:rFonts w:hint="eastAsia" w:ascii="仿宋" w:hAnsi="仿宋" w:eastAsia="仿宋" w:cs="仿宋"/>
          <w:color w:val="333333"/>
          <w:kern w:val="0"/>
          <w:sz w:val="28"/>
          <w:szCs w:val="28"/>
        </w:rPr>
        <w:t>中央“六稳”“六保”决策部署，统筹推进2022年春节期间全市疫情防控和经济社会发展，全力做好企业稳产留工工作，</w:t>
      </w:r>
      <w:r>
        <w:rPr>
          <w:rFonts w:hint="eastAsia" w:ascii="仿宋" w:hAnsi="仿宋" w:eastAsia="仿宋" w:cs="仿宋"/>
          <w:color w:val="333333"/>
          <w:kern w:val="0"/>
          <w:sz w:val="28"/>
          <w:szCs w:val="28"/>
          <w:lang w:val="en-US" w:eastAsia="zh-CN"/>
        </w:rPr>
        <w:t>《蚌埠市经济和信息化局、蚌埠市人力资源和社会保障局、蚌埠市住房和城乡建设局、蚌埠市财政局</w:t>
      </w:r>
      <w:r>
        <w:rPr>
          <w:rFonts w:hint="eastAsia" w:ascii="仿宋" w:hAnsi="仿宋" w:eastAsia="仿宋" w:cs="仿宋"/>
          <w:color w:val="333333"/>
          <w:kern w:val="0"/>
          <w:sz w:val="28"/>
          <w:szCs w:val="28"/>
        </w:rPr>
        <w:t>关于蚌埠市2022 年春节期间支持企业稳产留工奖补措施的通知》</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蚌经信中小企业【2022】7号</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进一步规范我县奖补资金投入，充分发挥财政资金的扶持作用，支持重点项目不停工，促进县域经济持续健康发展，根据文件精神，领导重视等经验及时落实做法如下：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100" w:firstLine="560" w:firstLineChars="200"/>
        <w:jc w:val="both"/>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(一)成立“春节期间”奖补政策领导小组。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100" w:firstLine="560" w:firstLineChars="200"/>
        <w:jc w:val="both"/>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县政府成立“春节期间”奖补政策领导小组（以下简称领导小组)，各主要领导当组长与副组长亲自监督和落实。</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80" w:firstLineChars="100"/>
        <w:jc w:val="both"/>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(二)“春节期间”奖补资金来源。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100" w:firstLine="560" w:firstLineChars="200"/>
        <w:jc w:val="both"/>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由</w:t>
      </w:r>
      <w:r>
        <w:rPr>
          <w:rFonts w:hint="eastAsia" w:ascii="仿宋" w:hAnsi="仿宋" w:eastAsia="仿宋" w:cs="仿宋"/>
          <w:color w:val="333333"/>
          <w:kern w:val="0"/>
          <w:sz w:val="28"/>
          <w:szCs w:val="28"/>
          <w:lang w:val="en-US" w:eastAsia="zh-CN"/>
        </w:rPr>
        <w:t>怀远县经信局申请企业稳产与留工补助资金677.6万元，其中市级承担奖补资金203.28万元，本级承担奖补资金474.32万元</w:t>
      </w:r>
      <w:r>
        <w:rPr>
          <w:rFonts w:hint="eastAsia" w:ascii="仿宋" w:hAnsi="仿宋" w:eastAsia="仿宋" w:cs="仿宋"/>
          <w:color w:val="333333"/>
          <w:kern w:val="0"/>
          <w:sz w:val="28"/>
          <w:szCs w:val="28"/>
        </w:rPr>
        <w:t>。</w:t>
      </w:r>
      <w:r>
        <w:rPr>
          <w:rFonts w:hint="eastAsia" w:ascii="仿宋" w:hAnsi="仿宋" w:eastAsia="仿宋" w:cs="仿宋"/>
          <w:color w:val="333333"/>
          <w:kern w:val="0"/>
          <w:sz w:val="28"/>
          <w:szCs w:val="28"/>
          <w:lang w:val="en-US" w:eastAsia="zh-CN"/>
        </w:rPr>
        <w:t>怀远县财政局根据县长会议精神保障奖补资金项目能按时拨付。</w:t>
      </w:r>
    </w:p>
    <w:p>
      <w:pPr>
        <w:pStyle w:val="2"/>
        <w:keepNext w:val="0"/>
        <w:keepLines w:val="0"/>
        <w:pageBreakBefore w:val="0"/>
        <w:numPr>
          <w:ilvl w:val="0"/>
          <w:numId w:val="0"/>
        </w:numPr>
        <w:kinsoku/>
        <w:wordWrap/>
        <w:overflowPunct/>
        <w:topLinePunct w:val="0"/>
        <w:autoSpaceDE/>
        <w:autoSpaceDN/>
        <w:bidi w:val="0"/>
        <w:adjustRightInd/>
        <w:snapToGrid/>
        <w:spacing w:line="240" w:lineRule="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 xml:space="preserve">  （三）资金使用范围</w:t>
      </w:r>
    </w:p>
    <w:p>
      <w:pPr>
        <w:pStyle w:val="2"/>
        <w:keepNext w:val="0"/>
        <w:keepLines w:val="0"/>
        <w:pageBreakBefore w:val="0"/>
        <w:numPr>
          <w:ilvl w:val="0"/>
          <w:numId w:val="0"/>
        </w:numPr>
        <w:kinsoku/>
        <w:wordWrap/>
        <w:overflowPunct/>
        <w:topLinePunct w:val="0"/>
        <w:autoSpaceDE/>
        <w:autoSpaceDN/>
        <w:bidi w:val="0"/>
        <w:adjustRightInd/>
        <w:snapToGrid/>
        <w:spacing w:line="240" w:lineRule="auto"/>
        <w:ind w:firstLine="280" w:firstLineChars="100"/>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春节期间”奖补资金使用范围：对2022年第一季度营业收入较去年同期增长10%及以上的，分别给予每户最高5-30万的补贴。对2022年1月26日（小年）至2月9日期间留蚌，且在蚌缴纳社会保险的非我市户籍员工，按照每人1000元的标准发放一次性过节补贴。为了确保规范使用资金，会议上也明确资金使用范围，保证专款专用。</w:t>
      </w:r>
    </w:p>
    <w:p>
      <w:pPr>
        <w:pStyle w:val="2"/>
        <w:keepNext w:val="0"/>
        <w:keepLines w:val="0"/>
        <w:pageBreakBefore w:val="0"/>
        <w:numPr>
          <w:ilvl w:val="0"/>
          <w:numId w:val="0"/>
        </w:numPr>
        <w:kinsoku/>
        <w:wordWrap/>
        <w:overflowPunct/>
        <w:topLinePunct w:val="0"/>
        <w:autoSpaceDE/>
        <w:autoSpaceDN/>
        <w:bidi w:val="0"/>
        <w:adjustRightInd/>
        <w:snapToGrid/>
        <w:spacing w:line="240" w:lineRule="auto"/>
        <w:ind w:left="-210" w:leftChars="-100"/>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 xml:space="preserve">   （四）各职能部门协调联动，有效的促进项目资金的准确落实。</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81" w:firstLineChars="100"/>
        <w:jc w:val="left"/>
        <w:rPr>
          <w:rFonts w:hint="eastAsia" w:ascii="仿宋" w:hAnsi="仿宋" w:eastAsia="仿宋" w:cs="仿宋"/>
          <w:color w:val="333333"/>
          <w:kern w:val="0"/>
          <w:sz w:val="28"/>
          <w:szCs w:val="28"/>
        </w:rPr>
      </w:pPr>
      <w:r>
        <w:rPr>
          <w:rFonts w:hint="eastAsia" w:ascii="仿宋" w:hAnsi="仿宋" w:eastAsia="仿宋" w:cs="仿宋"/>
          <w:b/>
          <w:bCs/>
          <w:color w:val="000000"/>
          <w:kern w:val="0"/>
          <w:sz w:val="28"/>
          <w:szCs w:val="28"/>
        </w:rPr>
        <w:t>六</w:t>
      </w:r>
      <w:r>
        <w:rPr>
          <w:rFonts w:hint="eastAsia" w:ascii="仿宋" w:hAnsi="仿宋" w:eastAsia="仿宋" w:cs="仿宋"/>
          <w:color w:val="000000"/>
          <w:kern w:val="0"/>
          <w:sz w:val="28"/>
          <w:szCs w:val="28"/>
        </w:rPr>
        <w:t>、</w:t>
      </w:r>
      <w:r>
        <w:rPr>
          <w:rFonts w:hint="eastAsia" w:ascii="仿宋" w:hAnsi="仿宋" w:eastAsia="仿宋" w:cs="仿宋"/>
          <w:b/>
          <w:bCs/>
          <w:color w:val="000000"/>
          <w:kern w:val="0"/>
          <w:sz w:val="28"/>
          <w:szCs w:val="28"/>
        </w:rPr>
        <w:t>项目存在的主要问题</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05" w:leftChars="-50" w:firstLine="238" w:firstLineChars="85"/>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一是</w:t>
      </w:r>
      <w:r>
        <w:rPr>
          <w:rFonts w:hint="eastAsia" w:ascii="仿宋" w:hAnsi="仿宋" w:eastAsia="仿宋" w:cs="仿宋"/>
          <w:color w:val="333333"/>
          <w:kern w:val="0"/>
          <w:sz w:val="28"/>
          <w:szCs w:val="28"/>
        </w:rPr>
        <w:t>绩效目标设置较为简单，</w:t>
      </w:r>
      <w:r>
        <w:rPr>
          <w:rFonts w:hint="eastAsia" w:ascii="仿宋" w:hAnsi="仿宋" w:eastAsia="仿宋" w:cs="仿宋"/>
          <w:color w:val="333333"/>
          <w:kern w:val="0"/>
          <w:sz w:val="28"/>
          <w:szCs w:val="28"/>
          <w:lang w:val="en-US" w:eastAsia="zh-CN"/>
        </w:rPr>
        <w:t>不能很好的体现工作的主次，抓不住工作重点，难以考核</w:t>
      </w:r>
      <w:r>
        <w:rPr>
          <w:rFonts w:hint="eastAsia" w:ascii="仿宋" w:hAnsi="仿宋" w:eastAsia="仿宋" w:cs="仿宋"/>
          <w:color w:val="333333"/>
          <w:kern w:val="0"/>
          <w:sz w:val="28"/>
          <w:szCs w:val="28"/>
        </w:rPr>
        <w:t>。</w:t>
      </w:r>
      <w:r>
        <w:rPr>
          <w:rFonts w:hint="eastAsia" w:ascii="仿宋" w:hAnsi="仿宋" w:eastAsia="仿宋" w:cs="仿宋"/>
          <w:color w:val="333333"/>
          <w:kern w:val="0"/>
          <w:sz w:val="28"/>
          <w:szCs w:val="28"/>
          <w:lang w:val="en-US" w:eastAsia="zh-CN"/>
        </w:rPr>
        <w:t>不能细化量化考核实际效果；</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05" w:leftChars="-50" w:firstLine="560" w:firstLineChars="20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二是各项规章制度要完善，要制定并落实，所有申报资料要求全部是根据</w:t>
      </w:r>
      <w:r>
        <w:rPr>
          <w:rFonts w:hint="eastAsia" w:ascii="仿宋" w:hAnsi="仿宋" w:eastAsia="仿宋" w:cs="仿宋"/>
          <w:sz w:val="28"/>
          <w:szCs w:val="28"/>
          <w:lang w:val="en-US" w:eastAsia="zh-CN"/>
        </w:rPr>
        <w:t>《</w:t>
      </w:r>
      <w:r>
        <w:rPr>
          <w:rFonts w:hint="eastAsia" w:ascii="仿宋" w:hAnsi="仿宋" w:eastAsia="仿宋" w:cs="仿宋"/>
          <w:color w:val="333333"/>
          <w:kern w:val="0"/>
          <w:sz w:val="28"/>
          <w:szCs w:val="28"/>
          <w:lang w:val="en-US" w:eastAsia="zh-CN"/>
        </w:rPr>
        <w:t>蚌埠市经济和信息化局、蚌埠市人力资源和社会保障局、蚌埠市住房和城乡建设局、蚌埠市财政局</w:t>
      </w:r>
      <w:r>
        <w:rPr>
          <w:rFonts w:hint="eastAsia" w:ascii="仿宋" w:hAnsi="仿宋" w:eastAsia="仿宋" w:cs="仿宋"/>
          <w:color w:val="333333"/>
          <w:kern w:val="0"/>
          <w:sz w:val="28"/>
          <w:szCs w:val="28"/>
        </w:rPr>
        <w:t>关于蚌埠市2022 年春节期间支持企业稳产留工奖补措施的通知》</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蚌经信中小企业【2022】7号）文件规定来提供的，不能保证奖补资金何时落实到位，只看到有相关申请，事实文件上规定资料收集时间与资金拨付截止时间，但没能准确到位，影响企业对政策实施的满意度。</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05" w:leftChars="-50" w:firstLine="560" w:firstLineChars="200"/>
        <w:jc w:val="both"/>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三是加强内控流程的设置，从申请资料到复审都要经过所有岗位人员的审核，没见到怀远县财政何时转账支付到经信局，只看到经信局转账到符合规定的企业所在地的乡镇账户上，不能查看整个流程是否符合财务规定。无法核对时效性。</w:t>
      </w:r>
    </w:p>
    <w:p>
      <w:pPr>
        <w:pStyle w:val="2"/>
        <w:keepNext w:val="0"/>
        <w:keepLines w:val="0"/>
        <w:pageBreakBefore w:val="0"/>
        <w:widowControl w:val="0"/>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四是监管环节不连贯，筛选出符合条件的企业与留蚌员工，但没能按文件规定及时拨付资金，即使怀远县经信局拨付到乡镇，乡镇又不能及时转给企业，有的乡镇写情况说明说受网络影响所以转账时间受影响等。</w:t>
      </w:r>
    </w:p>
    <w:p>
      <w:pPr>
        <w:pStyle w:val="2"/>
        <w:keepNext w:val="0"/>
        <w:keepLines w:val="0"/>
        <w:pageBreakBefore w:val="0"/>
        <w:widowControl w:val="0"/>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color w:val="333333"/>
          <w:kern w:val="0"/>
          <w:sz w:val="28"/>
          <w:szCs w:val="28"/>
          <w:lang w:val="en-US" w:eastAsia="zh-CN" w:bidi="ar-SA"/>
        </w:rPr>
      </w:pPr>
      <w:r>
        <w:rPr>
          <w:rFonts w:hint="eastAsia" w:ascii="仿宋" w:hAnsi="仿宋" w:eastAsia="仿宋" w:cs="仿宋"/>
          <w:color w:val="333333"/>
          <w:kern w:val="0"/>
          <w:sz w:val="28"/>
          <w:szCs w:val="28"/>
          <w:lang w:val="en-US" w:eastAsia="zh-CN" w:bidi="ar-SA"/>
        </w:rPr>
        <w:t>五</w:t>
      </w:r>
      <w:r>
        <w:rPr>
          <w:rFonts w:hint="eastAsia" w:ascii="仿宋" w:hAnsi="仿宋" w:eastAsia="仿宋" w:cs="仿宋"/>
          <w:color w:val="333333"/>
          <w:kern w:val="0"/>
          <w:sz w:val="28"/>
          <w:szCs w:val="28"/>
          <w:lang w:val="en-US" w:eastAsia="zh-CN"/>
        </w:rPr>
        <w:t>是落实通过四送一服、走访调研等形式来服务企业，没有制定具体标准和操作流程，很难把握住乡镇对企业的服务落实情况。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firstLine="843" w:firstLineChars="300"/>
        <w:jc w:val="left"/>
        <w:rPr>
          <w:rFonts w:hint="eastAsia" w:ascii="仿宋" w:hAnsi="仿宋" w:eastAsia="仿宋" w:cs="仿宋"/>
          <w:b/>
          <w:bCs/>
          <w:color w:val="333333"/>
          <w:kern w:val="0"/>
          <w:sz w:val="28"/>
          <w:szCs w:val="28"/>
        </w:rPr>
      </w:pPr>
      <w:r>
        <w:rPr>
          <w:rFonts w:hint="eastAsia" w:ascii="仿宋" w:hAnsi="仿宋" w:eastAsia="仿宋" w:cs="仿宋"/>
          <w:b/>
          <w:bCs/>
          <w:color w:val="000000"/>
          <w:kern w:val="0"/>
          <w:sz w:val="28"/>
          <w:szCs w:val="28"/>
        </w:rPr>
        <w:t>七、有关建议</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175" w:leftChars="-50" w:hanging="280" w:hangingChars="100"/>
        <w:textAlignment w:val="auto"/>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rPr>
        <w:t> </w:t>
      </w:r>
      <w:r>
        <w:rPr>
          <w:rFonts w:hint="eastAsia" w:ascii="仿宋" w:hAnsi="仿宋" w:eastAsia="仿宋" w:cs="仿宋"/>
          <w:color w:val="000000"/>
          <w:kern w:val="0"/>
          <w:sz w:val="28"/>
          <w:szCs w:val="28"/>
          <w:lang w:val="en-US" w:eastAsia="zh-CN"/>
        </w:rPr>
        <w:t xml:space="preserve">     </w:t>
      </w:r>
      <w:r>
        <w:rPr>
          <w:rFonts w:hint="eastAsia" w:ascii="仿宋" w:hAnsi="仿宋" w:eastAsia="仿宋" w:cs="仿宋"/>
          <w:sz w:val="28"/>
          <w:szCs w:val="28"/>
          <w:lang w:val="en-US" w:eastAsia="zh-CN"/>
        </w:rPr>
        <w:t>为进一步提高“春节期间”奖补资金使用效益，针对存在的问题，提出如下建议：</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是完善绩效目标编制，细化绩效指标值；在编制绩效目标时，怀远县经信局应加强财务部门与项目实施部门之间的信息沟通，共同参与绩效目标编制，根据项目的实际情况、工作计划等合理设置绩效目标，细化量化指标值，便于项目绩效管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二是加强业务条线管理，做好项目尽快落实，要根据文件规定来执行奖补项目资金支付，保质保量完成各项规定。带动地方经济效益持续发展。</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三是强化内部流程制度的制定与落实。根据奖补申请到项目落实及后期的管理要制定一个具体的管理办法，完善财务制度，保证专款专用不准挪用项目资金。</w:t>
      </w:r>
    </w:p>
    <w:p>
      <w:pPr>
        <w:pStyle w:val="2"/>
        <w:keepNext w:val="0"/>
        <w:keepLines w:val="0"/>
        <w:pageBreakBefore w:val="0"/>
        <w:widowControl w:val="0"/>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四是强化监管力度，规定的时间内必须严格执行文件精神，拨付资金及时准确兑现，不允许有各种理由资金到位及时性，否则影响满意度和政府的公信力。</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394" w:firstLineChars="140"/>
        <w:rPr>
          <w:rFonts w:hint="eastAsia" w:ascii="仿宋" w:hAnsi="仿宋" w:eastAsia="仿宋" w:cs="仿宋"/>
          <w:color w:val="333333"/>
          <w:kern w:val="0"/>
          <w:sz w:val="28"/>
          <w:szCs w:val="28"/>
        </w:rPr>
      </w:pPr>
      <w:r>
        <w:rPr>
          <w:rFonts w:hint="eastAsia" w:ascii="仿宋" w:hAnsi="仿宋" w:eastAsia="仿宋" w:cs="仿宋"/>
          <w:b/>
          <w:bCs/>
          <w:color w:val="000000"/>
          <w:kern w:val="0"/>
          <w:sz w:val="28"/>
          <w:szCs w:val="28"/>
        </w:rPr>
        <w:t>八、其他需要说明的问题</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0" w:firstLineChars="0"/>
        <w:rPr>
          <w:rFonts w:hint="eastAsia" w:ascii="仿宋" w:hAnsi="仿宋" w:eastAsia="仿宋" w:cs="仿宋"/>
          <w:color w:val="333333"/>
          <w:kern w:val="0"/>
          <w:sz w:val="28"/>
          <w:szCs w:val="28"/>
        </w:rPr>
      </w:pPr>
      <w:r>
        <w:rPr>
          <w:rFonts w:hint="eastAsia" w:ascii="仿宋" w:hAnsi="仿宋" w:eastAsia="仿宋" w:cs="仿宋"/>
          <w:color w:val="000000"/>
          <w:kern w:val="0"/>
          <w:sz w:val="28"/>
          <w:szCs w:val="28"/>
        </w:rPr>
        <w:t>    </w:t>
      </w:r>
      <w:r>
        <w:rPr>
          <w:rFonts w:hint="eastAsia" w:ascii="仿宋" w:hAnsi="仿宋" w:eastAsia="仿宋" w:cs="仿宋"/>
          <w:color w:val="000000"/>
          <w:kern w:val="0"/>
          <w:sz w:val="28"/>
          <w:szCs w:val="28"/>
          <w:lang w:val="en-US" w:eastAsia="zh-CN"/>
        </w:rPr>
        <w:t xml:space="preserve">  </w:t>
      </w:r>
      <w:r>
        <w:rPr>
          <w:rFonts w:hint="eastAsia" w:ascii="仿宋" w:hAnsi="仿宋" w:eastAsia="仿宋" w:cs="仿宋"/>
          <w:color w:val="000000"/>
          <w:kern w:val="0"/>
          <w:sz w:val="28"/>
          <w:szCs w:val="28"/>
        </w:rPr>
        <w:t>无其他需要说明的问题。</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210" w:leftChars="-10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 </w:t>
      </w:r>
      <w:r>
        <w:rPr>
          <w:rFonts w:hint="eastAsia" w:ascii="仿宋" w:hAnsi="仿宋" w:eastAsia="仿宋" w:cs="仿宋"/>
          <w:color w:val="000000"/>
          <w:kern w:val="0"/>
          <w:sz w:val="28"/>
          <w:szCs w:val="28"/>
          <w:lang w:val="en-US" w:eastAsia="zh-CN"/>
        </w:rPr>
        <w:t xml:space="preserve">   </w:t>
      </w:r>
      <w:r>
        <w:rPr>
          <w:rFonts w:hint="eastAsia" w:ascii="仿宋" w:hAnsi="仿宋" w:eastAsia="仿宋" w:cs="仿宋"/>
          <w:color w:val="000000"/>
          <w:kern w:val="0"/>
          <w:sz w:val="28"/>
          <w:szCs w:val="28"/>
        </w:rPr>
        <w:t>附：</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175" w:leftChars="-50" w:hanging="280" w:hangingChars="100"/>
        <w:textAlignment w:val="auto"/>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 </w:t>
      </w:r>
      <w:r>
        <w:rPr>
          <w:rFonts w:hint="eastAsia" w:ascii="仿宋" w:hAnsi="仿宋" w:eastAsia="仿宋" w:cs="仿宋"/>
          <w:color w:val="000000"/>
          <w:kern w:val="0"/>
          <w:sz w:val="28"/>
          <w:szCs w:val="28"/>
          <w:lang w:val="en-US" w:eastAsia="zh-CN"/>
        </w:rPr>
        <w:t xml:space="preserve">   </w:t>
      </w:r>
      <w:r>
        <w:rPr>
          <w:rFonts w:hint="eastAsia" w:ascii="仿宋" w:hAnsi="仿宋" w:eastAsia="仿宋" w:cs="仿宋"/>
          <w:color w:val="000000"/>
          <w:kern w:val="0"/>
          <w:sz w:val="28"/>
          <w:szCs w:val="28"/>
        </w:rPr>
        <w:t>1.</w:t>
      </w:r>
      <w:r>
        <w:rPr>
          <w:rFonts w:hint="eastAsia" w:ascii="仿宋" w:hAnsi="仿宋" w:eastAsia="仿宋" w:cs="仿宋"/>
          <w:color w:val="333333"/>
          <w:kern w:val="0"/>
          <w:sz w:val="28"/>
          <w:szCs w:val="28"/>
        </w:rPr>
        <w:t> </w:t>
      </w:r>
      <w:r>
        <w:rPr>
          <w:rFonts w:hint="eastAsia" w:ascii="仿宋" w:hAnsi="仿宋" w:eastAsia="仿宋" w:cs="仿宋"/>
          <w:color w:val="000000"/>
          <w:kern w:val="0"/>
          <w:sz w:val="28"/>
          <w:szCs w:val="28"/>
          <w:lang w:val="en-US" w:eastAsia="zh-CN"/>
        </w:rPr>
        <w:t>怀远县经信局</w:t>
      </w:r>
      <w:r>
        <w:rPr>
          <w:rFonts w:hint="eastAsia" w:ascii="仿宋" w:hAnsi="仿宋" w:eastAsia="仿宋" w:cs="仿宋"/>
          <w:sz w:val="28"/>
          <w:szCs w:val="28"/>
          <w:lang w:val="en-US" w:eastAsia="zh-CN"/>
        </w:rPr>
        <w:t>2022年春节期间支持企业稳产留工奖补</w:t>
      </w:r>
      <w:r>
        <w:rPr>
          <w:rFonts w:hint="eastAsia" w:ascii="仿宋" w:hAnsi="仿宋" w:eastAsia="仿宋" w:cs="仿宋"/>
          <w:color w:val="000000"/>
          <w:kern w:val="0"/>
          <w:sz w:val="28"/>
          <w:szCs w:val="28"/>
          <w:lang w:val="en-US" w:eastAsia="zh-CN"/>
        </w:rPr>
        <w:t>项目支出绩效评价指标体系</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lang w:val="en-US" w:eastAsia="zh-CN"/>
        </w:rPr>
        <w:t>怀远县2022年经信局奖补政策资金支付凭证</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455" w:leftChars="-50" w:hanging="560" w:hangingChars="200"/>
        <w:textAlignment w:val="auto"/>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 xml:space="preserve">    3.项目依据</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455" w:leftChars="-50" w:hanging="560" w:hangingChars="200"/>
        <w:textAlignment w:val="auto"/>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 xml:space="preserve">    4.项目资金审核请示文件以及联审函</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5.市局审核通知</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6.奖补资金批复</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left="-105" w:leftChars="-50" w:firstLine="560" w:firstLineChars="200"/>
        <w:textAlignment w:val="auto"/>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7.拨付奖补资金汇总表</w:t>
      </w:r>
    </w:p>
    <w:tbl>
      <w:tblPr>
        <w:tblStyle w:val="6"/>
        <w:tblW w:w="14510" w:type="dxa"/>
        <w:tblInd w:w="-717" w:type="dxa"/>
        <w:tblLayout w:type="fixed"/>
        <w:tblCellMar>
          <w:top w:w="0" w:type="dxa"/>
          <w:left w:w="0" w:type="dxa"/>
          <w:bottom w:w="0" w:type="dxa"/>
          <w:right w:w="0" w:type="dxa"/>
        </w:tblCellMar>
      </w:tblPr>
      <w:tblGrid>
        <w:gridCol w:w="14510"/>
      </w:tblGrid>
      <w:tr>
        <w:tblPrEx>
          <w:tblCellMar>
            <w:top w:w="0" w:type="dxa"/>
            <w:left w:w="0" w:type="dxa"/>
            <w:bottom w:w="0" w:type="dxa"/>
            <w:right w:w="0" w:type="dxa"/>
          </w:tblCellMar>
        </w:tblPrEx>
        <w:trPr>
          <w:trHeight w:val="915" w:hRule="atLeast"/>
        </w:trPr>
        <w:tc>
          <w:tcPr>
            <w:tcW w:w="14510" w:type="dxa"/>
            <w:noWrap/>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ind w:left="-210" w:leftChars="-100" w:firstLine="560" w:firstLineChars="200"/>
              <w:jc w:val="both"/>
              <w:rPr>
                <w:rFonts w:hint="eastAsia" w:ascii="仿宋" w:hAnsi="仿宋" w:eastAsia="仿宋" w:cs="仿宋"/>
                <w:kern w:val="0"/>
                <w:sz w:val="28"/>
                <w:szCs w:val="28"/>
                <w:lang w:val="en-US" w:eastAsia="zh-CN"/>
              </w:rPr>
            </w:pPr>
            <w:bookmarkStart w:id="35" w:name="_GoBack"/>
            <w:bookmarkEnd w:id="35"/>
            <w:r>
              <w:rPr>
                <w:rFonts w:hint="eastAsia" w:ascii="仿宋" w:hAnsi="仿宋" w:eastAsia="仿宋" w:cs="仿宋"/>
                <w:kern w:val="0"/>
                <w:sz w:val="28"/>
                <w:szCs w:val="28"/>
                <w:lang w:val="en-US" w:eastAsia="zh-CN"/>
              </w:rPr>
              <w:t>（此页无正文）</w:t>
            </w:r>
          </w:p>
        </w:tc>
      </w:tr>
    </w:tbl>
    <w:p>
      <w:pPr>
        <w:keepNext w:val="0"/>
        <w:keepLines w:val="0"/>
        <w:pageBreakBefore w:val="0"/>
        <w:kinsoku/>
        <w:wordWrap/>
        <w:overflowPunct/>
        <w:topLinePunct w:val="0"/>
        <w:autoSpaceDE/>
        <w:autoSpaceDN/>
        <w:bidi w:val="0"/>
        <w:adjustRightInd/>
        <w:snapToGrid/>
        <w:spacing w:line="240" w:lineRule="auto"/>
        <w:ind w:left="-210" w:leftChars="-100" w:firstLine="280" w:firstLineChars="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安徽宝逸通企业咨询管理有限公司</w:t>
      </w:r>
    </w:p>
    <w:p>
      <w:pPr>
        <w:keepNext w:val="0"/>
        <w:keepLines w:val="0"/>
        <w:pageBreakBefore w:val="0"/>
        <w:kinsoku/>
        <w:wordWrap/>
        <w:overflowPunct/>
        <w:topLinePunct w:val="0"/>
        <w:autoSpaceDE/>
        <w:autoSpaceDN/>
        <w:bidi w:val="0"/>
        <w:adjustRightInd/>
        <w:snapToGrid/>
        <w:spacing w:line="240" w:lineRule="auto"/>
        <w:ind w:left="-210" w:leftChars="-100" w:firstLine="4760" w:firstLineChars="1700"/>
        <w:rPr>
          <w:rFonts w:hint="eastAsia" w:ascii="仿宋" w:hAnsi="仿宋" w:eastAsia="仿宋" w:cs="仿宋"/>
          <w:sz w:val="28"/>
          <w:szCs w:val="28"/>
        </w:rPr>
      </w:pPr>
      <w:r>
        <w:rPr>
          <w:rFonts w:hint="eastAsia" w:ascii="仿宋" w:hAnsi="仿宋" w:eastAsia="仿宋" w:cs="仿宋"/>
          <w:sz w:val="28"/>
          <w:szCs w:val="28"/>
          <w:lang w:val="en-US" w:eastAsia="zh-CN"/>
        </w:rPr>
        <w:t>主评人：</w:t>
      </w:r>
      <w:r>
        <w:rPr>
          <w:rFonts w:hint="eastAsia" w:ascii="仿宋" w:hAnsi="仿宋" w:eastAsia="仿宋" w:cs="仿宋"/>
          <w:sz w:val="28"/>
          <w:szCs w:val="28"/>
        </w:rPr>
        <w:t xml:space="preserve">  </w:t>
      </w:r>
    </w:p>
    <w:p>
      <w:pPr>
        <w:keepNext w:val="0"/>
        <w:keepLines w:val="0"/>
        <w:pageBreakBefore w:val="0"/>
        <w:kinsoku/>
        <w:wordWrap/>
        <w:overflowPunct/>
        <w:topLinePunct w:val="0"/>
        <w:autoSpaceDE/>
        <w:autoSpaceDN/>
        <w:bidi w:val="0"/>
        <w:adjustRightInd/>
        <w:snapToGrid/>
        <w:spacing w:line="240" w:lineRule="auto"/>
        <w:ind w:left="-210" w:leftChars="-100"/>
        <w:rPr>
          <w:rFonts w:hint="eastAsia" w:ascii="仿宋" w:hAnsi="仿宋" w:eastAsia="仿宋" w:cs="仿宋"/>
          <w:sz w:val="28"/>
          <w:szCs w:val="28"/>
        </w:rPr>
      </w:pPr>
      <w:r>
        <w:rPr>
          <w:rFonts w:hint="eastAsia" w:ascii="仿宋" w:hAnsi="仿宋" w:eastAsia="仿宋" w:cs="仿宋"/>
          <w:sz w:val="28"/>
          <w:szCs w:val="28"/>
        </w:rPr>
        <w:t xml:space="preserve">                           </w:t>
      </w:r>
    </w:p>
    <w:p>
      <w:pPr>
        <w:keepNext w:val="0"/>
        <w:keepLines w:val="0"/>
        <w:pageBreakBefore w:val="0"/>
        <w:kinsoku/>
        <w:wordWrap/>
        <w:overflowPunct/>
        <w:topLinePunct w:val="0"/>
        <w:autoSpaceDE/>
        <w:autoSpaceDN/>
        <w:bidi w:val="0"/>
        <w:adjustRightInd/>
        <w:snapToGrid/>
        <w:spacing w:line="240" w:lineRule="auto"/>
        <w:ind w:left="-210" w:leftChars="-100" w:firstLine="1120" w:firstLineChars="40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主评人：</w:t>
      </w:r>
      <w:r>
        <w:rPr>
          <w:rFonts w:hint="eastAsia" w:ascii="仿宋" w:hAnsi="仿宋" w:eastAsia="仿宋" w:cs="仿宋"/>
          <w:sz w:val="28"/>
          <w:szCs w:val="28"/>
        </w:rPr>
        <w:t xml:space="preserve"> </w:t>
      </w:r>
    </w:p>
    <w:p>
      <w:pPr>
        <w:keepNext w:val="0"/>
        <w:keepLines w:val="0"/>
        <w:pageBreakBefore w:val="0"/>
        <w:kinsoku/>
        <w:wordWrap/>
        <w:overflowPunct/>
        <w:topLinePunct w:val="0"/>
        <w:autoSpaceDE/>
        <w:autoSpaceDN/>
        <w:bidi w:val="0"/>
        <w:adjustRightInd/>
        <w:snapToGrid/>
        <w:spacing w:line="240" w:lineRule="auto"/>
        <w:ind w:left="-210" w:leftChars="-100" w:firstLine="1120" w:firstLineChars="400"/>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240" w:lineRule="auto"/>
        <w:ind w:left="-210" w:leftChars="-100" w:firstLine="4760" w:firstLineChars="1700"/>
        <w:rPr>
          <w:rFonts w:hint="eastAsia" w:ascii="仿宋" w:hAnsi="仿宋" w:eastAsia="仿宋" w:cs="仿宋"/>
          <w:sz w:val="28"/>
          <w:szCs w:val="28"/>
        </w:rPr>
      </w:pPr>
      <w:r>
        <w:rPr>
          <w:rFonts w:hint="eastAsia" w:ascii="仿宋" w:hAnsi="仿宋" w:eastAsia="仿宋" w:cs="仿宋"/>
          <w:sz w:val="28"/>
          <w:szCs w:val="28"/>
          <w:lang w:val="en-US" w:eastAsia="zh-CN"/>
        </w:rPr>
        <w:t>2023</w:t>
      </w:r>
      <w:r>
        <w:rPr>
          <w:rFonts w:hint="eastAsia" w:ascii="仿宋" w:hAnsi="仿宋" w:eastAsia="仿宋" w:cs="仿宋"/>
          <w:sz w:val="28"/>
          <w:szCs w:val="28"/>
        </w:rPr>
        <w:t xml:space="preserve">年 </w:t>
      </w:r>
      <w:r>
        <w:rPr>
          <w:rFonts w:hint="eastAsia" w:ascii="仿宋" w:hAnsi="仿宋" w:eastAsia="仿宋" w:cs="仿宋"/>
          <w:sz w:val="28"/>
          <w:szCs w:val="28"/>
          <w:lang w:val="en-US" w:eastAsia="zh-CN"/>
        </w:rPr>
        <w:t>9</w:t>
      </w:r>
      <w:r>
        <w:rPr>
          <w:rFonts w:hint="eastAsia" w:ascii="仿宋" w:hAnsi="仿宋" w:eastAsia="仿宋" w:cs="仿宋"/>
          <w:sz w:val="28"/>
          <w:szCs w:val="28"/>
        </w:rPr>
        <w:t>月</w:t>
      </w:r>
      <w:r>
        <w:rPr>
          <w:rFonts w:hint="eastAsia" w:ascii="仿宋" w:hAnsi="仿宋" w:eastAsia="仿宋" w:cs="仿宋"/>
          <w:sz w:val="28"/>
          <w:szCs w:val="28"/>
          <w:lang w:val="en-US" w:eastAsia="zh-CN"/>
        </w:rPr>
        <w:t>22</w:t>
      </w:r>
      <w:r>
        <w:rPr>
          <w:rFonts w:hint="eastAsia" w:ascii="仿宋" w:hAnsi="仿宋" w:eastAsia="仿宋" w:cs="仿宋"/>
          <w:sz w:val="28"/>
          <w:szCs w:val="28"/>
        </w:rPr>
        <w:t>日</w:t>
      </w:r>
    </w:p>
    <w:p>
      <w:pPr>
        <w:keepNext w:val="0"/>
        <w:keepLines w:val="0"/>
        <w:pageBreakBefore w:val="0"/>
        <w:kinsoku/>
        <w:wordWrap/>
        <w:overflowPunct/>
        <w:topLinePunct w:val="0"/>
        <w:autoSpaceDE/>
        <w:autoSpaceDN/>
        <w:bidi w:val="0"/>
        <w:adjustRightInd/>
        <w:snapToGrid/>
        <w:spacing w:line="240" w:lineRule="auto"/>
        <w:ind w:left="-210" w:leftChars="-100" w:firstLine="1120" w:firstLineChars="400"/>
        <w:rPr>
          <w:rFonts w:hint="eastAsia" w:ascii="仿宋" w:hAnsi="仿宋" w:eastAsia="仿宋" w:cs="仿宋"/>
          <w:sz w:val="28"/>
          <w:szCs w:val="28"/>
        </w:rPr>
      </w:pPr>
      <w:r>
        <w:rPr>
          <w:rFonts w:hint="eastAsia" w:ascii="仿宋" w:hAnsi="仿宋" w:eastAsia="仿宋" w:cs="仿宋"/>
          <w:sz w:val="28"/>
          <w:szCs w:val="28"/>
        </w:rPr>
        <w:t xml:space="preserve">  </w:t>
      </w:r>
    </w:p>
    <w:sectPr>
      <w:headerReference r:id="rId4" w:type="default"/>
      <w:footerReference r:id="rId5"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宋体"/>
    <w:panose1 w:val="00000000000000000000"/>
    <w:charset w:val="86"/>
    <w:family w:val="roman"/>
    <w:pitch w:val="default"/>
    <w:sig w:usb0="00000000" w:usb1="00000000" w:usb2="0000001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pBdr>
        <w:bottom w:val="single" w:color="auto" w:sz="4" w:space="0"/>
      </w:pBdr>
      <w:shd w:val="clear" w:color="auto" w:fill="FFFFFF"/>
      <w:spacing w:line="560" w:lineRule="atLeast"/>
      <w:ind w:firstLine="1687" w:firstLineChars="700"/>
      <w:jc w:val="both"/>
      <w:rPr>
        <w:sz w:val="24"/>
        <w:szCs w:val="24"/>
        <w:u w:val="none"/>
      </w:rPr>
    </w:pPr>
    <w:r>
      <w:rPr>
        <w:rFonts w:hint="eastAsia" w:ascii="仿宋" w:hAnsi="仿宋" w:eastAsia="仿宋" w:cs="仿宋"/>
        <w:b/>
        <w:bCs/>
        <w:color w:val="000000"/>
        <w:kern w:val="0"/>
        <w:sz w:val="24"/>
        <w:szCs w:val="24"/>
        <w:u w:val="none"/>
        <w:lang w:val="en-US" w:eastAsia="zh-CN"/>
      </w:rPr>
      <w:t>2022年春节期间支持企业稳产留工奖补项目支出绩效评价报告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BBC202"/>
    <w:multiLevelType w:val="singleLevel"/>
    <w:tmpl w:val="53BBC20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wNzVjYTVjMjMzNmM2Mzk0ZDQxN2ZjZjA3ZDdmMGQifQ=="/>
  </w:docVars>
  <w:rsids>
    <w:rsidRoot w:val="00433B5E"/>
    <w:rsid w:val="000B6A39"/>
    <w:rsid w:val="00433B5E"/>
    <w:rsid w:val="008848A5"/>
    <w:rsid w:val="00BB73CF"/>
    <w:rsid w:val="00C95404"/>
    <w:rsid w:val="00D459A3"/>
    <w:rsid w:val="00F172E3"/>
    <w:rsid w:val="011A24F4"/>
    <w:rsid w:val="01AD3849"/>
    <w:rsid w:val="02177E04"/>
    <w:rsid w:val="02397BE2"/>
    <w:rsid w:val="026220AC"/>
    <w:rsid w:val="02A831A2"/>
    <w:rsid w:val="02EB239A"/>
    <w:rsid w:val="02EB4DB0"/>
    <w:rsid w:val="02F96C46"/>
    <w:rsid w:val="038079B3"/>
    <w:rsid w:val="03BB1AB2"/>
    <w:rsid w:val="03CA0201"/>
    <w:rsid w:val="03CA1FAF"/>
    <w:rsid w:val="040C25C7"/>
    <w:rsid w:val="040E6340"/>
    <w:rsid w:val="0427765C"/>
    <w:rsid w:val="048C20DC"/>
    <w:rsid w:val="052069CE"/>
    <w:rsid w:val="054060A0"/>
    <w:rsid w:val="054F4644"/>
    <w:rsid w:val="05A1693D"/>
    <w:rsid w:val="05E76ED4"/>
    <w:rsid w:val="066927A1"/>
    <w:rsid w:val="069C086C"/>
    <w:rsid w:val="069C40D7"/>
    <w:rsid w:val="06FD0228"/>
    <w:rsid w:val="07195727"/>
    <w:rsid w:val="0732440A"/>
    <w:rsid w:val="0764271A"/>
    <w:rsid w:val="08005A40"/>
    <w:rsid w:val="08581C30"/>
    <w:rsid w:val="08590A28"/>
    <w:rsid w:val="085A523D"/>
    <w:rsid w:val="08730A48"/>
    <w:rsid w:val="08765411"/>
    <w:rsid w:val="08C47915"/>
    <w:rsid w:val="092A0706"/>
    <w:rsid w:val="0A921402"/>
    <w:rsid w:val="0AC27CEF"/>
    <w:rsid w:val="0B34440D"/>
    <w:rsid w:val="0B6379F7"/>
    <w:rsid w:val="0DC7073E"/>
    <w:rsid w:val="0DD52B76"/>
    <w:rsid w:val="0DE40111"/>
    <w:rsid w:val="0E4B63E2"/>
    <w:rsid w:val="0ED35A51"/>
    <w:rsid w:val="0EDD528C"/>
    <w:rsid w:val="0FC43855"/>
    <w:rsid w:val="10452007"/>
    <w:rsid w:val="10CA42EC"/>
    <w:rsid w:val="10F12BE1"/>
    <w:rsid w:val="11553800"/>
    <w:rsid w:val="116B048D"/>
    <w:rsid w:val="11955B04"/>
    <w:rsid w:val="11F4453E"/>
    <w:rsid w:val="12100A65"/>
    <w:rsid w:val="121921E1"/>
    <w:rsid w:val="12977969"/>
    <w:rsid w:val="12F11306"/>
    <w:rsid w:val="130A128E"/>
    <w:rsid w:val="13737F6D"/>
    <w:rsid w:val="13AC11DA"/>
    <w:rsid w:val="13E6690C"/>
    <w:rsid w:val="1410640B"/>
    <w:rsid w:val="141A19F4"/>
    <w:rsid w:val="148278AB"/>
    <w:rsid w:val="14AD6CA4"/>
    <w:rsid w:val="14C05230"/>
    <w:rsid w:val="14E43521"/>
    <w:rsid w:val="152E7424"/>
    <w:rsid w:val="15480228"/>
    <w:rsid w:val="15674BC4"/>
    <w:rsid w:val="159F0DA2"/>
    <w:rsid w:val="15F9400B"/>
    <w:rsid w:val="16715732"/>
    <w:rsid w:val="16771BCA"/>
    <w:rsid w:val="16CC45ED"/>
    <w:rsid w:val="17C30E7A"/>
    <w:rsid w:val="17E256C1"/>
    <w:rsid w:val="18564F55"/>
    <w:rsid w:val="18616D12"/>
    <w:rsid w:val="18E66EE1"/>
    <w:rsid w:val="19696F4D"/>
    <w:rsid w:val="1A82066E"/>
    <w:rsid w:val="1A8B2040"/>
    <w:rsid w:val="1B352E96"/>
    <w:rsid w:val="1B4B4399"/>
    <w:rsid w:val="1B650651"/>
    <w:rsid w:val="1BAD4286"/>
    <w:rsid w:val="1D2B18B9"/>
    <w:rsid w:val="1D552DD9"/>
    <w:rsid w:val="1D774AFE"/>
    <w:rsid w:val="1D9D51BC"/>
    <w:rsid w:val="1EF07C5B"/>
    <w:rsid w:val="1F9A383D"/>
    <w:rsid w:val="20056D14"/>
    <w:rsid w:val="2010196E"/>
    <w:rsid w:val="2014250D"/>
    <w:rsid w:val="202F16C0"/>
    <w:rsid w:val="203211B0"/>
    <w:rsid w:val="209A10AD"/>
    <w:rsid w:val="20AF6BF1"/>
    <w:rsid w:val="210A4F98"/>
    <w:rsid w:val="21470C8B"/>
    <w:rsid w:val="236A65E4"/>
    <w:rsid w:val="23835431"/>
    <w:rsid w:val="24261DBA"/>
    <w:rsid w:val="25816046"/>
    <w:rsid w:val="25941B68"/>
    <w:rsid w:val="25EE60F1"/>
    <w:rsid w:val="264B04A7"/>
    <w:rsid w:val="264F7170"/>
    <w:rsid w:val="265D41FA"/>
    <w:rsid w:val="27015200"/>
    <w:rsid w:val="279157A1"/>
    <w:rsid w:val="28260F38"/>
    <w:rsid w:val="28A64B17"/>
    <w:rsid w:val="29342F22"/>
    <w:rsid w:val="295D3F3E"/>
    <w:rsid w:val="2968464B"/>
    <w:rsid w:val="29D12562"/>
    <w:rsid w:val="2A0F5538"/>
    <w:rsid w:val="2A6C3B9F"/>
    <w:rsid w:val="2AB54EB7"/>
    <w:rsid w:val="2ACD3F13"/>
    <w:rsid w:val="2ADD3583"/>
    <w:rsid w:val="2B196ACC"/>
    <w:rsid w:val="2B4104F9"/>
    <w:rsid w:val="2B896799"/>
    <w:rsid w:val="2B9B2E7E"/>
    <w:rsid w:val="2BB56E7A"/>
    <w:rsid w:val="2BE66A67"/>
    <w:rsid w:val="2C2C3005"/>
    <w:rsid w:val="2C4B31B0"/>
    <w:rsid w:val="2CBC7852"/>
    <w:rsid w:val="2CD02BAB"/>
    <w:rsid w:val="2CFB60AE"/>
    <w:rsid w:val="2D766B80"/>
    <w:rsid w:val="2E833687"/>
    <w:rsid w:val="2F4B0830"/>
    <w:rsid w:val="2F7E293A"/>
    <w:rsid w:val="30295693"/>
    <w:rsid w:val="30C644F5"/>
    <w:rsid w:val="30E6238B"/>
    <w:rsid w:val="31344075"/>
    <w:rsid w:val="3183186B"/>
    <w:rsid w:val="318C6E2C"/>
    <w:rsid w:val="32011194"/>
    <w:rsid w:val="32B6787C"/>
    <w:rsid w:val="3306383F"/>
    <w:rsid w:val="33C5616B"/>
    <w:rsid w:val="33E65093"/>
    <w:rsid w:val="34DC2B4A"/>
    <w:rsid w:val="34E94505"/>
    <w:rsid w:val="35261EB5"/>
    <w:rsid w:val="354237EC"/>
    <w:rsid w:val="35520281"/>
    <w:rsid w:val="35EA1EB9"/>
    <w:rsid w:val="35FC0FEF"/>
    <w:rsid w:val="35FD74DC"/>
    <w:rsid w:val="35FE2594"/>
    <w:rsid w:val="36592B9B"/>
    <w:rsid w:val="376753FD"/>
    <w:rsid w:val="38521F98"/>
    <w:rsid w:val="390831EC"/>
    <w:rsid w:val="394B0D41"/>
    <w:rsid w:val="395630BB"/>
    <w:rsid w:val="395B01D5"/>
    <w:rsid w:val="39700D19"/>
    <w:rsid w:val="39C3492C"/>
    <w:rsid w:val="39DC5D26"/>
    <w:rsid w:val="3A397A96"/>
    <w:rsid w:val="3AB01669"/>
    <w:rsid w:val="3C5309BF"/>
    <w:rsid w:val="3C7C1D83"/>
    <w:rsid w:val="3CF96E86"/>
    <w:rsid w:val="3DB22D9B"/>
    <w:rsid w:val="3DF5764D"/>
    <w:rsid w:val="3DFF04CC"/>
    <w:rsid w:val="3EB23790"/>
    <w:rsid w:val="3ED40D01"/>
    <w:rsid w:val="3F0B662D"/>
    <w:rsid w:val="404E11B5"/>
    <w:rsid w:val="40CB441E"/>
    <w:rsid w:val="40CF1BD4"/>
    <w:rsid w:val="40EC44E6"/>
    <w:rsid w:val="4105229D"/>
    <w:rsid w:val="412B7DAA"/>
    <w:rsid w:val="41326E0A"/>
    <w:rsid w:val="41D13B05"/>
    <w:rsid w:val="42096D67"/>
    <w:rsid w:val="42310C62"/>
    <w:rsid w:val="42C722F0"/>
    <w:rsid w:val="448C05DF"/>
    <w:rsid w:val="44B71B00"/>
    <w:rsid w:val="45401875"/>
    <w:rsid w:val="45FD7C97"/>
    <w:rsid w:val="465D0D29"/>
    <w:rsid w:val="47040901"/>
    <w:rsid w:val="486A0301"/>
    <w:rsid w:val="48882087"/>
    <w:rsid w:val="49DE18DD"/>
    <w:rsid w:val="49EF06B8"/>
    <w:rsid w:val="4ADA281F"/>
    <w:rsid w:val="4B95246F"/>
    <w:rsid w:val="4C123DA1"/>
    <w:rsid w:val="4C2C6367"/>
    <w:rsid w:val="4C327CBE"/>
    <w:rsid w:val="4D161406"/>
    <w:rsid w:val="4D281794"/>
    <w:rsid w:val="4D3F3DDA"/>
    <w:rsid w:val="4D4B54DB"/>
    <w:rsid w:val="4E6B7899"/>
    <w:rsid w:val="4ED9026B"/>
    <w:rsid w:val="4F2833C2"/>
    <w:rsid w:val="4F697E9B"/>
    <w:rsid w:val="4F746822"/>
    <w:rsid w:val="4FE517D6"/>
    <w:rsid w:val="5068439E"/>
    <w:rsid w:val="508807F5"/>
    <w:rsid w:val="50C73CF7"/>
    <w:rsid w:val="50F65572"/>
    <w:rsid w:val="51B73C98"/>
    <w:rsid w:val="51FA4BC2"/>
    <w:rsid w:val="5269598B"/>
    <w:rsid w:val="528212A5"/>
    <w:rsid w:val="53377DE6"/>
    <w:rsid w:val="534F0429"/>
    <w:rsid w:val="539917A9"/>
    <w:rsid w:val="53B31822"/>
    <w:rsid w:val="546036C2"/>
    <w:rsid w:val="549239F0"/>
    <w:rsid w:val="549459BA"/>
    <w:rsid w:val="54DE09E3"/>
    <w:rsid w:val="558E6908"/>
    <w:rsid w:val="55B24AED"/>
    <w:rsid w:val="55F5199E"/>
    <w:rsid w:val="56496330"/>
    <w:rsid w:val="56691308"/>
    <w:rsid w:val="567A0BDF"/>
    <w:rsid w:val="572B3988"/>
    <w:rsid w:val="57A978A6"/>
    <w:rsid w:val="57EE718F"/>
    <w:rsid w:val="582924E0"/>
    <w:rsid w:val="58537FC0"/>
    <w:rsid w:val="58B6665A"/>
    <w:rsid w:val="58BA6A91"/>
    <w:rsid w:val="58DE09B0"/>
    <w:rsid w:val="58E06EF2"/>
    <w:rsid w:val="598029E5"/>
    <w:rsid w:val="59AB40C6"/>
    <w:rsid w:val="5C6F3C6B"/>
    <w:rsid w:val="5DDF303A"/>
    <w:rsid w:val="5E5E4C48"/>
    <w:rsid w:val="5EEC282D"/>
    <w:rsid w:val="5EEE4EC3"/>
    <w:rsid w:val="5FBA3DFB"/>
    <w:rsid w:val="6006525F"/>
    <w:rsid w:val="61A71B7A"/>
    <w:rsid w:val="622A5268"/>
    <w:rsid w:val="62D177F6"/>
    <w:rsid w:val="63400ABB"/>
    <w:rsid w:val="63F456B2"/>
    <w:rsid w:val="644F6D15"/>
    <w:rsid w:val="64922411"/>
    <w:rsid w:val="64D42282"/>
    <w:rsid w:val="64F64327"/>
    <w:rsid w:val="65102440"/>
    <w:rsid w:val="651A5FD7"/>
    <w:rsid w:val="657B5B48"/>
    <w:rsid w:val="658B24C1"/>
    <w:rsid w:val="65AF1157"/>
    <w:rsid w:val="6647487D"/>
    <w:rsid w:val="66644DA3"/>
    <w:rsid w:val="66645CD8"/>
    <w:rsid w:val="6760543B"/>
    <w:rsid w:val="67673ED9"/>
    <w:rsid w:val="6799472D"/>
    <w:rsid w:val="67CC74C1"/>
    <w:rsid w:val="680F2547"/>
    <w:rsid w:val="68A85138"/>
    <w:rsid w:val="68E819D9"/>
    <w:rsid w:val="69025709"/>
    <w:rsid w:val="694E26B9"/>
    <w:rsid w:val="6A2A3187"/>
    <w:rsid w:val="6AB1521D"/>
    <w:rsid w:val="6AD86EB6"/>
    <w:rsid w:val="6AF443D5"/>
    <w:rsid w:val="6B39651C"/>
    <w:rsid w:val="6B91756B"/>
    <w:rsid w:val="6BB41665"/>
    <w:rsid w:val="6BBD5355"/>
    <w:rsid w:val="6BC276BE"/>
    <w:rsid w:val="6C281322"/>
    <w:rsid w:val="6C841A18"/>
    <w:rsid w:val="6C9235D9"/>
    <w:rsid w:val="6D0A2966"/>
    <w:rsid w:val="6D1B3D72"/>
    <w:rsid w:val="6D8A12B0"/>
    <w:rsid w:val="6D8A6CA3"/>
    <w:rsid w:val="6DA72590"/>
    <w:rsid w:val="6E1E4D07"/>
    <w:rsid w:val="6EBC0C1D"/>
    <w:rsid w:val="6EEB661B"/>
    <w:rsid w:val="6F0230C8"/>
    <w:rsid w:val="6FCD7568"/>
    <w:rsid w:val="6FE37012"/>
    <w:rsid w:val="7030246F"/>
    <w:rsid w:val="70587444"/>
    <w:rsid w:val="70967F6C"/>
    <w:rsid w:val="70A049F5"/>
    <w:rsid w:val="70B4028F"/>
    <w:rsid w:val="70ED2F83"/>
    <w:rsid w:val="71531FC2"/>
    <w:rsid w:val="71733FFB"/>
    <w:rsid w:val="71997D14"/>
    <w:rsid w:val="71D9079B"/>
    <w:rsid w:val="71E30601"/>
    <w:rsid w:val="72023B1D"/>
    <w:rsid w:val="7266334B"/>
    <w:rsid w:val="726B719A"/>
    <w:rsid w:val="730114D3"/>
    <w:rsid w:val="73BC703B"/>
    <w:rsid w:val="74565612"/>
    <w:rsid w:val="746F3611"/>
    <w:rsid w:val="74AE1D28"/>
    <w:rsid w:val="771A36A5"/>
    <w:rsid w:val="774046CB"/>
    <w:rsid w:val="77C6382D"/>
    <w:rsid w:val="784D2C5C"/>
    <w:rsid w:val="788D4EE9"/>
    <w:rsid w:val="790C34C1"/>
    <w:rsid w:val="79256331"/>
    <w:rsid w:val="796A56F7"/>
    <w:rsid w:val="79986240"/>
    <w:rsid w:val="79AC25AE"/>
    <w:rsid w:val="7A2A2335"/>
    <w:rsid w:val="7B9A6B62"/>
    <w:rsid w:val="7BDD5FE6"/>
    <w:rsid w:val="7C5C2629"/>
    <w:rsid w:val="7C660C62"/>
    <w:rsid w:val="7D13112C"/>
    <w:rsid w:val="7D186265"/>
    <w:rsid w:val="7D622E53"/>
    <w:rsid w:val="7DB65785"/>
    <w:rsid w:val="7DEF0220"/>
    <w:rsid w:val="7E19450D"/>
    <w:rsid w:val="7E855DAD"/>
    <w:rsid w:val="7F1A34A0"/>
    <w:rsid w:val="7F413799"/>
    <w:rsid w:val="7F914269"/>
    <w:rsid w:val="7FD659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autoRedefine/>
    <w:unhideWhenUsed/>
    <w:qFormat/>
    <w:uiPriority w:val="1"/>
  </w:style>
  <w:style w:type="table" w:default="1" w:styleId="6">
    <w:name w:val="Normal Table"/>
    <w:autoRedefine/>
    <w:unhideWhenUsed/>
    <w:qFormat/>
    <w:uiPriority w:val="99"/>
    <w:tblPr>
      <w:tblCellMar>
        <w:top w:w="0" w:type="dxa"/>
        <w:left w:w="108" w:type="dxa"/>
        <w:bottom w:w="0" w:type="dxa"/>
        <w:right w:w="108" w:type="dxa"/>
      </w:tblCellMar>
    </w:tblPr>
  </w:style>
  <w:style w:type="paragraph" w:styleId="2">
    <w:name w:val="Body Text Indent 2"/>
    <w:basedOn w:val="1"/>
    <w:autoRedefine/>
    <w:qFormat/>
    <w:uiPriority w:val="0"/>
    <w:pPr>
      <w:spacing w:after="120" w:line="480" w:lineRule="auto"/>
      <w:ind w:left="420" w:leftChars="200"/>
    </w:pPr>
    <w:rPr>
      <w:rFonts w:ascii="Calibri" w:hAnsi="Calibri" w:eastAsia="宋体" w:cs="Times New Roman"/>
    </w:rPr>
  </w:style>
  <w:style w:type="paragraph" w:styleId="3">
    <w:name w:val="footer"/>
    <w:basedOn w:val="1"/>
    <w:autoRedefine/>
    <w:semiHidden/>
    <w:unhideWhenUsed/>
    <w:qFormat/>
    <w:uiPriority w:val="99"/>
    <w:pPr>
      <w:tabs>
        <w:tab w:val="center" w:pos="4153"/>
        <w:tab w:val="right" w:pos="8306"/>
      </w:tabs>
      <w:snapToGrid w:val="0"/>
      <w:jc w:val="left"/>
    </w:pPr>
    <w:rPr>
      <w:sz w:val="18"/>
    </w:rPr>
  </w:style>
  <w:style w:type="paragraph" w:styleId="4">
    <w:name w:val="header"/>
    <w:basedOn w:val="1"/>
    <w:autoRedefine/>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WPSOffice手动目录 1"/>
    <w:autoRedefine/>
    <w:qFormat/>
    <w:uiPriority w:val="0"/>
    <w:rPr>
      <w:rFonts w:ascii="Times New Roman" w:hAnsi="Times New Roman" w:eastAsia="宋体" w:cs="Times New Roman"/>
      <w:lang w:val="en-US" w:eastAsia="zh-CN" w:bidi="ar-SA"/>
    </w:rPr>
  </w:style>
  <w:style w:type="paragraph" w:customStyle="1" w:styleId="10">
    <w:name w:val="WPSOffice手动目录 2"/>
    <w:autoRedefine/>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12224</Words>
  <Characters>12922</Characters>
  <Lines>73</Lines>
  <Paragraphs>20</Paragraphs>
  <TotalTime>98</TotalTime>
  <ScaleCrop>false</ScaleCrop>
  <LinksUpToDate>false</LinksUpToDate>
  <CharactersWithSpaces>13106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2021-11-23T08:21:00Z</dcterms:created>
  <dc:creator>Administrator</dc:creator>
  <cp:lastModifiedBy>Administrator</cp:lastModifiedBy>
  <dcterms:modified xsi:type="dcterms:W3CDTF">2024-01-14T09:44:31Z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1F5F67462C94466E876947A12E7FD81B</vt:lpwstr>
  </property>
</Properties>
</file>