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712" w:firstLineChars="200"/>
        <w:rPr>
          <w:rFonts w:ascii="仿宋_GB2312" w:hAnsi="Times New Roman" w:eastAsia="仿宋_GB2312" w:cs="Times New Roman"/>
          <w:b/>
          <w:bCs/>
          <w:sz w:val="36"/>
          <w:szCs w:val="36"/>
        </w:rPr>
      </w:pPr>
      <w:r>
        <w:rPr>
          <w:rFonts w:hint="eastAsia" w:ascii="仿宋_GB2312" w:hAnsi="Times New Roman" w:eastAsia="仿宋_GB2312" w:cs="Times New Roman"/>
          <w:b/>
          <w:bCs/>
          <w:sz w:val="36"/>
          <w:szCs w:val="36"/>
        </w:rPr>
        <w:t>202</w:t>
      </w:r>
      <w:r>
        <w:rPr>
          <w:rFonts w:hint="eastAsia" w:ascii="仿宋_GB2312" w:hAnsi="Times New Roman" w:eastAsia="仿宋_GB2312" w:cs="Times New Roman"/>
          <w:b/>
          <w:bCs/>
          <w:sz w:val="36"/>
          <w:szCs w:val="36"/>
          <w:lang w:val="en-US" w:eastAsia="zh-CN"/>
        </w:rPr>
        <w:t>2</w:t>
      </w:r>
      <w:r>
        <w:rPr>
          <w:rFonts w:hint="eastAsia" w:ascii="仿宋_GB2312" w:hAnsi="Times New Roman" w:eastAsia="仿宋_GB2312" w:cs="Times New Roman"/>
          <w:b/>
          <w:bCs/>
          <w:sz w:val="36"/>
          <w:szCs w:val="36"/>
        </w:rPr>
        <w:t>年度</w:t>
      </w:r>
      <w:r>
        <w:rPr>
          <w:rFonts w:hint="eastAsia" w:ascii="仿宋_GB2312" w:hAnsi="Times New Roman" w:eastAsia="仿宋_GB2312" w:cs="Times New Roman"/>
          <w:b/>
          <w:bCs/>
          <w:sz w:val="36"/>
          <w:szCs w:val="36"/>
          <w:lang w:eastAsia="zh-CN"/>
        </w:rPr>
        <w:t>抗旱</w:t>
      </w:r>
      <w:r>
        <w:rPr>
          <w:rFonts w:hint="eastAsia" w:ascii="仿宋_GB2312" w:hAnsi="Times New Roman" w:eastAsia="仿宋_GB2312" w:cs="Times New Roman"/>
          <w:b/>
          <w:bCs/>
          <w:sz w:val="36"/>
          <w:szCs w:val="36"/>
        </w:rPr>
        <w:t>经费项目支出绩效评价报告</w:t>
      </w:r>
    </w:p>
    <w:p>
      <w:pPr>
        <w:spacing w:line="560" w:lineRule="exact"/>
        <w:ind w:firstLine="2136" w:firstLineChars="600"/>
        <w:rPr>
          <w:rFonts w:ascii="仿宋_GB2312" w:hAnsi="Times New Roman" w:eastAsia="仿宋_GB2312" w:cs="Times New Roman"/>
          <w:b/>
          <w:bCs/>
          <w:sz w:val="36"/>
          <w:szCs w:val="36"/>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怀远县农业农村局</w:t>
      </w: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怀远县农业农村局</w:t>
      </w:r>
    </w:p>
    <w:p>
      <w:pPr>
        <w:spacing w:line="560" w:lineRule="exact"/>
        <w:ind w:firstLine="1652" w:firstLineChars="700"/>
        <w:jc w:val="left"/>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委托单位：怀远县财政局</w:t>
      </w:r>
    </w:p>
    <w:p>
      <w:pPr>
        <w:spacing w:line="560" w:lineRule="exact"/>
        <w:ind w:firstLine="1652" w:firstLineChars="700"/>
        <w:jc w:val="left"/>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评价单位：安徽宝逸通企业咨询管理有限公司</w:t>
      </w:r>
    </w:p>
    <w:p>
      <w:pPr>
        <w:pStyle w:val="10"/>
        <w:rPr>
          <w:rFonts w:hint="eastAsia" w:ascii="仿宋_GB2312" w:hAnsi="Times New Roman" w:eastAsia="仿宋_GB2312" w:cs="Times New Roman"/>
          <w:sz w:val="24"/>
          <w:szCs w:val="24"/>
        </w:rPr>
      </w:pPr>
    </w:p>
    <w:p>
      <w:pPr>
        <w:pStyle w:val="10"/>
        <w:rPr>
          <w:rFonts w:hint="eastAsia" w:ascii="仿宋_GB2312" w:hAnsi="Times New Roman" w:eastAsia="仿宋_GB2312" w:cs="Times New Roman"/>
          <w:sz w:val="24"/>
          <w:szCs w:val="24"/>
        </w:rPr>
      </w:pPr>
    </w:p>
    <w:p>
      <w:pPr>
        <w:pStyle w:val="10"/>
        <w:rPr>
          <w:rFonts w:hint="eastAsia" w:ascii="仿宋_GB2312" w:hAnsi="Times New Roman" w:eastAsia="仿宋_GB2312" w:cs="Times New Roman"/>
          <w:sz w:val="24"/>
          <w:szCs w:val="24"/>
        </w:rPr>
      </w:pPr>
    </w:p>
    <w:p>
      <w:pPr>
        <w:pStyle w:val="10"/>
        <w:rPr>
          <w:rFonts w:hint="eastAsia" w:ascii="仿宋_GB2312" w:hAnsi="Times New Roman" w:eastAsia="仿宋_GB2312" w:cs="Times New Roman"/>
          <w:sz w:val="24"/>
          <w:szCs w:val="24"/>
        </w:rPr>
      </w:pPr>
    </w:p>
    <w:p>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3</w:t>
      </w:r>
      <w:r>
        <w:rPr>
          <w:rFonts w:hint="eastAsia" w:ascii="仿宋_GB2312" w:hAnsi="Times New Roman" w:eastAsia="仿宋_GB2312" w:cs="Times New Roman"/>
          <w:b/>
          <w:bCs/>
          <w:sz w:val="24"/>
          <w:szCs w:val="24"/>
        </w:rPr>
        <w:t>年</w:t>
      </w:r>
      <w:r>
        <w:rPr>
          <w:rFonts w:ascii="仿宋_GB2312" w:hAnsi="Times New Roman" w:eastAsia="仿宋_GB2312" w:cs="Times New Roman"/>
          <w:b/>
          <w:bCs/>
          <w:sz w:val="24"/>
          <w:szCs w:val="24"/>
        </w:rPr>
        <w:t>10</w:t>
      </w:r>
      <w:r>
        <w:rPr>
          <w:rFonts w:hint="eastAsia" w:ascii="仿宋_GB2312" w:hAnsi="Times New Roman" w:eastAsia="仿宋_GB2312" w:cs="Times New Roman"/>
          <w:b/>
          <w:bCs/>
          <w:sz w:val="24"/>
          <w:szCs w:val="24"/>
        </w:rPr>
        <w:t>月</w:t>
      </w:r>
    </w:p>
    <w:p>
      <w:pPr>
        <w:spacing w:line="560" w:lineRule="exact"/>
        <w:ind w:firstLine="472" w:firstLineChars="200"/>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pPr>
            <w:pStyle w:val="27"/>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8"/>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7"/>
            <w:tabs>
              <w:tab w:val="right" w:leader="dot" w:pos="8844"/>
            </w:tabs>
            <w:rPr>
              <w:rFonts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r>
            <w:rPr>
              <w:b/>
            </w:rPr>
            <w:fldChar w:fldCharType="end"/>
          </w:r>
        </w:p>
      </w:sdtContent>
    </w:sdt>
    <w:p>
      <w:pPr>
        <w:spacing w:line="560" w:lineRule="exact"/>
        <w:ind w:firstLine="712" w:firstLineChars="200"/>
        <w:outlineLvl w:val="0"/>
        <w:rPr>
          <w:rFonts w:ascii="方正小标宋简体" w:hAnsi="华文宋体" w:eastAsia="方正小标宋简体" w:cs="Times New Roman"/>
          <w:b/>
          <w:bCs/>
          <w:sz w:val="36"/>
          <w:szCs w:val="36"/>
        </w:rPr>
      </w:pPr>
      <w:bookmarkStart w:id="0" w:name="_Toc4018"/>
      <w:r>
        <w:rPr>
          <w:rFonts w:hint="eastAsia" w:ascii="方正小标宋简体" w:hAnsi="华文宋体" w:eastAsia="方正小标宋简体" w:cs="Times New Roman"/>
          <w:b/>
          <w:bCs/>
          <w:sz w:val="36"/>
          <w:szCs w:val="36"/>
        </w:rPr>
        <w:t>202</w:t>
      </w:r>
      <w:r>
        <w:rPr>
          <w:rFonts w:hint="eastAsia" w:ascii="方正小标宋简体" w:hAnsi="华文宋体" w:eastAsia="方正小标宋简体" w:cs="Times New Roman"/>
          <w:b/>
          <w:bCs/>
          <w:sz w:val="36"/>
          <w:szCs w:val="36"/>
          <w:lang w:val="en-US" w:eastAsia="zh-CN"/>
        </w:rPr>
        <w:t>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抗旱</w:t>
      </w:r>
      <w:r>
        <w:rPr>
          <w:rFonts w:hint="eastAsia" w:ascii="方正小标宋简体" w:hAnsi="华文宋体" w:eastAsia="方正小标宋简体" w:cs="Times New Roman"/>
          <w:b/>
          <w:bCs/>
          <w:sz w:val="36"/>
          <w:szCs w:val="36"/>
        </w:rPr>
        <w:t>经费项目支出绩效评价报告摘要</w:t>
      </w:r>
      <w:bookmarkEnd w:id="0"/>
    </w:p>
    <w:p>
      <w:pPr>
        <w:pStyle w:val="6"/>
        <w:spacing w:after="0" w:line="560" w:lineRule="exact"/>
        <w:ind w:firstLine="472" w:firstLineChars="200"/>
        <w:jc w:val="left"/>
        <w:rPr>
          <w:rFonts w:ascii="仿宋_GB2312"/>
          <w:sz w:val="24"/>
        </w:rPr>
      </w:pPr>
      <w:r>
        <w:rPr>
          <w:rFonts w:hint="eastAsia" w:ascii="仿宋_GB2312"/>
          <w:sz w:val="24"/>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w:t>
      </w:r>
      <w:r>
        <w:rPr>
          <w:rFonts w:hint="eastAsia" w:ascii="仿宋_GB2312"/>
          <w:sz w:val="24"/>
          <w:lang w:eastAsia="zh-CN"/>
        </w:rPr>
        <w:t>2022</w:t>
      </w:r>
      <w:r>
        <w:rPr>
          <w:rFonts w:hint="eastAsia" w:ascii="仿宋_GB2312"/>
          <w:sz w:val="24"/>
        </w:rPr>
        <w:t>〕1号）等要求，我们对202</w:t>
      </w:r>
      <w:r>
        <w:rPr>
          <w:rFonts w:hint="eastAsia" w:ascii="仿宋_GB2312"/>
          <w:sz w:val="24"/>
          <w:lang w:val="en-US" w:eastAsia="zh-CN"/>
        </w:rPr>
        <w:t>2</w:t>
      </w:r>
      <w:r>
        <w:rPr>
          <w:rFonts w:hint="eastAsia" w:ascii="仿宋_GB2312"/>
          <w:sz w:val="24"/>
        </w:rPr>
        <w:t>年度</w:t>
      </w:r>
      <w:r>
        <w:rPr>
          <w:rFonts w:hint="eastAsia" w:ascii="仿宋_GB2312"/>
          <w:sz w:val="24"/>
          <w:lang w:eastAsia="zh-CN"/>
        </w:rPr>
        <w:t>抗旱</w:t>
      </w:r>
      <w:r>
        <w:rPr>
          <w:rFonts w:hint="eastAsia" w:ascii="仿宋_GB2312"/>
          <w:sz w:val="24"/>
        </w:rPr>
        <w:t>经费项目开展了绩效评价，现将有关情况报告如下。</w:t>
      </w:r>
    </w:p>
    <w:p>
      <w:pPr>
        <w:spacing w:line="560" w:lineRule="exact"/>
        <w:ind w:firstLine="472" w:firstLineChars="200"/>
        <w:outlineLvl w:val="0"/>
        <w:rPr>
          <w:rFonts w:ascii="黑体" w:hAnsi="黑体" w:eastAsia="黑体" w:cs="Times New Roman"/>
          <w:sz w:val="24"/>
          <w:szCs w:val="24"/>
        </w:rPr>
      </w:pPr>
      <w:bookmarkStart w:id="1" w:name="_Toc11742"/>
      <w:r>
        <w:rPr>
          <w:rFonts w:hint="eastAsia" w:ascii="黑体" w:hAnsi="黑体" w:eastAsia="黑体" w:cs="Times New Roman"/>
          <w:sz w:val="24"/>
          <w:szCs w:val="24"/>
          <w:lang w:eastAsia="zh-CN"/>
        </w:rPr>
        <w:t>一</w:t>
      </w:r>
      <w:r>
        <w:rPr>
          <w:rFonts w:hint="eastAsia" w:ascii="黑体" w:hAnsi="黑体" w:eastAsia="黑体" w:cs="Times New Roman"/>
          <w:sz w:val="24"/>
          <w:szCs w:val="24"/>
        </w:rPr>
        <w:t>、项目执行情况</w:t>
      </w:r>
      <w:bookmarkEnd w:id="1"/>
    </w:p>
    <w:p>
      <w:pPr>
        <w:spacing w:line="560" w:lineRule="exact"/>
        <w:ind w:firstLine="472" w:firstLineChars="200"/>
        <w:outlineLvl w:val="1"/>
        <w:rPr>
          <w:rFonts w:ascii="楷体_GB2312" w:hAnsi="Times New Roman" w:eastAsia="楷体_GB2312" w:cs="Times New Roman"/>
          <w:sz w:val="24"/>
          <w:szCs w:val="24"/>
        </w:rPr>
      </w:pPr>
      <w:bookmarkStart w:id="2" w:name="_Toc14687"/>
      <w:r>
        <w:rPr>
          <w:rFonts w:hint="eastAsia" w:ascii="楷体_GB2312" w:hAnsi="Times New Roman" w:eastAsia="楷体_GB2312" w:cs="Times New Roman"/>
          <w:sz w:val="24"/>
          <w:szCs w:val="24"/>
        </w:rPr>
        <w:t>（一）预算执行情况</w:t>
      </w:r>
      <w:bookmarkEnd w:id="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农业农村局2022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经费”预算金额</w:t>
      </w:r>
      <w:r>
        <w:rPr>
          <w:rFonts w:hint="eastAsia" w:ascii="仿宋_GB2312" w:hAnsi="Times New Roman" w:eastAsia="仿宋_GB2312" w:cs="Times New Roman"/>
          <w:sz w:val="24"/>
          <w:szCs w:val="24"/>
          <w:lang w:val="en-US" w:eastAsia="zh-CN"/>
        </w:rPr>
        <w:t>348</w:t>
      </w:r>
      <w:r>
        <w:rPr>
          <w:rFonts w:hint="eastAsia" w:ascii="仿宋_GB2312" w:hAnsi="Times New Roman" w:eastAsia="仿宋_GB2312" w:cs="Times New Roman"/>
          <w:sz w:val="24"/>
          <w:szCs w:val="24"/>
        </w:rPr>
        <w:t>万元，实际到位</w:t>
      </w:r>
      <w:r>
        <w:rPr>
          <w:rFonts w:hint="eastAsia" w:ascii="仿宋_GB2312" w:hAnsi="Times New Roman" w:eastAsia="仿宋_GB2312" w:cs="Times New Roman"/>
          <w:sz w:val="24"/>
          <w:szCs w:val="24"/>
          <w:lang w:val="en-US" w:eastAsia="zh-CN"/>
        </w:rPr>
        <w:t>348</w:t>
      </w:r>
      <w:r>
        <w:rPr>
          <w:rFonts w:hint="eastAsia" w:ascii="仿宋_GB2312" w:hAnsi="Times New Roman" w:eastAsia="仿宋_GB2312" w:cs="Times New Roman"/>
          <w:sz w:val="24"/>
          <w:szCs w:val="24"/>
        </w:rPr>
        <w:t>万元，预算执行率100%。</w:t>
      </w:r>
    </w:p>
    <w:p>
      <w:pPr>
        <w:numPr>
          <w:ilvl w:val="0"/>
          <w:numId w:val="1"/>
        </w:numPr>
        <w:spacing w:line="560" w:lineRule="exact"/>
        <w:ind w:firstLine="472" w:firstLineChars="200"/>
        <w:outlineLvl w:val="1"/>
        <w:rPr>
          <w:rFonts w:ascii="楷体_GB2312" w:hAnsi="Times New Roman" w:eastAsia="楷体_GB2312" w:cs="Times New Roman"/>
          <w:sz w:val="24"/>
          <w:szCs w:val="24"/>
        </w:rPr>
      </w:pPr>
      <w:bookmarkStart w:id="3" w:name="_Toc9155"/>
      <w:r>
        <w:rPr>
          <w:rFonts w:hint="eastAsia" w:ascii="楷体_GB2312" w:hAnsi="Times New Roman" w:eastAsia="楷体_GB2312" w:cs="Times New Roman"/>
          <w:sz w:val="24"/>
          <w:szCs w:val="24"/>
        </w:rPr>
        <w:t>效益实现情况</w:t>
      </w:r>
      <w:bookmarkEnd w:id="3"/>
    </w:p>
    <w:p>
      <w:p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通过抗旱经费项目实施，乡镇、气象部门按照抗旱要求积极开展抗旱工作，保障了小麦苗情长势，取得了显著成效。</w:t>
      </w:r>
    </w:p>
    <w:p>
      <w:pPr>
        <w:pStyle w:val="17"/>
        <w:spacing w:before="0" w:beforeAutospacing="0" w:after="0" w:afterAutospacing="0" w:line="560" w:lineRule="exact"/>
        <w:ind w:firstLine="472" w:firstLineChars="200"/>
        <w:jc w:val="both"/>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1.抗旱前的全县麦田土壤墒情状况</w:t>
      </w:r>
    </w:p>
    <w:p>
      <w:pPr>
        <w:pStyle w:val="17"/>
        <w:spacing w:before="0" w:beforeAutospacing="0" w:after="0" w:afterAutospacing="0" w:line="560" w:lineRule="exact"/>
        <w:ind w:firstLine="472" w:firstLineChars="200"/>
        <w:jc w:val="both"/>
        <w:rPr>
          <w:rFonts w:hint="eastAsia" w:ascii="仿宋_GB2312" w:hAnsi="Times New Roman" w:eastAsia="仿宋_GB2312" w:cs="Times New Roman"/>
          <w:kern w:val="2"/>
          <w:sz w:val="24"/>
          <w:szCs w:val="24"/>
          <w:lang w:val="en-US" w:eastAsia="zh-CN" w:bidi="ar-SA"/>
        </w:rPr>
      </w:pPr>
      <w:bookmarkStart w:id="4" w:name="_Toc16658"/>
      <w:r>
        <w:rPr>
          <w:rFonts w:hint="eastAsia" w:ascii="仿宋_GB2312" w:hAnsi="Times New Roman" w:eastAsia="仿宋_GB2312" w:cs="Times New Roman"/>
          <w:kern w:val="2"/>
          <w:sz w:val="24"/>
          <w:szCs w:val="24"/>
          <w:lang w:val="en-US" w:eastAsia="zh-CN" w:bidi="ar-SA"/>
        </w:rPr>
        <w:t>根据县农技中心土壤墒情监测，旱茬未抗旱的麦田0-10cm表层土壤相对含水量54.95%-58.98%（土壤适宜相对含水量65-75%），土壤水分低于作物生长发育适宜含水量下限，不能满足作物生长发育需求；10-20cm土壤相对含水量73.7%-78.57%，适宜小麦生长发育。稻茬小麦，未抗旱田块0-5cm土壤相对含水量55.6-65.1%，墒情“不足”， 5-20cm土壤相对含水量75.3-85.9%，墒情“适宜”。</w:t>
      </w:r>
    </w:p>
    <w:p>
      <w:pPr>
        <w:spacing w:after="0" w:line="560" w:lineRule="exact"/>
        <w:ind w:firstLine="472" w:firstLineChars="200"/>
        <w:jc w:val="both"/>
        <w:rPr>
          <w:rFonts w:hint="eastAsia" w:ascii="楷体_GB2312" w:hAnsi="Times New Roman" w:eastAsia="楷体_GB2312" w:cs="Times New Roman"/>
          <w:kern w:val="2"/>
          <w:sz w:val="24"/>
          <w:szCs w:val="24"/>
          <w:lang w:val="en-US" w:eastAsia="zh-CN" w:bidi="ar-SA"/>
        </w:rPr>
      </w:pPr>
      <w:r>
        <w:rPr>
          <w:rFonts w:hint="eastAsia" w:ascii="楷体_GB2312" w:hAnsi="Times New Roman" w:eastAsia="楷体_GB2312" w:cs="Times New Roman"/>
          <w:kern w:val="2"/>
          <w:sz w:val="24"/>
          <w:szCs w:val="24"/>
          <w:lang w:val="en-US" w:eastAsia="zh-CN" w:bidi="ar-SA"/>
        </w:rPr>
        <w:t>2.旱情与抗旱情况</w:t>
      </w:r>
    </w:p>
    <w:p>
      <w:pPr>
        <w:spacing w:after="0" w:line="560" w:lineRule="exact"/>
        <w:ind w:firstLine="472" w:firstLineChars="200"/>
        <w:jc w:val="both"/>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全县90万亩旱作区小麦，有50万亩小麦因播种早、苗龄大，已有6叶以上的叶龄，根系下扎较深，抗旱能力较强，10-20cm土壤相对含水量73-78%，能满足作物生长发育，暂时不需抗旱，但仍有40万亩播种较迟，表层土壤酥松、播种浅的小麦田块，0-5厘米土壤相对含水量55-59%，需要浇灌，截止到2022年1月3日，全县已灌溉补墒面积69.6万亩，2022年1月4-5日，在气象部门的干预下，经历了一场降雨，全县旱情基本解除。</w:t>
      </w:r>
    </w:p>
    <w:p>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lang w:val="en-US" w:eastAsia="zh-CN"/>
        </w:rPr>
        <w:t>二.</w:t>
      </w:r>
      <w:r>
        <w:rPr>
          <w:rFonts w:hint="eastAsia" w:ascii="黑体" w:hAnsi="黑体" w:eastAsia="黑体" w:cs="Times New Roman"/>
          <w:bCs/>
          <w:sz w:val="24"/>
          <w:szCs w:val="24"/>
        </w:rPr>
        <w:t>绩效评价工作情况及评价结论</w:t>
      </w:r>
      <w:bookmarkEnd w:id="4"/>
    </w:p>
    <w:p>
      <w:pPr>
        <w:spacing w:line="560" w:lineRule="exact"/>
        <w:ind w:firstLine="472" w:firstLineChars="200"/>
        <w:outlineLvl w:val="1"/>
        <w:rPr>
          <w:rFonts w:ascii="楷体_GB2312" w:hAnsi="Times New Roman" w:eastAsia="楷体_GB2312" w:cs="Times New Roman"/>
          <w:sz w:val="24"/>
          <w:szCs w:val="24"/>
        </w:rPr>
      </w:pPr>
      <w:bookmarkStart w:id="5" w:name="_Toc2595"/>
      <w:r>
        <w:rPr>
          <w:rFonts w:hint="eastAsia" w:ascii="楷体_GB2312" w:hAnsi="Times New Roman" w:eastAsia="楷体_GB2312" w:cs="Times New Roman"/>
          <w:sz w:val="24"/>
          <w:szCs w:val="24"/>
        </w:rPr>
        <w:t>（一）评价范围及目的</w:t>
      </w:r>
      <w:bookmarkEnd w:id="5"/>
    </w:p>
    <w:p>
      <w:p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本次评价的范围是2022年抗旱经费资金，评价其绩效目标设定情况，资金投入和使用情况，为实现设定的绩效目标所制定的制度、采取的措施等，以及绩效目标最终的实现程度及效果。通过评价，深入了解2022年抗旱经费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outlineLvl w:val="1"/>
        <w:rPr>
          <w:rFonts w:ascii="楷体_GB2312" w:hAnsi="Times New Roman" w:eastAsia="楷体_GB2312" w:cs="Times New Roman"/>
          <w:sz w:val="24"/>
          <w:szCs w:val="24"/>
        </w:rPr>
      </w:pPr>
      <w:bookmarkStart w:id="6" w:name="_Toc26786"/>
      <w:r>
        <w:rPr>
          <w:rFonts w:hint="eastAsia" w:ascii="楷体_GB2312" w:hAnsi="Times New Roman" w:eastAsia="楷体_GB2312" w:cs="Times New Roman"/>
          <w:sz w:val="24"/>
          <w:szCs w:val="24"/>
        </w:rPr>
        <w:t>（二）评价指标体系</w:t>
      </w:r>
      <w:bookmarkEnd w:id="6"/>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kern w:val="2"/>
          <w:sz w:val="24"/>
          <w:szCs w:val="24"/>
          <w:lang w:val="en-US" w:eastAsia="zh-CN" w:bidi="ar-SA"/>
        </w:rPr>
        <w:t>本次绩效评价指标体系包括项目决策、项目过程、项目产出、项目效益 4 个一级指标，满分为 100 分。其中：项目决策（15分）主要评价项目立项、绩效目标、资金投入情况，重点关注项目绩效目标设定情况、预算编制和资金分配情况。项目过程（25分）资金管理和组织实施情况，其中资金方面重点关注资金支出的合法合规性和绩效自评情况，组织实施重点关注管理制度的健全性和制度执行的有效性的情况。项目产出（25分）主要评价项目在本年度的实际产出数量、产出质量、产出成本等产出完成情况，根据项目申报内容，重点核实产出数量是否达到设定目标、产出质量、产出成本是否符合设定标准。项目效益（35分）主要评价社会效益、经济效益、生态效益、可持续影响</w:t>
      </w:r>
      <w:r>
        <w:rPr>
          <w:rFonts w:hint="eastAsia" w:ascii="仿宋_GB2312" w:hAnsi="Times New Roman" w:eastAsia="仿宋_GB2312" w:cs="Times New Roman"/>
          <w:sz w:val="24"/>
          <w:szCs w:val="24"/>
        </w:rPr>
        <w:t>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满意度情况，重点关注项目在</w:t>
      </w:r>
      <w:r>
        <w:rPr>
          <w:rFonts w:hint="eastAsia" w:ascii="仿宋_GB2312" w:hAnsi="Times New Roman" w:eastAsia="仿宋_GB2312" w:cs="Times New Roman"/>
          <w:sz w:val="24"/>
          <w:szCs w:val="24"/>
          <w:lang w:val="en-US" w:eastAsia="zh-CN"/>
        </w:rPr>
        <w:t>生态</w:t>
      </w:r>
      <w:r>
        <w:rPr>
          <w:rFonts w:hint="eastAsia" w:ascii="仿宋_GB2312" w:hAnsi="Times New Roman" w:eastAsia="仿宋_GB2312" w:cs="Times New Roman"/>
          <w:sz w:val="24"/>
          <w:szCs w:val="24"/>
        </w:rPr>
        <w:t>方面发挥的实际作用情况和</w:t>
      </w:r>
      <w:r>
        <w:rPr>
          <w:rFonts w:hint="eastAsia" w:ascii="仿宋_GB2312" w:hAnsi="Times New Roman" w:eastAsia="仿宋_GB2312" w:cs="Times New Roman"/>
          <w:sz w:val="24"/>
          <w:szCs w:val="24"/>
          <w:lang w:val="en-US" w:eastAsia="zh-CN"/>
        </w:rPr>
        <w:t>农户</w:t>
      </w:r>
      <w:r>
        <w:rPr>
          <w:rFonts w:hint="eastAsia" w:ascii="仿宋_GB2312" w:hAnsi="Times New Roman" w:eastAsia="仿宋_GB2312" w:cs="Times New Roman"/>
          <w:sz w:val="24"/>
          <w:szCs w:val="24"/>
        </w:rPr>
        <w:t>的满意度情况。</w:t>
      </w:r>
    </w:p>
    <w:p>
      <w:pPr>
        <w:spacing w:line="560" w:lineRule="exact"/>
        <w:ind w:firstLine="472" w:firstLineChars="200"/>
        <w:outlineLvl w:val="1"/>
        <w:rPr>
          <w:rFonts w:hint="eastAsia" w:ascii="楷体_GB2312" w:hAnsi="Times New Roman" w:eastAsia="楷体_GB2312" w:cs="Times New Roman"/>
          <w:sz w:val="24"/>
          <w:szCs w:val="24"/>
        </w:rPr>
      </w:pPr>
      <w:bookmarkStart w:id="7" w:name="_Toc2560"/>
      <w:r>
        <w:rPr>
          <w:rFonts w:hint="eastAsia" w:ascii="楷体_GB2312" w:hAnsi="Times New Roman" w:eastAsia="楷体_GB2312" w:cs="Times New Roman"/>
          <w:sz w:val="24"/>
          <w:szCs w:val="24"/>
          <w:lang w:eastAsia="zh-CN"/>
        </w:rPr>
        <w:t>（</w:t>
      </w:r>
      <w:r>
        <w:rPr>
          <w:rFonts w:hint="eastAsia" w:ascii="楷体_GB2312" w:hAnsi="Times New Roman" w:eastAsia="楷体_GB2312" w:cs="Times New Roman"/>
          <w:sz w:val="24"/>
          <w:szCs w:val="24"/>
          <w:lang w:val="en-US" w:eastAsia="zh-CN"/>
        </w:rPr>
        <w:t>三</w:t>
      </w:r>
      <w:r>
        <w:rPr>
          <w:rFonts w:hint="eastAsia" w:ascii="楷体_GB2312" w:hAnsi="Times New Roman" w:eastAsia="楷体_GB2312" w:cs="Times New Roman"/>
          <w:sz w:val="24"/>
          <w:szCs w:val="24"/>
          <w:lang w:eastAsia="zh-CN"/>
        </w:rPr>
        <w:t>）</w:t>
      </w:r>
      <w:r>
        <w:rPr>
          <w:rFonts w:hint="eastAsia" w:ascii="楷体_GB2312" w:hAnsi="Times New Roman" w:eastAsia="楷体_GB2312" w:cs="Times New Roman"/>
          <w:sz w:val="24"/>
          <w:szCs w:val="24"/>
        </w:rPr>
        <w:t>评价方法与实施</w:t>
      </w:r>
      <w:bookmarkEnd w:id="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本次评价采用采取询问查证、</w:t>
      </w:r>
      <w:r>
        <w:rPr>
          <w:rFonts w:hint="eastAsia" w:ascii="仿宋_GB2312" w:hAnsi="Times New Roman" w:eastAsia="仿宋_GB2312" w:cs="Times New Roman"/>
          <w:sz w:val="24"/>
          <w:szCs w:val="24"/>
          <w:lang w:val="en-US" w:eastAsia="zh-CN"/>
        </w:rPr>
        <w:t>因素分析</w:t>
      </w:r>
      <w:r>
        <w:rPr>
          <w:rFonts w:hint="eastAsia" w:ascii="仿宋_GB2312" w:hAnsi="Times New Roman" w:eastAsia="仿宋_GB2312" w:cs="Times New Roman"/>
          <w:sz w:val="24"/>
          <w:szCs w:val="24"/>
        </w:rPr>
        <w:t>、问卷调查相结合的方式开展评价工作。总分为100分，评价结果分为优（≥90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询问查证：在比较分析项目资料的基础上，以现场或非现场方式，通过询问、实地</w:t>
      </w:r>
      <w:r>
        <w:rPr>
          <w:rFonts w:hint="eastAsia" w:ascii="仿宋_GB2312" w:hAnsi="Times New Roman" w:eastAsia="仿宋_GB2312" w:cs="Times New Roman"/>
          <w:sz w:val="24"/>
          <w:szCs w:val="24"/>
          <w:lang w:val="en-US" w:eastAsia="zh-CN"/>
        </w:rPr>
        <w:t>查看</w:t>
      </w:r>
      <w:r>
        <w:rPr>
          <w:rFonts w:hint="eastAsia" w:ascii="仿宋_GB2312" w:hAnsi="Times New Roman" w:eastAsia="仿宋_GB2312" w:cs="Times New Roman"/>
          <w:sz w:val="24"/>
          <w:szCs w:val="24"/>
        </w:rPr>
        <w:t>等形式，核查项目资料是否真实、合理，从而对项目作出初步的判断和评价。</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.因素分析</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问卷调查：通过设计不同形式的调查问卷，在一定范围内发放、收集、分析调查问卷，进行评价和判断，设置目标群体满意度指标来评价项目绩效。</w:t>
      </w:r>
    </w:p>
    <w:p>
      <w:pPr>
        <w:spacing w:line="560" w:lineRule="exact"/>
        <w:ind w:firstLine="472" w:firstLineChars="200"/>
        <w:outlineLvl w:val="1"/>
        <w:rPr>
          <w:rFonts w:ascii="楷体_GB2312" w:hAnsi="Times New Roman" w:eastAsia="楷体_GB2312" w:cs="Times New Roman"/>
          <w:sz w:val="24"/>
          <w:szCs w:val="24"/>
        </w:rPr>
      </w:pPr>
      <w:bookmarkStart w:id="8" w:name="_Toc29062"/>
      <w:r>
        <w:rPr>
          <w:rFonts w:hint="eastAsia" w:ascii="楷体_GB2312" w:hAnsi="Times New Roman" w:eastAsia="楷体_GB2312" w:cs="Times New Roman"/>
          <w:sz w:val="24"/>
          <w:szCs w:val="24"/>
        </w:rPr>
        <w:t>（四）评价结论</w:t>
      </w:r>
      <w:bookmarkEnd w:id="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highlight w:val="none"/>
        </w:rPr>
        <w:t xml:space="preserve">根据评价指标体系对本项目的绩效进行评价, </w:t>
      </w:r>
      <w:r>
        <w:rPr>
          <w:rFonts w:hint="eastAsia" w:ascii="仿宋_GB2312" w:hAnsi="Times New Roman" w:eastAsia="仿宋_GB2312" w:cs="Times New Roman"/>
          <w:sz w:val="24"/>
          <w:szCs w:val="24"/>
          <w:highlight w:val="none"/>
          <w:lang w:eastAsia="zh-CN"/>
        </w:rPr>
        <w:t>抗旱</w:t>
      </w:r>
      <w:r>
        <w:rPr>
          <w:rFonts w:hint="eastAsia" w:ascii="仿宋_GB2312" w:hAnsi="Times New Roman" w:eastAsia="仿宋_GB2312" w:cs="Times New Roman"/>
          <w:sz w:val="24"/>
          <w:szCs w:val="24"/>
          <w:highlight w:val="none"/>
        </w:rPr>
        <w:t>经费项目综合评价得分</w:t>
      </w:r>
      <w:r>
        <w:rPr>
          <w:rFonts w:hint="eastAsia" w:ascii="仿宋_GB2312" w:hAnsi="Times New Roman" w:eastAsia="仿宋_GB2312" w:cs="Times New Roman"/>
          <w:sz w:val="24"/>
          <w:szCs w:val="24"/>
          <w:highlight w:val="none"/>
          <w:lang w:val="en-US" w:eastAsia="zh-CN"/>
        </w:rPr>
        <w:t>89</w:t>
      </w:r>
      <w:r>
        <w:rPr>
          <w:rFonts w:hint="eastAsia" w:ascii="仿宋_GB2312" w:hAnsi="Times New Roman" w:eastAsia="仿宋_GB2312" w:cs="Times New Roman"/>
          <w:sz w:val="24"/>
          <w:szCs w:val="24"/>
          <w:highlight w:val="none"/>
        </w:rPr>
        <w:t>分，评价等级为“良”。</w:t>
      </w: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经费项目基本按照计划完成年度工作任务，实现了年度绩效目标，取得了较好的社会、经济和生态效益，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满意度高。但是，项目还存在绩效指标</w:t>
      </w:r>
      <w:r>
        <w:rPr>
          <w:rFonts w:hint="eastAsia" w:ascii="仿宋_GB2312" w:hAnsi="Times New Roman" w:eastAsia="仿宋_GB2312" w:cs="Times New Roman"/>
          <w:sz w:val="24"/>
          <w:szCs w:val="24"/>
          <w:lang w:val="en-US" w:eastAsia="zh-CN"/>
        </w:rPr>
        <w:t>不够量化、绩效目标完成情况不可测量</w:t>
      </w:r>
      <w:r>
        <w:rPr>
          <w:rFonts w:hint="eastAsia" w:ascii="仿宋_GB2312" w:hAnsi="Times New Roman" w:eastAsia="仿宋_GB2312" w:cs="Times New Roman"/>
          <w:sz w:val="24"/>
          <w:szCs w:val="24"/>
        </w:rPr>
        <w:t>等问题。</w:t>
      </w:r>
    </w:p>
    <w:p>
      <w:pPr>
        <w:spacing w:line="560" w:lineRule="exact"/>
        <w:ind w:firstLine="472" w:firstLineChars="200"/>
        <w:outlineLvl w:val="0"/>
        <w:rPr>
          <w:rFonts w:ascii="黑体" w:hAnsi="黑体" w:eastAsia="黑体" w:cs="Times New Roman"/>
          <w:bCs/>
          <w:sz w:val="24"/>
          <w:szCs w:val="24"/>
        </w:rPr>
      </w:pPr>
      <w:bookmarkStart w:id="9" w:name="_Toc4485"/>
      <w:r>
        <w:rPr>
          <w:rFonts w:hint="eastAsia" w:ascii="黑体" w:hAnsi="黑体" w:eastAsia="黑体" w:cs="Times New Roman"/>
          <w:bCs/>
          <w:sz w:val="24"/>
          <w:szCs w:val="24"/>
        </w:rPr>
        <w:t>四、绩效评价指标完成情况</w:t>
      </w:r>
      <w:bookmarkEnd w:id="9"/>
    </w:p>
    <w:p>
      <w:pPr>
        <w:spacing w:line="560" w:lineRule="exact"/>
        <w:ind w:firstLine="472" w:firstLineChars="200"/>
        <w:outlineLvl w:val="1"/>
        <w:rPr>
          <w:rFonts w:ascii="楷体_GB2312" w:hAnsi="Times New Roman" w:eastAsia="楷体_GB2312" w:cs="Times New Roman"/>
          <w:sz w:val="24"/>
          <w:szCs w:val="24"/>
        </w:rPr>
      </w:pPr>
      <w:bookmarkStart w:id="10" w:name="_Toc16774"/>
      <w:r>
        <w:rPr>
          <w:rFonts w:hint="eastAsia" w:ascii="楷体_GB2312" w:hAnsi="Times New Roman" w:eastAsia="楷体_GB2312" w:cs="Times New Roman"/>
          <w:sz w:val="24"/>
          <w:szCs w:val="24"/>
        </w:rPr>
        <w:t>（一）决策指标分析</w:t>
      </w:r>
      <w:bookmarkEnd w:id="10"/>
    </w:p>
    <w:p>
      <w:pPr>
        <w:spacing w:line="560" w:lineRule="exact"/>
        <w:ind w:firstLine="472" w:firstLineChars="200"/>
        <w:rPr>
          <w:rFonts w:hint="default" w:ascii="仿宋_GB2312" w:hAnsi="Times New Roman" w:eastAsia="仿宋_GB2312" w:cs="Times New Roman"/>
          <w:sz w:val="24"/>
          <w:szCs w:val="24"/>
          <w:lang w:val="en-US"/>
        </w:rPr>
      </w:pPr>
      <w:r>
        <w:rPr>
          <w:rFonts w:hint="eastAsia" w:ascii="仿宋_GB2312" w:hAnsi="Times New Roman" w:eastAsia="仿宋_GB2312" w:cs="Times New Roman"/>
          <w:sz w:val="24"/>
          <w:szCs w:val="24"/>
        </w:rPr>
        <w:t>该指标分值1</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93.33</w:t>
      </w:r>
      <w:r>
        <w:rPr>
          <w:rFonts w:hint="eastAsia" w:ascii="仿宋_GB2312" w:hAnsi="Times New Roman" w:eastAsia="仿宋_GB2312" w:cs="Times New Roman"/>
          <w:sz w:val="24"/>
          <w:szCs w:val="24"/>
        </w:rPr>
        <w:t>%。项目立项依据充分，程序规范。项目绩效目标细化分解为具体的绩效指标，</w:t>
      </w:r>
      <w:r>
        <w:rPr>
          <w:rFonts w:hint="eastAsia" w:ascii="仿宋_GB2312" w:hAnsi="Times New Roman" w:eastAsia="仿宋_GB2312" w:cs="Times New Roman"/>
          <w:sz w:val="24"/>
          <w:szCs w:val="24"/>
          <w:lang w:val="en-US" w:eastAsia="zh-CN"/>
        </w:rPr>
        <w:t>但部分三级指标不够明确，不可衡量。</w:t>
      </w:r>
    </w:p>
    <w:p>
      <w:pPr>
        <w:spacing w:line="560" w:lineRule="exact"/>
        <w:ind w:firstLine="472" w:firstLineChars="200"/>
        <w:outlineLvl w:val="1"/>
        <w:rPr>
          <w:rFonts w:ascii="楷体_GB2312" w:hAnsi="Times New Roman" w:eastAsia="楷体_GB2312" w:cs="Times New Roman"/>
          <w:sz w:val="24"/>
          <w:szCs w:val="24"/>
        </w:rPr>
      </w:pPr>
      <w:bookmarkStart w:id="11" w:name="_Toc1661"/>
      <w:r>
        <w:rPr>
          <w:rFonts w:hint="eastAsia" w:ascii="楷体_GB2312" w:hAnsi="Times New Roman" w:eastAsia="楷体_GB2312" w:cs="Times New Roman"/>
          <w:sz w:val="24"/>
          <w:szCs w:val="24"/>
        </w:rPr>
        <w:t>（二）过程指标分析</w:t>
      </w:r>
      <w:bookmarkEnd w:id="1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w:t>
      </w:r>
      <w:r>
        <w:rPr>
          <w:rFonts w:hint="eastAsia" w:ascii="仿宋_GB2312" w:hAnsi="Times New Roman" w:eastAsia="仿宋_GB2312" w:cs="Times New Roman"/>
          <w:sz w:val="24"/>
          <w:szCs w:val="24"/>
          <w:lang w:val="en-US" w:eastAsia="zh-CN"/>
        </w:rPr>
        <w:t>25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23</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92</w:t>
      </w:r>
      <w:r>
        <w:rPr>
          <w:rFonts w:hint="eastAsia" w:ascii="仿宋_GB2312" w:hAnsi="Times New Roman" w:eastAsia="仿宋_GB2312" w:cs="Times New Roman"/>
          <w:sz w:val="24"/>
          <w:szCs w:val="24"/>
        </w:rPr>
        <w:t>%。项目资金及时足额拨付到位，资金拨付具有完整的审批程序，资金使用合规，项目建立了财务及</w:t>
      </w:r>
      <w:r>
        <w:rPr>
          <w:rFonts w:hint="eastAsia" w:ascii="仿宋_GB2312" w:hAnsi="Times New Roman" w:eastAsia="仿宋_GB2312" w:cs="Times New Roman"/>
          <w:sz w:val="24"/>
          <w:szCs w:val="24"/>
          <w:lang w:val="en-US" w:eastAsia="zh-CN"/>
        </w:rPr>
        <w:t>专项资金</w:t>
      </w:r>
      <w:r>
        <w:rPr>
          <w:rFonts w:hint="eastAsia" w:ascii="仿宋_GB2312" w:hAnsi="Times New Roman" w:eastAsia="仿宋_GB2312" w:cs="Times New Roman"/>
          <w:sz w:val="24"/>
          <w:szCs w:val="24"/>
        </w:rPr>
        <w:t>管理制度，相关制度基本得到有效执行。但是绩效自评内容不够完整，数据填写不够规范。</w:t>
      </w:r>
    </w:p>
    <w:p>
      <w:pPr>
        <w:spacing w:line="560" w:lineRule="exact"/>
        <w:ind w:firstLine="472" w:firstLineChars="200"/>
        <w:outlineLvl w:val="1"/>
        <w:rPr>
          <w:rFonts w:ascii="楷体_GB2312" w:hAnsi="Times New Roman" w:eastAsia="楷体_GB2312" w:cs="Times New Roman"/>
          <w:sz w:val="24"/>
          <w:szCs w:val="24"/>
        </w:rPr>
      </w:pPr>
      <w:bookmarkStart w:id="12" w:name="_Toc27095"/>
      <w:r>
        <w:rPr>
          <w:rFonts w:hint="eastAsia" w:ascii="楷体_GB2312" w:hAnsi="Times New Roman" w:eastAsia="楷体_GB2312" w:cs="Times New Roman"/>
          <w:sz w:val="24"/>
          <w:szCs w:val="24"/>
        </w:rPr>
        <w:t>（三）产出指标分析</w:t>
      </w:r>
      <w:bookmarkEnd w:id="12"/>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该指标分值2</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任务完成及时</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预算执行完成率</w:t>
      </w:r>
      <w:r>
        <w:rPr>
          <w:rFonts w:hint="eastAsia" w:ascii="仿宋_GB2312" w:hAnsi="Times New Roman" w:eastAsia="仿宋_GB2312" w:cs="Times New Roman"/>
          <w:sz w:val="24"/>
          <w:szCs w:val="24"/>
          <w:lang w:val="en-US" w:eastAsia="zh-CN"/>
        </w:rPr>
        <w:t>100%</w:t>
      </w:r>
      <w:r>
        <w:rPr>
          <w:rFonts w:hint="eastAsia" w:ascii="仿宋_GB2312" w:hAnsi="Times New Roman" w:eastAsia="仿宋_GB2312" w:cs="Times New Roman"/>
          <w:sz w:val="24"/>
          <w:szCs w:val="24"/>
          <w:lang w:eastAsia="zh-CN"/>
        </w:rPr>
        <w:t>。</w:t>
      </w:r>
    </w:p>
    <w:p>
      <w:pPr>
        <w:spacing w:line="560" w:lineRule="exact"/>
        <w:ind w:firstLine="472" w:firstLineChars="200"/>
        <w:outlineLvl w:val="1"/>
        <w:rPr>
          <w:rFonts w:ascii="楷体_GB2312" w:hAnsi="Times New Roman" w:eastAsia="楷体_GB2312" w:cs="Times New Roman"/>
          <w:sz w:val="24"/>
          <w:szCs w:val="24"/>
        </w:rPr>
      </w:pPr>
      <w:bookmarkStart w:id="13" w:name="_Toc21880"/>
      <w:r>
        <w:rPr>
          <w:rFonts w:hint="eastAsia" w:ascii="楷体_GB2312" w:hAnsi="Times New Roman" w:eastAsia="楷体_GB2312" w:cs="Times New Roman"/>
          <w:sz w:val="24"/>
          <w:szCs w:val="24"/>
        </w:rPr>
        <w:t>（四）效益指标分析</w:t>
      </w:r>
      <w:bookmarkEnd w:id="13"/>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该指标分值3</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27</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77.14</w:t>
      </w:r>
      <w:r>
        <w:rPr>
          <w:rFonts w:hint="eastAsia" w:ascii="仿宋_GB2312" w:hAnsi="Times New Roman" w:eastAsia="仿宋_GB2312" w:cs="Times New Roman"/>
          <w:sz w:val="24"/>
          <w:szCs w:val="24"/>
        </w:rPr>
        <w:t>%。通过</w:t>
      </w:r>
      <w:r>
        <w:rPr>
          <w:rFonts w:hint="eastAsia" w:ascii="仿宋_GB2312" w:hAnsi="Times New Roman" w:eastAsia="仿宋_GB2312" w:cs="Times New Roman"/>
          <w:sz w:val="24"/>
          <w:szCs w:val="24"/>
          <w:lang w:eastAsia="zh-CN"/>
        </w:rPr>
        <w:t>抗旱保苗</w:t>
      </w:r>
      <w:r>
        <w:rPr>
          <w:rFonts w:hint="eastAsia" w:ascii="仿宋_GB2312" w:hAnsi="Times New Roman" w:eastAsia="仿宋_GB2312" w:cs="Times New Roman"/>
          <w:sz w:val="24"/>
          <w:szCs w:val="24"/>
        </w:rPr>
        <w:t>，旱情</w:t>
      </w:r>
      <w:r>
        <w:rPr>
          <w:rFonts w:hint="eastAsia" w:ascii="仿宋_GB2312" w:hAnsi="Times New Roman" w:eastAsia="仿宋_GB2312" w:cs="Times New Roman"/>
          <w:sz w:val="24"/>
          <w:szCs w:val="24"/>
          <w:lang w:val="en-US" w:eastAsia="zh-CN"/>
        </w:rPr>
        <w:t>得到了</w:t>
      </w:r>
      <w:r>
        <w:rPr>
          <w:rFonts w:hint="eastAsia" w:ascii="仿宋_GB2312" w:hAnsi="Times New Roman" w:eastAsia="仿宋_GB2312" w:cs="Times New Roman"/>
          <w:sz w:val="24"/>
          <w:szCs w:val="24"/>
        </w:rPr>
        <w:t>缓解</w:t>
      </w:r>
      <w:r>
        <w:rPr>
          <w:rFonts w:hint="eastAsia" w:ascii="仿宋_GB2312" w:hAnsi="Times New Roman" w:eastAsia="仿宋_GB2312" w:cs="Times New Roman"/>
          <w:sz w:val="24"/>
          <w:szCs w:val="24"/>
          <w:lang w:eastAsia="zh-CN"/>
        </w:rPr>
        <w:t>，促进了小麦稳健生长。</w:t>
      </w:r>
      <w:r>
        <w:rPr>
          <w:rFonts w:hint="eastAsia" w:ascii="仿宋_GB2312" w:hAnsi="Times New Roman" w:eastAsia="仿宋_GB2312" w:cs="Times New Roman"/>
          <w:sz w:val="24"/>
          <w:szCs w:val="24"/>
          <w:lang w:val="en-US" w:eastAsia="zh-CN"/>
        </w:rPr>
        <w:t>降低了对</w:t>
      </w:r>
      <w:r>
        <w:rPr>
          <w:rFonts w:hint="eastAsia" w:ascii="仿宋_GB2312" w:hAnsi="Times New Roman" w:eastAsia="仿宋_GB2312" w:cs="Times New Roman"/>
          <w:sz w:val="24"/>
          <w:szCs w:val="24"/>
          <w:lang w:eastAsia="zh-CN"/>
        </w:rPr>
        <w:t>补助对象经济负担</w:t>
      </w:r>
      <w:r>
        <w:rPr>
          <w:rFonts w:hint="eastAsia" w:ascii="仿宋_GB2312" w:hAnsi="Times New Roman" w:eastAsia="仿宋_GB2312" w:cs="Times New Roman"/>
          <w:sz w:val="24"/>
          <w:szCs w:val="24"/>
          <w:lang w:val="en-US" w:eastAsia="zh-CN"/>
        </w:rPr>
        <w:t>；</w:t>
      </w:r>
      <w:r>
        <w:rPr>
          <w:rFonts w:hint="eastAsia" w:ascii="仿宋_GB2312" w:hAnsi="Times New Roman" w:eastAsia="仿宋_GB2312" w:cs="Times New Roman"/>
          <w:sz w:val="24"/>
          <w:szCs w:val="24"/>
        </w:rPr>
        <w:t>减轻农户抗旱用水压力，稳定粮食生产</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取得</w:t>
      </w:r>
      <w:r>
        <w:rPr>
          <w:rFonts w:hint="eastAsia" w:ascii="仿宋_GB2312" w:hAnsi="Times New Roman" w:eastAsia="仿宋_GB2312" w:cs="Times New Roman"/>
          <w:sz w:val="24"/>
          <w:szCs w:val="24"/>
          <w:lang w:eastAsia="zh-CN"/>
        </w:rPr>
        <w:t>较好</w:t>
      </w:r>
      <w:r>
        <w:rPr>
          <w:rFonts w:hint="eastAsia" w:ascii="仿宋_GB2312" w:hAnsi="Times New Roman" w:eastAsia="仿宋_GB2312" w:cs="Times New Roman"/>
          <w:sz w:val="24"/>
          <w:szCs w:val="24"/>
        </w:rPr>
        <w:t>的生态效益；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w:t>
      </w:r>
      <w:bookmarkStart w:id="14" w:name="_Hlk80800402"/>
      <w:r>
        <w:rPr>
          <w:rFonts w:hint="eastAsia" w:ascii="仿宋_GB2312" w:hAnsi="Times New Roman" w:eastAsia="仿宋_GB2312" w:cs="Times New Roman"/>
          <w:sz w:val="24"/>
          <w:szCs w:val="24"/>
          <w:lang w:val="en-US" w:eastAsia="zh-CN"/>
        </w:rPr>
        <w:t>较</w:t>
      </w:r>
      <w:r>
        <w:rPr>
          <w:rFonts w:hint="eastAsia" w:ascii="仿宋_GB2312" w:hAnsi="Times New Roman" w:eastAsia="仿宋_GB2312" w:cs="Times New Roman"/>
          <w:sz w:val="24"/>
          <w:szCs w:val="24"/>
        </w:rPr>
        <w:t>高。</w:t>
      </w:r>
    </w:p>
    <w:p>
      <w:pPr>
        <w:spacing w:line="560" w:lineRule="exact"/>
        <w:ind w:firstLine="472" w:firstLineChars="200"/>
        <w:outlineLvl w:val="0"/>
        <w:rPr>
          <w:rFonts w:ascii="黑体" w:hAnsi="黑体" w:eastAsia="黑体" w:cs="Times New Roman"/>
          <w:bCs/>
          <w:sz w:val="24"/>
          <w:szCs w:val="24"/>
        </w:rPr>
      </w:pPr>
      <w:bookmarkStart w:id="15" w:name="_Toc3128"/>
      <w:r>
        <w:rPr>
          <w:rFonts w:hint="eastAsia" w:ascii="黑体" w:hAnsi="黑体" w:eastAsia="黑体" w:cs="Times New Roman"/>
          <w:bCs/>
          <w:sz w:val="24"/>
          <w:szCs w:val="24"/>
        </w:rPr>
        <w:t>五、主要经验及做法</w:t>
      </w:r>
      <w:bookmarkEnd w:id="15"/>
    </w:p>
    <w:p>
      <w:pPr>
        <w:numPr>
          <w:ilvl w:val="0"/>
          <w:numId w:val="0"/>
        </w:numPr>
        <w:ind w:firstLine="472" w:firstLineChars="200"/>
        <w:jc w:val="both"/>
        <w:rPr>
          <w:rFonts w:hint="eastAsia" w:ascii="仿宋_GB2312" w:hAnsi="Times New Roman" w:eastAsia="仿宋_GB2312" w:cs="Times New Roman"/>
          <w:sz w:val="24"/>
          <w:szCs w:val="24"/>
        </w:rPr>
      </w:pPr>
      <w:r>
        <w:rPr>
          <w:rFonts w:hint="eastAsia" w:ascii="仿宋_GB2312" w:hAnsi="Times New Roman" w:eastAsia="仿宋_GB2312" w:cs="Times New Roman"/>
          <w:kern w:val="2"/>
          <w:sz w:val="24"/>
          <w:szCs w:val="24"/>
          <w:lang w:val="en-US" w:eastAsia="zh-CN" w:bidi="ar-SA"/>
        </w:rPr>
        <w:t>（一）早谋划早发动。2021年12月县农业农村局下发《关于做好抗旱保苗相关工作的紧急通知》（怀农函</w:t>
      </w:r>
      <w:r>
        <w:rPr>
          <w:rFonts w:hint="default" w:ascii="仿宋_GB2312" w:hAnsi="Times New Roman" w:eastAsia="仿宋_GB2312" w:cs="Times New Roman"/>
          <w:kern w:val="2"/>
          <w:sz w:val="24"/>
          <w:szCs w:val="24"/>
          <w:lang w:val="en-US" w:eastAsia="zh-CN" w:bidi="ar-SA"/>
        </w:rPr>
        <w:t>〔2023〕</w:t>
      </w:r>
      <w:r>
        <w:rPr>
          <w:rFonts w:hint="eastAsia" w:ascii="仿宋_GB2312" w:hAnsi="Times New Roman" w:eastAsia="仿宋_GB2312" w:cs="Times New Roman"/>
          <w:kern w:val="2"/>
          <w:sz w:val="24"/>
          <w:szCs w:val="24"/>
          <w:lang w:val="en-US" w:eastAsia="zh-CN" w:bidi="ar-SA"/>
        </w:rPr>
        <w:t>163</w:t>
      </w:r>
      <w:r>
        <w:rPr>
          <w:rFonts w:hint="default" w:ascii="仿宋_GB2312" w:hAnsi="Times New Roman" w:eastAsia="仿宋_GB2312" w:cs="Times New Roman"/>
          <w:kern w:val="2"/>
          <w:sz w:val="24"/>
          <w:szCs w:val="24"/>
          <w:lang w:val="en-US" w:eastAsia="zh-CN" w:bidi="ar-SA"/>
        </w:rPr>
        <w:t>号</w:t>
      </w:r>
      <w:r>
        <w:rPr>
          <w:rFonts w:hint="eastAsia" w:ascii="仿宋_GB2312" w:hAnsi="Times New Roman" w:eastAsia="仿宋_GB2312" w:cs="Times New Roman"/>
          <w:kern w:val="2"/>
          <w:sz w:val="24"/>
          <w:szCs w:val="24"/>
          <w:lang w:val="en-US" w:eastAsia="zh-CN" w:bidi="ar-SA"/>
        </w:rPr>
        <w:t>）2021年12月召开抗旱工作会议，推进抗旱，实时解决抗旱难点。乡镇高度重视抗旱保苗工作的重要性，积极采取措施，打好抗旱保苗攻坚战。</w:t>
      </w:r>
    </w:p>
    <w:p>
      <w:pPr>
        <w:numPr>
          <w:ilvl w:val="0"/>
          <w:numId w:val="0"/>
        </w:num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二）加强组织领导。各乡镇领导深入抗旱一线，靠前指挥，亲自部署抗旱工作，协调解决具体困难和问题。建立健全抗旱工作责任制，要划片包干，落实责任，切实做到一级抓一级、一级对一级负责，确保责任人员到岗到位，履行职责。农技人员深入田间地头，开展抗旱保苗技术指导和服务。加大苗情与土壤墒情的监测力度。</w:t>
      </w:r>
    </w:p>
    <w:p>
      <w:pPr>
        <w:numPr>
          <w:ilvl w:val="0"/>
          <w:numId w:val="0"/>
        </w:num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三）落实抗旱保苗措施。一是立即开展查田补种。组织干部、技术人员和群众立即深入田间，逐地块查看土壤墒情和作物出苗情况，有针对性地制定抗旱措施。二是全力抗旱保苗。按照“保出苗、保活苗、保全苗、保齐苗”的要求，做好抗旱保苗工作。加强抗旱水源建设，抢修和利用现有水利设施和水利工程，扩大供水能力，提高抗旱水源保障能力，满足抗旱用水需求，并大力推广节水抗旱技术，努力增加水浇面积，确保不发生死苗现象。三是科学灌溉，合理抗旱。根据实际苗情、土壤墒情和天气情况，利用中午气温回升的有利时机，指导农民进行灌溉，尤其要把握适当灌水量，避免地面结冰，造成麦苗窒息。</w:t>
      </w:r>
    </w:p>
    <w:p>
      <w:p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四）加强田间管理。加强苗期田间管理，对已出苗地块要提早铲趟，减少土壤表面水分蒸发，同时做好在田作物防寒措施。农技人员加强服务，指导农民采取叶面喷施抗旱剂、保水剂等办法，增强作物抗旱能力。</w:t>
      </w:r>
    </w:p>
    <w:p>
      <w:pPr>
        <w:spacing w:line="560" w:lineRule="exact"/>
        <w:ind w:firstLine="472" w:firstLineChars="200"/>
        <w:outlineLvl w:val="0"/>
        <w:rPr>
          <w:rFonts w:ascii="黑体" w:hAnsi="黑体" w:eastAsia="黑体" w:cs="Times New Roman"/>
          <w:bCs/>
          <w:sz w:val="24"/>
          <w:szCs w:val="24"/>
          <w:highlight w:val="none"/>
        </w:rPr>
      </w:pPr>
      <w:bookmarkStart w:id="16" w:name="_Toc2815"/>
      <w:r>
        <w:rPr>
          <w:rFonts w:hint="eastAsia" w:ascii="黑体" w:hAnsi="黑体" w:eastAsia="黑体" w:cs="Times New Roman"/>
          <w:bCs/>
          <w:sz w:val="24"/>
          <w:szCs w:val="24"/>
          <w:highlight w:val="none"/>
        </w:rPr>
        <w:t>六、存在问题及原因分析</w:t>
      </w:r>
      <w:bookmarkEnd w:id="16"/>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rPr>
        <w:t>（一）项目绩效指标</w:t>
      </w:r>
      <w:r>
        <w:rPr>
          <w:rFonts w:hint="eastAsia" w:ascii="仿宋_GB2312" w:hAnsi="Times New Roman" w:eastAsia="仿宋_GB2312" w:cs="Times New Roman"/>
          <w:sz w:val="24"/>
          <w:szCs w:val="24"/>
          <w:highlight w:val="none"/>
          <w:lang w:val="en-US" w:eastAsia="zh-CN"/>
        </w:rPr>
        <w:t>不够细化量化，指标值</w:t>
      </w:r>
      <w:r>
        <w:rPr>
          <w:rFonts w:hint="eastAsia" w:ascii="仿宋_GB2312" w:hAnsi="Times New Roman" w:eastAsia="仿宋_GB2312" w:cs="Times New Roman"/>
          <w:sz w:val="24"/>
          <w:szCs w:val="24"/>
          <w:highlight w:val="none"/>
        </w:rPr>
        <w:t>设置明确性、</w:t>
      </w:r>
      <w:r>
        <w:rPr>
          <w:rFonts w:hint="eastAsia" w:ascii="仿宋_GB2312" w:hAnsi="Times New Roman" w:eastAsia="仿宋_GB2312" w:cs="Times New Roman"/>
          <w:sz w:val="24"/>
          <w:szCs w:val="24"/>
          <w:highlight w:val="none"/>
          <w:lang w:val="en-US" w:eastAsia="zh-CN"/>
        </w:rPr>
        <w:t>相关性</w:t>
      </w:r>
      <w:r>
        <w:rPr>
          <w:rFonts w:hint="eastAsia" w:ascii="仿宋_GB2312" w:hAnsi="Times New Roman" w:eastAsia="仿宋_GB2312" w:cs="Times New Roman"/>
          <w:sz w:val="24"/>
          <w:szCs w:val="24"/>
          <w:highlight w:val="none"/>
        </w:rPr>
        <w:t>不足。绩效目标较为简单、笼统，未根据项目实际对产出和效益进行量化、细化，多数为泛化的定性指标，评价依据不清，标准不明确，缺少科学合理的衡量标准，如</w:t>
      </w:r>
      <w:r>
        <w:rPr>
          <w:rFonts w:hint="eastAsia" w:ascii="仿宋_GB2312" w:hAnsi="Times New Roman" w:eastAsia="仿宋_GB2312" w:cs="Times New Roman"/>
          <w:sz w:val="24"/>
          <w:szCs w:val="24"/>
          <w:highlight w:val="none"/>
          <w:lang w:val="en-US" w:eastAsia="zh-CN"/>
        </w:rPr>
        <w:t>数量指标与工作相关性不高，指标值仅设置为补助乡镇、部门个数，未说明补助抗旱面积；</w:t>
      </w:r>
      <w:r>
        <w:rPr>
          <w:rFonts w:hint="eastAsia" w:ascii="仿宋_GB2312" w:hAnsi="Times New Roman" w:eastAsia="仿宋_GB2312" w:cs="Times New Roman"/>
          <w:sz w:val="24"/>
          <w:szCs w:val="24"/>
          <w:highlight w:val="none"/>
        </w:rPr>
        <w:t>效益指标设置为“降低影响程度</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减轻用水压力、稳定粮食生产</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等，</w:t>
      </w:r>
      <w:r>
        <w:rPr>
          <w:rFonts w:hint="eastAsia" w:ascii="仿宋_GB2312" w:hAnsi="Times New Roman" w:eastAsia="仿宋_GB2312" w:cs="Times New Roman"/>
          <w:sz w:val="24"/>
          <w:szCs w:val="24"/>
          <w:highlight w:val="none"/>
        </w:rPr>
        <w:t>指标过于</w:t>
      </w:r>
      <w:r>
        <w:rPr>
          <w:rFonts w:hint="eastAsia" w:ascii="仿宋_GB2312" w:hAnsi="Times New Roman" w:eastAsia="仿宋_GB2312" w:cs="Times New Roman"/>
          <w:sz w:val="24"/>
          <w:szCs w:val="24"/>
          <w:highlight w:val="none"/>
          <w:lang w:val="en-US" w:eastAsia="zh-CN"/>
        </w:rPr>
        <w:t>笼统</w:t>
      </w:r>
      <w:r>
        <w:rPr>
          <w:rFonts w:hint="eastAsia" w:ascii="仿宋_GB2312" w:hAnsi="Times New Roman" w:eastAsia="仿宋_GB2312" w:cs="Times New Roman"/>
          <w:sz w:val="24"/>
          <w:szCs w:val="24"/>
          <w:highlight w:val="none"/>
        </w:rPr>
        <w:t>，缺乏量化的数据进行支撑</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二</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绩效自评表不够细化、绩效自评报告过于简单，不能完全精确体现实际效益。如自评表中的效益指标实际完成值填写为“较明显”，且缺乏相关完成程度的佐证材料，实际完成效益不可测量，自评报告仅简单复述绩效自评表中的指标值内容，缺乏对指标完成程度的分析，不能完全体现实际效益。</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三</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抗旱资金使用监督管理不足，无法充分体现资金实际使用效益</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我县2022年抗旱保苗工作于2021年底2022年初组织开展，县农业农村局将抗旱经费拨付乡镇时间在2022年4月，资金为事后补助，资金下达乡镇后是否用于弥补乡镇前期开展的抗旱成本支出，县农业农村局未进行统计核实，乡镇的抗旱资金使用绩效不够明显</w:t>
      </w:r>
      <w:r>
        <w:rPr>
          <w:rFonts w:hint="eastAsia" w:ascii="仿宋_GB2312" w:hAnsi="Times New Roman" w:eastAsia="仿宋_GB2312" w:cs="Times New Roman"/>
          <w:sz w:val="24"/>
          <w:szCs w:val="24"/>
          <w:highlight w:val="none"/>
        </w:rPr>
        <w:t>。</w:t>
      </w:r>
    </w:p>
    <w:p>
      <w:pPr>
        <w:spacing w:line="560" w:lineRule="exact"/>
        <w:ind w:firstLine="472" w:firstLineChars="200"/>
        <w:outlineLvl w:val="0"/>
        <w:rPr>
          <w:rFonts w:ascii="黑体" w:hAnsi="黑体" w:eastAsia="黑体" w:cs="Times New Roman"/>
          <w:bCs/>
          <w:sz w:val="24"/>
          <w:szCs w:val="24"/>
          <w:highlight w:val="none"/>
        </w:rPr>
      </w:pPr>
      <w:bookmarkStart w:id="17" w:name="_Toc13766"/>
      <w:r>
        <w:rPr>
          <w:rFonts w:hint="eastAsia" w:ascii="黑体" w:hAnsi="黑体" w:eastAsia="黑体" w:cs="Times New Roman"/>
          <w:bCs/>
          <w:sz w:val="24"/>
          <w:szCs w:val="24"/>
          <w:highlight w:val="none"/>
        </w:rPr>
        <w:t>七、有关建议</w:t>
      </w:r>
      <w:bookmarkEnd w:id="17"/>
    </w:p>
    <w:p>
      <w:pPr>
        <w:spacing w:line="560" w:lineRule="exact"/>
        <w:ind w:firstLine="472" w:firstLineChars="200"/>
        <w:outlineLvl w:val="1"/>
        <w:rPr>
          <w:rFonts w:hint="default" w:ascii="楷体_GB2312" w:hAnsi="Times New Roman" w:eastAsia="楷体_GB2312" w:cs="Times New Roman"/>
          <w:sz w:val="24"/>
          <w:szCs w:val="24"/>
          <w:highlight w:val="none"/>
          <w:lang w:val="en-US" w:eastAsia="zh-CN"/>
        </w:rPr>
      </w:pPr>
      <w:bookmarkStart w:id="18" w:name="_Toc20363"/>
      <w:r>
        <w:rPr>
          <w:rFonts w:hint="eastAsia" w:ascii="楷体_GB2312" w:hAnsi="Times New Roman" w:eastAsia="楷体_GB2312" w:cs="Times New Roman"/>
          <w:sz w:val="24"/>
          <w:szCs w:val="24"/>
          <w:highlight w:val="none"/>
        </w:rPr>
        <w:t>（一）</w:t>
      </w:r>
      <w:bookmarkEnd w:id="18"/>
      <w:r>
        <w:rPr>
          <w:rFonts w:hint="eastAsia" w:ascii="楷体_GB2312" w:hAnsi="Times New Roman" w:eastAsia="楷体_GB2312" w:cs="Times New Roman"/>
          <w:sz w:val="24"/>
          <w:szCs w:val="24"/>
          <w:highlight w:val="none"/>
          <w:lang w:val="en-US" w:eastAsia="zh-CN"/>
        </w:rPr>
        <w:t>加强绩效管理学习</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val="en-US" w:eastAsia="zh-CN"/>
        </w:rPr>
        <w:t>建议县农业农村局财务人员及业务人员均要加强县级绩效管理相关文件及项目库中的绩效目标模板的学习，结合工作实际</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制定完整、细化、相关性强的绩效目标申报表，及提高绩效自评的能力</w:t>
      </w:r>
      <w:r>
        <w:rPr>
          <w:rFonts w:hint="eastAsia" w:ascii="仿宋_GB2312" w:hAnsi="Times New Roman" w:eastAsia="仿宋_GB2312" w:cs="Times New Roman"/>
          <w:sz w:val="24"/>
          <w:szCs w:val="24"/>
          <w:highlight w:val="none"/>
        </w:rPr>
        <w:t>。</w:t>
      </w:r>
    </w:p>
    <w:p>
      <w:pPr>
        <w:spacing w:line="560" w:lineRule="exact"/>
        <w:ind w:firstLine="472" w:firstLineChars="200"/>
        <w:outlineLvl w:val="1"/>
        <w:rPr>
          <w:rFonts w:hint="eastAsia"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lang w:val="en-US" w:eastAsia="zh-CN"/>
        </w:rPr>
        <w:t>（二）完善单位绩效管理制度</w:t>
      </w:r>
    </w:p>
    <w:p>
      <w:pPr>
        <w:pStyle w:val="2"/>
        <w:numPr>
          <w:ilvl w:val="0"/>
          <w:numId w:val="0"/>
        </w:numPr>
        <w:ind w:firstLine="472" w:firstLineChars="200"/>
        <w:rPr>
          <w:rFonts w:hint="default" w:eastAsia="仿宋_GB2312"/>
          <w:highlight w:val="none"/>
          <w:lang w:val="en-US" w:eastAsia="zh-CN"/>
        </w:rPr>
      </w:pPr>
      <w:r>
        <w:rPr>
          <w:rFonts w:hint="eastAsia" w:ascii="仿宋_GB2312" w:hAnsi="Times New Roman" w:eastAsia="仿宋_GB2312" w:cs="Times New Roman"/>
          <w:sz w:val="24"/>
          <w:szCs w:val="24"/>
          <w:highlight w:val="none"/>
          <w:lang w:val="en-US" w:eastAsia="zh-CN"/>
        </w:rPr>
        <w:t>加强单位内部绩效管理，逐步建立和完善财政支出绩效评价相关制度，进一步提高全过程绩效管理科学化、精细化水平。</w:t>
      </w:r>
    </w:p>
    <w:p>
      <w:pPr>
        <w:numPr>
          <w:ilvl w:val="0"/>
          <w:numId w:val="0"/>
        </w:numPr>
        <w:spacing w:line="560" w:lineRule="exact"/>
        <w:ind w:firstLine="472" w:firstLineChars="200"/>
        <w:outlineLvl w:val="1"/>
        <w:rPr>
          <w:rFonts w:hint="eastAsia" w:ascii="楷体_GB2312" w:hAnsi="Times New Roman" w:eastAsia="楷体_GB2312" w:cs="Times New Roman"/>
          <w:sz w:val="24"/>
          <w:szCs w:val="24"/>
          <w:highlight w:val="none"/>
          <w:lang w:eastAsia="zh-CN"/>
        </w:rPr>
      </w:pPr>
      <w:r>
        <w:rPr>
          <w:rFonts w:hint="eastAsia" w:ascii="楷体_GB2312" w:hAnsi="Times New Roman" w:eastAsia="楷体_GB2312" w:cs="Times New Roman"/>
          <w:sz w:val="24"/>
          <w:szCs w:val="24"/>
          <w:highlight w:val="none"/>
          <w:lang w:eastAsia="zh-CN"/>
        </w:rPr>
        <w:t>（</w:t>
      </w:r>
      <w:r>
        <w:rPr>
          <w:rFonts w:hint="eastAsia" w:ascii="楷体_GB2312" w:hAnsi="Times New Roman" w:eastAsia="楷体_GB2312" w:cs="Times New Roman"/>
          <w:sz w:val="24"/>
          <w:szCs w:val="24"/>
          <w:highlight w:val="none"/>
          <w:lang w:val="en-US" w:eastAsia="zh-CN"/>
        </w:rPr>
        <w:t>三</w:t>
      </w:r>
      <w:r>
        <w:rPr>
          <w:rFonts w:hint="eastAsia" w:ascii="楷体_GB2312" w:hAnsi="Times New Roman" w:eastAsia="楷体_GB2312" w:cs="Times New Roman"/>
          <w:sz w:val="24"/>
          <w:szCs w:val="24"/>
          <w:highlight w:val="none"/>
          <w:lang w:eastAsia="zh-CN"/>
        </w:rPr>
        <w:t>）</w:t>
      </w:r>
      <w:r>
        <w:rPr>
          <w:rFonts w:hint="eastAsia" w:ascii="楷体_GB2312" w:hAnsi="Times New Roman" w:eastAsia="楷体_GB2312" w:cs="Times New Roman"/>
          <w:sz w:val="24"/>
          <w:szCs w:val="24"/>
          <w:highlight w:val="none"/>
          <w:lang w:val="en-US" w:eastAsia="zh-CN"/>
        </w:rPr>
        <w:t>强化</w:t>
      </w:r>
      <w:r>
        <w:rPr>
          <w:rFonts w:hint="eastAsia" w:ascii="楷体_GB2312" w:hAnsi="Times New Roman" w:eastAsia="楷体_GB2312" w:cs="Times New Roman"/>
          <w:sz w:val="24"/>
          <w:szCs w:val="24"/>
          <w:highlight w:val="none"/>
        </w:rPr>
        <w:t>资金使用管理力度</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部门将专项资金拨付至乡镇后，不能一拨了之，要对项目资金使用情况年内至少例行检查一次以上，重点查看资金使用是否合理合规，确保资金精准见效。</w:t>
      </w:r>
    </w:p>
    <w:p>
      <w:pPr>
        <w:spacing w:line="560" w:lineRule="exact"/>
        <w:ind w:firstLine="472" w:firstLineChars="200"/>
        <w:outlineLvl w:val="1"/>
        <w:rPr>
          <w:rFonts w:hint="default" w:ascii="楷体_GB2312" w:hAnsi="Times New Roman" w:eastAsia="楷体_GB2312" w:cs="Times New Roman"/>
          <w:sz w:val="24"/>
          <w:szCs w:val="24"/>
          <w:highlight w:val="yellow"/>
          <w:lang w:val="en-US" w:eastAsia="zh-CN"/>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bookmarkEnd w:id="14"/>
    <w:p>
      <w:pPr>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br w:type="page"/>
      </w:r>
    </w:p>
    <w:p>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19" w:name="_Toc26016"/>
      <w:r>
        <w:rPr>
          <w:rFonts w:hint="eastAsia" w:ascii="方正小标宋简体" w:hAnsi="华文宋体" w:eastAsia="方正小标宋简体" w:cs="Times New Roman"/>
          <w:b/>
          <w:bCs/>
          <w:sz w:val="36"/>
          <w:szCs w:val="36"/>
          <w:lang w:eastAsia="zh-CN"/>
        </w:rPr>
        <w:t>2022</w:t>
      </w:r>
      <w:r>
        <w:rPr>
          <w:rFonts w:hint="eastAsia" w:ascii="方正小标宋简体" w:hAnsi="华文宋体" w:eastAsia="方正小标宋简体" w:cs="Times New Roman"/>
          <w:b/>
          <w:bCs/>
          <w:sz w:val="36"/>
          <w:szCs w:val="36"/>
        </w:rPr>
        <w:t>年度</w:t>
      </w:r>
      <w:r>
        <w:rPr>
          <w:rFonts w:hint="eastAsia" w:ascii="方正小标宋简体" w:hAnsi="华文宋体" w:eastAsia="方正小标宋简体" w:cs="Times New Roman"/>
          <w:b/>
          <w:bCs/>
          <w:sz w:val="36"/>
          <w:szCs w:val="36"/>
          <w:lang w:eastAsia="zh-CN"/>
        </w:rPr>
        <w:t>抗旱</w:t>
      </w:r>
      <w:r>
        <w:rPr>
          <w:rFonts w:hint="eastAsia" w:ascii="方正小标宋简体" w:hAnsi="华文宋体" w:eastAsia="方正小标宋简体" w:cs="Times New Roman"/>
          <w:b/>
          <w:bCs/>
          <w:sz w:val="36"/>
          <w:szCs w:val="36"/>
        </w:rPr>
        <w:t>经费项目支出绩效评价报告</w:t>
      </w:r>
      <w:bookmarkEnd w:id="19"/>
    </w:p>
    <w:p>
      <w:pPr>
        <w:spacing w:line="560" w:lineRule="exact"/>
        <w:ind w:firstLine="472" w:firstLineChars="200"/>
        <w:outlineLvl w:val="0"/>
        <w:rPr>
          <w:rFonts w:ascii="黑体" w:hAnsi="黑体" w:eastAsia="黑体" w:cs="Times New Roman"/>
          <w:b/>
          <w:bCs/>
          <w:sz w:val="24"/>
          <w:szCs w:val="24"/>
        </w:rPr>
      </w:pPr>
      <w:bookmarkStart w:id="20" w:name="_Toc27814"/>
      <w:r>
        <w:rPr>
          <w:rFonts w:hint="eastAsia" w:ascii="黑体" w:hAnsi="黑体" w:eastAsia="黑体" w:cs="Times New Roman"/>
          <w:b/>
          <w:bCs/>
          <w:sz w:val="24"/>
          <w:szCs w:val="24"/>
        </w:rPr>
        <w:t>一、项目基本情况</w:t>
      </w:r>
      <w:bookmarkEnd w:id="20"/>
    </w:p>
    <w:p>
      <w:pPr>
        <w:spacing w:line="560" w:lineRule="exact"/>
        <w:ind w:firstLine="472" w:firstLineChars="200"/>
        <w:outlineLvl w:val="1"/>
        <w:rPr>
          <w:rFonts w:ascii="楷体_GB2312" w:hAnsi="Times New Roman" w:eastAsia="楷体_GB2312" w:cs="Times New Roman"/>
          <w:sz w:val="24"/>
          <w:szCs w:val="24"/>
        </w:rPr>
      </w:pPr>
      <w:bookmarkStart w:id="21" w:name="_Toc3481"/>
      <w:r>
        <w:rPr>
          <w:rFonts w:hint="eastAsia" w:ascii="楷体_GB2312" w:hAnsi="Times New Roman" w:eastAsia="楷体_GB2312" w:cs="Times New Roman"/>
          <w:sz w:val="24"/>
          <w:szCs w:val="24"/>
        </w:rPr>
        <w:t>（一）项目概况</w:t>
      </w:r>
      <w:bookmarkEnd w:id="2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pPr>
        <w:spacing w:line="560" w:lineRule="exact"/>
        <w:ind w:firstLine="472" w:firstLineChars="200"/>
        <w:rPr>
          <w:rFonts w:hint="eastAsia" w:ascii="仿宋_GB2312" w:hAnsi="Times New Roman" w:eastAsia="仿宋_GB2312" w:cs="Times New Roman"/>
          <w:sz w:val="24"/>
          <w:szCs w:val="24"/>
        </w:rPr>
      </w:pPr>
      <w:bookmarkStart w:id="22" w:name="_Hlk80109772"/>
      <w:r>
        <w:rPr>
          <w:rFonts w:hint="eastAsia" w:ascii="仿宋_GB2312" w:hAnsi="Times New Roman" w:eastAsia="仿宋_GB2312" w:cs="Times New Roman"/>
          <w:sz w:val="24"/>
          <w:szCs w:val="24"/>
        </w:rPr>
        <w:t>为贯彻</w:t>
      </w:r>
      <w:r>
        <w:rPr>
          <w:rFonts w:hint="eastAsia" w:ascii="仿宋_GB2312" w:hAnsi="Times New Roman" w:eastAsia="仿宋_GB2312" w:cs="Times New Roman"/>
          <w:sz w:val="24"/>
          <w:szCs w:val="24"/>
          <w:lang w:val="en-US" w:eastAsia="zh-CN"/>
        </w:rPr>
        <w:t>《蚌埠市农业农村局关于印发今冬明春应对拉尼娜事件科学抗灾稳产保供预案的通知》（蚌农〔</w:t>
      </w:r>
      <w:r>
        <w:rPr>
          <w:rFonts w:hint="default" w:ascii="仿宋_GB2312" w:hAnsi="Times New Roman" w:eastAsia="仿宋_GB2312" w:cs="Times New Roman"/>
          <w:sz w:val="24"/>
          <w:szCs w:val="24"/>
          <w:lang w:val="en-US" w:eastAsia="zh-CN"/>
        </w:rPr>
        <w:t>2021〕173 号</w:t>
      </w:r>
      <w:r>
        <w:rPr>
          <w:rFonts w:hint="eastAsia" w:ascii="仿宋_GB2312" w:hAnsi="Times New Roman" w:eastAsia="仿宋_GB2312" w:cs="Times New Roman"/>
          <w:sz w:val="24"/>
          <w:szCs w:val="24"/>
          <w:lang w:val="en-US" w:eastAsia="zh-CN"/>
        </w:rPr>
        <w:t>）精神，根据县农技中心11.25日土壤墒情监测，旱茬未抗旱的麦田0-10cm表层土壤相对含水量54.95%-58.98%（土壤适宜相对含水量65-75%），土壤水分低于作物生长发育适宜含水量下限，不能满足作物生长发育需求；10-20cm土壤相对含水量73.7%-78.57%，适宜小麦生长发育。稻茬小麦，未抗旱田块0-5cm土壤相对含水量55.6-65.1%，墒情“不足”，根据气象部门预计，未来一段时间，我县将以晴好天气为主，无明显降水，干旱情况会进一步加重加大，为切实降低不利天气对农业生产带来的损失，确保农业生产稳定有序，我县研究决定抗旱补墒保苗保丰收。</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（1）项目主要内容</w:t>
      </w:r>
    </w:p>
    <w:bookmarkEnd w:id="22"/>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经费项目用于</w:t>
      </w:r>
      <w:r>
        <w:rPr>
          <w:rFonts w:hint="eastAsia" w:ascii="仿宋_GB2312" w:hAnsi="Times New Roman" w:eastAsia="仿宋_GB2312" w:cs="Times New Roman"/>
          <w:sz w:val="24"/>
          <w:szCs w:val="24"/>
          <w:lang w:eastAsia="zh-CN"/>
        </w:rPr>
        <w:t>小麦抗旱保苗</w:t>
      </w:r>
      <w:r>
        <w:rPr>
          <w:rFonts w:hint="eastAsia" w:ascii="仿宋_GB2312" w:hAnsi="Times New Roman" w:eastAsia="仿宋_GB2312" w:cs="Times New Roman"/>
          <w:sz w:val="24"/>
          <w:szCs w:val="24"/>
        </w:rPr>
        <w:t>工作。包括</w:t>
      </w:r>
      <w:r>
        <w:rPr>
          <w:rFonts w:hint="eastAsia" w:ascii="仿宋_GB2312" w:hAnsi="Times New Roman" w:eastAsia="仿宋_GB2312" w:cs="Times New Roman"/>
          <w:sz w:val="24"/>
          <w:szCs w:val="24"/>
          <w:lang w:eastAsia="zh-CN"/>
        </w:rPr>
        <w:t>开展小麦抗旱保苗</w:t>
      </w:r>
      <w:r>
        <w:rPr>
          <w:rFonts w:hint="eastAsia" w:ascii="仿宋_GB2312" w:hAnsi="Times New Roman" w:eastAsia="仿宋_GB2312" w:cs="Times New Roman"/>
          <w:sz w:val="24"/>
          <w:szCs w:val="24"/>
        </w:rPr>
        <w:t>工作</w:t>
      </w:r>
      <w:r>
        <w:rPr>
          <w:rFonts w:hint="eastAsia" w:ascii="仿宋_GB2312" w:hAnsi="Times New Roman" w:eastAsia="仿宋_GB2312" w:cs="Times New Roman"/>
          <w:sz w:val="24"/>
          <w:szCs w:val="24"/>
          <w:lang w:eastAsia="zh-CN"/>
        </w:rPr>
        <w:t>的乡镇电灌站电费补贴</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小麦种植户开展抗旱保苗灌溉补助</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气象部门开展人工降雨开支等补助。</w:t>
      </w:r>
    </w:p>
    <w:tbl>
      <w:tblPr>
        <w:tblStyle w:val="18"/>
        <w:tblW w:w="8878" w:type="dxa"/>
        <w:tblInd w:w="93" w:type="dxa"/>
        <w:tblLayout w:type="autofit"/>
        <w:tblCellMar>
          <w:top w:w="0" w:type="dxa"/>
          <w:left w:w="108" w:type="dxa"/>
          <w:bottom w:w="0" w:type="dxa"/>
          <w:right w:w="108" w:type="dxa"/>
        </w:tblCellMar>
      </w:tblPr>
      <w:tblGrid>
        <w:gridCol w:w="1723"/>
        <w:gridCol w:w="5600"/>
        <w:gridCol w:w="1555"/>
      </w:tblGrid>
      <w:tr>
        <w:tblPrEx>
          <w:tblCellMar>
            <w:top w:w="0" w:type="dxa"/>
            <w:left w:w="108" w:type="dxa"/>
            <w:bottom w:w="0" w:type="dxa"/>
            <w:right w:w="108" w:type="dxa"/>
          </w:tblCellMar>
        </w:tblPrEx>
        <w:trPr>
          <w:trHeight w:val="405" w:hRule="atLeast"/>
        </w:trPr>
        <w:tc>
          <w:tcPr>
            <w:tcW w:w="1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序号</w:t>
            </w:r>
          </w:p>
        </w:tc>
        <w:tc>
          <w:tcPr>
            <w:tcW w:w="5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资金用途</w:t>
            </w:r>
          </w:p>
        </w:tc>
        <w:tc>
          <w:tcPr>
            <w:tcW w:w="1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金额</w:t>
            </w:r>
          </w:p>
        </w:tc>
      </w:tr>
      <w:tr>
        <w:tblPrEx>
          <w:tblCellMar>
            <w:top w:w="0" w:type="dxa"/>
            <w:left w:w="108" w:type="dxa"/>
            <w:bottom w:w="0" w:type="dxa"/>
            <w:right w:w="108" w:type="dxa"/>
          </w:tblCellMar>
        </w:tblPrEx>
        <w:trPr>
          <w:trHeight w:val="119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eastAsia="zh-CN"/>
              </w:rPr>
              <w:t>气象人工降雨补助</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rPr>
              <w:t>18</w:t>
            </w:r>
            <w:r>
              <w:rPr>
                <w:rFonts w:hint="eastAsia" w:ascii="宋体" w:hAnsi="宋体" w:eastAsia="宋体" w:cs="宋体"/>
                <w:color w:val="000000"/>
                <w:kern w:val="0"/>
                <w:sz w:val="20"/>
                <w:szCs w:val="20"/>
              </w:rPr>
              <w:t>万元</w:t>
            </w:r>
          </w:p>
        </w:tc>
      </w:tr>
      <w:tr>
        <w:tblPrEx>
          <w:tblCellMar>
            <w:top w:w="0" w:type="dxa"/>
            <w:left w:w="108" w:type="dxa"/>
            <w:bottom w:w="0" w:type="dxa"/>
            <w:right w:w="108" w:type="dxa"/>
          </w:tblCellMar>
        </w:tblPrEx>
        <w:trPr>
          <w:trHeight w:val="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val="en-US" w:eastAsia="zh-CN"/>
              </w:rPr>
              <w:t>18个</w:t>
            </w:r>
            <w:r>
              <w:rPr>
                <w:rFonts w:hint="eastAsia" w:ascii="宋体" w:hAnsi="宋体" w:eastAsia="宋体" w:cs="宋体"/>
                <w:color w:val="000000"/>
                <w:kern w:val="0"/>
                <w:sz w:val="20"/>
                <w:szCs w:val="20"/>
                <w:lang w:eastAsia="zh-CN"/>
              </w:rPr>
              <w:t>乡镇开展灌溉补助</w:t>
            </w:r>
          </w:p>
        </w:tc>
        <w:tc>
          <w:tcPr>
            <w:tcW w:w="15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rPr>
              <w:t>330</w:t>
            </w:r>
            <w:r>
              <w:rPr>
                <w:rFonts w:hint="eastAsia" w:ascii="宋体" w:hAnsi="宋体" w:eastAsia="宋体" w:cs="宋体"/>
                <w:color w:val="000000"/>
                <w:kern w:val="0"/>
                <w:sz w:val="20"/>
                <w:szCs w:val="20"/>
              </w:rPr>
              <w:t>万元</w:t>
            </w:r>
          </w:p>
        </w:tc>
      </w:tr>
    </w:tbl>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（2）项目实施情况</w:t>
      </w:r>
    </w:p>
    <w:p>
      <w:pPr>
        <w:spacing w:after="0" w:line="560" w:lineRule="exact"/>
        <w:ind w:firstLine="472" w:firstLineChars="200"/>
        <w:jc w:val="both"/>
        <w:rPr>
          <w:rFonts w:ascii="仿宋_GB2312" w:hAnsi="Times New Roman" w:eastAsia="仿宋_GB2312" w:cs="Times New Roman"/>
          <w:sz w:val="24"/>
          <w:szCs w:val="24"/>
        </w:rPr>
      </w:pPr>
      <w:r>
        <w:rPr>
          <w:rFonts w:hint="eastAsia" w:ascii="仿宋_GB2312" w:hAnsi="Times New Roman" w:eastAsia="仿宋_GB2312" w:cs="Times New Roman"/>
          <w:sz w:val="24"/>
          <w:szCs w:val="24"/>
        </w:rPr>
        <w:t>通过该项目实施，</w:t>
      </w:r>
      <w:r>
        <w:rPr>
          <w:rFonts w:hint="eastAsia" w:ascii="仿宋_GB2312" w:hAnsi="Times New Roman" w:eastAsia="仿宋_GB2312" w:cs="Times New Roman"/>
          <w:sz w:val="24"/>
          <w:szCs w:val="24"/>
          <w:lang w:val="en-US" w:eastAsia="zh-CN"/>
        </w:rPr>
        <w:t>全县90万亩旱作区小麦，有50万亩小麦因播种早、苗龄大，已有6叶以上的叶龄，根系下扎较深，抗旱能力较强，10-20cm土壤相对含水量73-78%，能满足作物生长发育，暂时不需抗旱，但仍有40万亩播种较迟，表层土壤酥松、播种浅的小麦田块，0-5厘米土壤相对含水量55-59%，需要浇灌，截止到2022年1月3日，全县已灌溉补墒面积69.6万亩，2022年1月4-5日，在气象部门的干预下，经历了一场降雨，全县旱情基本解除，为午季小麦单产达到409.8公斤，总产为69.07万吨打下了坚实基础。</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w:t>
      </w:r>
      <w:r>
        <w:rPr>
          <w:rFonts w:hint="eastAsia" w:ascii="仿宋_GB2312" w:hAnsi="Times New Roman" w:eastAsia="仿宋_GB2312" w:cs="Times New Roman"/>
          <w:sz w:val="24"/>
          <w:szCs w:val="24"/>
          <w:lang w:eastAsia="zh-CN"/>
        </w:rPr>
        <w:t>抗旱</w:t>
      </w:r>
      <w:r>
        <w:rPr>
          <w:rFonts w:ascii="仿宋_GB2312" w:hAnsi="Times New Roman" w:eastAsia="仿宋_GB2312" w:cs="Times New Roman"/>
          <w:sz w:val="24"/>
          <w:szCs w:val="24"/>
        </w:rPr>
        <w:t>经费</w:t>
      </w:r>
      <w:r>
        <w:rPr>
          <w:rFonts w:hint="eastAsia" w:ascii="仿宋_GB2312" w:hAnsi="Times New Roman" w:eastAsia="仿宋_GB2312" w:cs="Times New Roman"/>
          <w:sz w:val="24"/>
          <w:szCs w:val="24"/>
        </w:rPr>
        <w:t>项目全年预算资金</w:t>
      </w:r>
      <w:r>
        <w:rPr>
          <w:rFonts w:hint="eastAsia" w:ascii="仿宋_GB2312" w:hAnsi="Times New Roman" w:eastAsia="仿宋_GB2312" w:cs="Times New Roman"/>
          <w:sz w:val="24"/>
          <w:szCs w:val="24"/>
          <w:lang w:val="en-US" w:eastAsia="zh-CN"/>
        </w:rPr>
        <w:t>348</w:t>
      </w:r>
      <w:r>
        <w:rPr>
          <w:rFonts w:hint="eastAsia" w:ascii="仿宋_GB2312" w:hAnsi="Times New Roman" w:eastAsia="仿宋_GB2312" w:cs="Times New Roman"/>
          <w:sz w:val="24"/>
          <w:szCs w:val="24"/>
        </w:rPr>
        <w:t>万元，实际到位资金</w:t>
      </w:r>
      <w:r>
        <w:rPr>
          <w:rFonts w:hint="eastAsia" w:ascii="仿宋_GB2312" w:hAnsi="Times New Roman" w:eastAsia="仿宋_GB2312" w:cs="Times New Roman"/>
          <w:sz w:val="24"/>
          <w:szCs w:val="24"/>
          <w:lang w:val="en-US" w:eastAsia="zh-CN"/>
        </w:rPr>
        <w:t>348</w:t>
      </w:r>
      <w:r>
        <w:rPr>
          <w:rFonts w:hint="eastAsia" w:ascii="仿宋_GB2312" w:hAnsi="Times New Roman" w:eastAsia="仿宋_GB2312" w:cs="Times New Roman"/>
          <w:sz w:val="24"/>
          <w:szCs w:val="24"/>
        </w:rPr>
        <w:t>万元，实际支出资金</w:t>
      </w:r>
      <w:r>
        <w:rPr>
          <w:rFonts w:hint="eastAsia" w:ascii="仿宋_GB2312" w:hAnsi="Times New Roman" w:eastAsia="仿宋_GB2312" w:cs="Times New Roman"/>
          <w:sz w:val="24"/>
          <w:szCs w:val="24"/>
          <w:lang w:val="en-US" w:eastAsia="zh-CN"/>
        </w:rPr>
        <w:t>348</w:t>
      </w:r>
      <w:r>
        <w:rPr>
          <w:rFonts w:hint="eastAsia" w:ascii="仿宋_GB2312" w:hAnsi="Times New Roman" w:eastAsia="仿宋_GB2312" w:cs="Times New Roman"/>
          <w:sz w:val="24"/>
          <w:szCs w:val="24"/>
        </w:rPr>
        <w:t>万元，资金到位率100%，预算执行率为100%。</w:t>
      </w:r>
    </w:p>
    <w:p>
      <w:pPr>
        <w:spacing w:line="560" w:lineRule="exact"/>
        <w:ind w:firstLine="472" w:firstLineChars="200"/>
        <w:outlineLvl w:val="1"/>
        <w:rPr>
          <w:rFonts w:ascii="楷体_GB2312" w:hAnsi="Times New Roman" w:eastAsia="楷体_GB2312" w:cs="Times New Roman"/>
          <w:sz w:val="24"/>
          <w:szCs w:val="24"/>
        </w:rPr>
      </w:pPr>
      <w:bookmarkStart w:id="23" w:name="_Toc32417"/>
      <w:r>
        <w:rPr>
          <w:rFonts w:hint="eastAsia" w:ascii="楷体_GB2312" w:hAnsi="Times New Roman" w:eastAsia="楷体_GB2312" w:cs="Times New Roman"/>
          <w:sz w:val="24"/>
          <w:szCs w:val="24"/>
        </w:rPr>
        <w:t>（二）项目绩效目标</w:t>
      </w:r>
      <w:bookmarkEnd w:id="23"/>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2021年11月中旬至2022年1月3日，我县无有效降水，干旱较为严重，威胁到麦苗安全越冬。全县开展抗旱保苗是为了稳定粮食产量，保障2022年夏粮生产安全。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pPr>
        <w:spacing w:line="560" w:lineRule="exact"/>
        <w:ind w:firstLine="472" w:firstLineChars="200"/>
        <w:rPr>
          <w:rFonts w:hint="eastAsia" w:ascii="仿宋_GB2312" w:hAnsi="Times New Roman" w:eastAsia="仿宋_GB2312" w:cs="Times New Roman"/>
          <w:sz w:val="24"/>
          <w:szCs w:val="24"/>
        </w:rPr>
      </w:pPr>
      <w:bookmarkStart w:id="24" w:name="_Toc3602"/>
      <w:r>
        <w:rPr>
          <w:rFonts w:hint="eastAsia" w:ascii="仿宋_GB2312" w:hAnsi="Times New Roman" w:eastAsia="仿宋_GB2312" w:cs="Times New Roman"/>
          <w:sz w:val="24"/>
          <w:szCs w:val="24"/>
        </w:rPr>
        <w:t>2021年11月中旬至2022年1月3日，我县无有效降水，干旱较为严重，威胁到麦苗安全越冬。全县开展抗旱保苗是为了稳定</w:t>
      </w:r>
      <w:r>
        <w:rPr>
          <w:rFonts w:hint="eastAsia" w:ascii="仿宋_GB2312" w:hAnsi="Times New Roman" w:eastAsia="仿宋_GB2312" w:cs="Times New Roman"/>
          <w:sz w:val="24"/>
          <w:szCs w:val="24"/>
          <w:lang w:eastAsia="zh-CN"/>
        </w:rPr>
        <w:t>小麦</w:t>
      </w:r>
      <w:r>
        <w:rPr>
          <w:rFonts w:hint="eastAsia" w:ascii="仿宋_GB2312" w:hAnsi="Times New Roman" w:eastAsia="仿宋_GB2312" w:cs="Times New Roman"/>
          <w:sz w:val="24"/>
          <w:szCs w:val="24"/>
        </w:rPr>
        <w:t>产量，保障2022年</w:t>
      </w:r>
      <w:r>
        <w:rPr>
          <w:rFonts w:hint="eastAsia" w:ascii="仿宋_GB2312" w:hAnsi="Times New Roman" w:eastAsia="仿宋_GB2312" w:cs="Times New Roman"/>
          <w:sz w:val="24"/>
          <w:szCs w:val="24"/>
          <w:lang w:eastAsia="zh-CN"/>
        </w:rPr>
        <w:t>小麦</w:t>
      </w:r>
      <w:r>
        <w:rPr>
          <w:rFonts w:hint="eastAsia" w:ascii="仿宋_GB2312" w:hAnsi="Times New Roman" w:eastAsia="仿宋_GB2312" w:cs="Times New Roman"/>
          <w:sz w:val="24"/>
          <w:szCs w:val="24"/>
        </w:rPr>
        <w:t>安全</w:t>
      </w:r>
      <w:r>
        <w:rPr>
          <w:rFonts w:hint="eastAsia" w:ascii="仿宋_GB2312" w:hAnsi="Times New Roman" w:eastAsia="仿宋_GB2312" w:cs="Times New Roman"/>
          <w:sz w:val="24"/>
          <w:szCs w:val="24"/>
          <w:lang w:eastAsia="zh-CN"/>
        </w:rPr>
        <w:t>丰收</w:t>
      </w:r>
      <w:r>
        <w:rPr>
          <w:rFonts w:hint="eastAsia" w:ascii="仿宋_GB2312" w:hAnsi="Times New Roman" w:eastAsia="仿宋_GB2312" w:cs="Times New Roman"/>
          <w:sz w:val="24"/>
          <w:szCs w:val="24"/>
        </w:rPr>
        <w:t>。</w:t>
      </w:r>
    </w:p>
    <w:p>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二、绩效评价工作开展情况</w:t>
      </w:r>
      <w:bookmarkEnd w:id="24"/>
    </w:p>
    <w:p>
      <w:pPr>
        <w:spacing w:line="560" w:lineRule="exact"/>
        <w:ind w:firstLine="472" w:firstLineChars="200"/>
        <w:outlineLvl w:val="1"/>
        <w:rPr>
          <w:rFonts w:ascii="楷体_GB2312" w:hAnsi="Times New Roman" w:eastAsia="楷体_GB2312" w:cs="Times New Roman"/>
          <w:sz w:val="24"/>
          <w:szCs w:val="24"/>
        </w:rPr>
      </w:pPr>
      <w:bookmarkStart w:id="25" w:name="_Toc23951"/>
      <w:r>
        <w:rPr>
          <w:rFonts w:hint="eastAsia" w:ascii="楷体_GB2312" w:hAnsi="Times New Roman" w:eastAsia="楷体_GB2312" w:cs="Times New Roman"/>
          <w:sz w:val="24"/>
          <w:szCs w:val="24"/>
        </w:rPr>
        <w:t>（一）</w:t>
      </w:r>
      <w:bookmarkStart w:id="26" w:name="_Hlk79591799"/>
      <w:r>
        <w:rPr>
          <w:rFonts w:hint="eastAsia" w:ascii="楷体_GB2312" w:hAnsi="Times New Roman" w:eastAsia="楷体_GB2312" w:cs="Times New Roman"/>
          <w:sz w:val="24"/>
          <w:szCs w:val="24"/>
        </w:rPr>
        <w:t>绩效评价</w:t>
      </w:r>
      <w:bookmarkEnd w:id="26"/>
      <w:r>
        <w:rPr>
          <w:rFonts w:hint="eastAsia" w:ascii="楷体_GB2312" w:hAnsi="Times New Roman" w:eastAsia="楷体_GB2312" w:cs="Times New Roman"/>
          <w:sz w:val="24"/>
          <w:szCs w:val="24"/>
        </w:rPr>
        <w:t>目的、对象和范围</w:t>
      </w:r>
      <w:bookmarkEnd w:id="2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1.绩效评价目的。通过评价，深入了解</w:t>
      </w: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w:t>
      </w: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3.绩效评价范围。本次评价的范围是</w:t>
      </w: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经费资金，评价其绩效目标设定情况，资金投入和使用情况，为实现设定的绩效目标所制定的制度、采取的措施等，以及绩效目标最终的实现程度及效果。</w:t>
      </w:r>
    </w:p>
    <w:p>
      <w:pPr>
        <w:spacing w:line="560" w:lineRule="exact"/>
        <w:ind w:firstLine="472" w:firstLineChars="200"/>
        <w:outlineLvl w:val="1"/>
        <w:rPr>
          <w:rFonts w:ascii="楷体_GB2312" w:hAnsi="Times New Roman" w:eastAsia="楷体_GB2312" w:cs="Times New Roman"/>
          <w:sz w:val="24"/>
          <w:szCs w:val="24"/>
        </w:rPr>
      </w:pPr>
      <w:bookmarkStart w:id="27" w:name="_Toc17751"/>
      <w:r>
        <w:rPr>
          <w:rFonts w:hint="eastAsia" w:ascii="楷体_GB2312" w:hAnsi="Times New Roman" w:eastAsia="楷体_GB2312" w:cs="Times New Roman"/>
          <w:sz w:val="24"/>
          <w:szCs w:val="24"/>
        </w:rPr>
        <w:t>（二）绩效评价原则、评价指标体系、评价方法、评价标准</w:t>
      </w:r>
      <w:bookmarkEnd w:id="27"/>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1.绩效评价原则：科学规范原则、公正公开原则、分级分类原则以及绩效相关原则。</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pPr>
        <w:spacing w:line="560" w:lineRule="exact"/>
        <w:ind w:left="316" w:leftChars="100"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经费项目评价指标体系包括4项一级指标，14项二级指标，2</w:t>
      </w:r>
      <w:r>
        <w:rPr>
          <w:rFonts w:hint="eastAsia" w:ascii="仿宋_GB2312" w:hAnsi="Times New Roman" w:eastAsia="仿宋_GB2312" w:cs="Times New Roman"/>
          <w:sz w:val="24"/>
          <w:szCs w:val="24"/>
          <w:lang w:val="en-US" w:eastAsia="zh-CN"/>
        </w:rPr>
        <w:t>7</w:t>
      </w:r>
      <w:r>
        <w:rPr>
          <w:rFonts w:hint="eastAsia" w:ascii="仿宋_GB2312" w:hAnsi="Times New Roman" w:eastAsia="仿宋_GB2312" w:cs="Times New Roman"/>
          <w:sz w:val="24"/>
          <w:szCs w:val="24"/>
        </w:rPr>
        <w:t>项三级指标，满分为100分</w:t>
      </w:r>
      <w:r>
        <w:rPr>
          <w:rFonts w:hint="eastAsia" w:ascii="仿宋_GB2312" w:hAnsi="Times New Roman" w:eastAsia="仿宋_GB2312" w:cs="Times New Roman"/>
          <w:sz w:val="24"/>
          <w:szCs w:val="24"/>
          <w:lang w:eastAsia="zh-CN"/>
        </w:rPr>
        <w:t>，得分</w:t>
      </w:r>
      <w:r>
        <w:rPr>
          <w:rFonts w:hint="eastAsia" w:ascii="仿宋_GB2312" w:hAnsi="Times New Roman" w:eastAsia="仿宋_GB2312" w:cs="Times New Roman"/>
          <w:sz w:val="24"/>
          <w:szCs w:val="24"/>
          <w:lang w:val="en-US" w:eastAsia="zh-CN"/>
        </w:rPr>
        <w:t>89分</w:t>
      </w:r>
      <w:r>
        <w:rPr>
          <w:rFonts w:hint="eastAsia" w:ascii="仿宋_GB2312" w:hAnsi="Times New Roman" w:eastAsia="仿宋_GB2312" w:cs="Times New Roman"/>
          <w:sz w:val="24"/>
          <w:szCs w:val="24"/>
        </w:rPr>
        <w:t>。具体如下：</w:t>
      </w:r>
    </w:p>
    <w:tbl>
      <w:tblPr>
        <w:tblStyle w:val="18"/>
        <w:tblW w:w="7995" w:type="dxa"/>
        <w:tblInd w:w="93" w:type="dxa"/>
        <w:tblLayout w:type="autofit"/>
        <w:tblCellMar>
          <w:top w:w="0" w:type="dxa"/>
          <w:left w:w="108" w:type="dxa"/>
          <w:bottom w:w="0" w:type="dxa"/>
          <w:right w:w="108" w:type="dxa"/>
        </w:tblCellMar>
      </w:tblPr>
      <w:tblGrid>
        <w:gridCol w:w="1080"/>
        <w:gridCol w:w="1080"/>
        <w:gridCol w:w="1080"/>
        <w:gridCol w:w="1080"/>
        <w:gridCol w:w="2595"/>
        <w:gridCol w:w="1080"/>
      </w:tblGrid>
      <w:tr>
        <w:tblPrEx>
          <w:tblCellMar>
            <w:top w:w="0" w:type="dxa"/>
            <w:left w:w="108" w:type="dxa"/>
            <w:bottom w:w="0" w:type="dxa"/>
            <w:right w:w="108" w:type="dxa"/>
          </w:tblCellMar>
        </w:tblPrEx>
        <w:trPr>
          <w:trHeight w:val="270" w:hRule="atLeast"/>
        </w:trPr>
        <w:tc>
          <w:tcPr>
            <w:tcW w:w="7995" w:type="dxa"/>
            <w:gridSpan w:val="6"/>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仿宋_GB2312" w:hAnsi="Times New Roman" w:eastAsia="仿宋_GB2312" w:cs="Times New Roman"/>
                <w:b/>
                <w:bCs/>
                <w:sz w:val="24"/>
                <w:szCs w:val="24"/>
              </w:rPr>
              <w:t>绩效评价指标体系</w:t>
            </w:r>
          </w:p>
        </w:tc>
      </w:tr>
      <w:tr>
        <w:tblPrEx>
          <w:tblCellMar>
            <w:top w:w="0" w:type="dxa"/>
            <w:left w:w="108" w:type="dxa"/>
            <w:bottom w:w="0" w:type="dxa"/>
            <w:right w:w="108" w:type="dxa"/>
          </w:tblCellMar>
        </w:tblPrEx>
        <w:trPr>
          <w:trHeight w:val="270" w:hRule="atLeast"/>
        </w:trPr>
        <w:tc>
          <w:tcPr>
            <w:tcW w:w="1080" w:type="dxa"/>
            <w:tcBorders>
              <w:top w:val="double" w:color="000000" w:sz="4" w:space="0"/>
              <w:left w:val="nil"/>
              <w:bottom w:val="single" w:color="000000" w:sz="8" w:space="0"/>
              <w:right w:val="single" w:color="000000" w:sz="8" w:space="0"/>
            </w:tcBorders>
            <w:shd w:val="clear" w:color="auto" w:fill="auto"/>
          </w:tcPr>
          <w:p>
            <w:pPr>
              <w:widowControl/>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一级指标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分值</w:t>
            </w:r>
          </w:p>
        </w:tc>
        <w:tc>
          <w:tcPr>
            <w:tcW w:w="1080" w:type="dxa"/>
            <w:tcBorders>
              <w:top w:val="double" w:color="000000" w:sz="4" w:space="0"/>
              <w:left w:val="single" w:color="000000" w:sz="8" w:space="0"/>
              <w:bottom w:val="single" w:color="000000" w:sz="8" w:space="0"/>
              <w:right w:val="single" w:color="000000" w:sz="8" w:space="0"/>
            </w:tcBorders>
            <w:shd w:val="clear" w:color="auto" w:fill="auto"/>
          </w:tcPr>
          <w:p>
            <w:pPr>
              <w:widowControl/>
              <w:jc w:val="center"/>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二级指标</w:t>
            </w:r>
          </w:p>
        </w:tc>
        <w:tc>
          <w:tcPr>
            <w:tcW w:w="1080"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分值</w:t>
            </w:r>
          </w:p>
        </w:tc>
        <w:tc>
          <w:tcPr>
            <w:tcW w:w="2595" w:type="dxa"/>
            <w:tcBorders>
              <w:top w:val="double" w:color="000000" w:sz="4" w:space="0"/>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三级指标</w:t>
            </w:r>
          </w:p>
        </w:tc>
        <w:tc>
          <w:tcPr>
            <w:tcW w:w="1080" w:type="dxa"/>
            <w:tcBorders>
              <w:top w:val="double" w:color="000000" w:sz="4" w:space="0"/>
              <w:left w:val="single" w:color="000000" w:sz="8" w:space="0"/>
              <w:bottom w:val="single" w:color="000000" w:sz="8" w:space="0"/>
              <w:right w:val="nil"/>
            </w:tcBorders>
            <w:shd w:val="clear" w:color="auto" w:fill="auto"/>
          </w:tcPr>
          <w:p>
            <w:pPr>
              <w:widowControl/>
              <w:jc w:val="center"/>
              <w:textAlignment w:val="top"/>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分值</w:t>
            </w:r>
          </w:p>
        </w:tc>
      </w:tr>
      <w:tr>
        <w:tblPrEx>
          <w:tblCellMar>
            <w:top w:w="0" w:type="dxa"/>
            <w:left w:w="108" w:type="dxa"/>
            <w:bottom w:w="0" w:type="dxa"/>
            <w:right w:w="108" w:type="dxa"/>
          </w:tblCellMar>
        </w:tblPrEx>
        <w:trPr>
          <w:trHeight w:val="45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决策</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15</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项目立项</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5</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立项依据充分性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立项程序规范性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绩效目标</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绩效目标合理性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绩效指标明确性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3</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资金投入</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Style w:val="30"/>
                <w:rFonts w:hint="eastAsia" w:ascii="宋体" w:hAnsi="宋体" w:eastAsia="宋体" w:cs="宋体"/>
                <w:sz w:val="16"/>
                <w:szCs w:val="16"/>
                <w:highlight w:val="none"/>
                <w:lang w:val="en-US" w:eastAsia="zh-CN" w:bidi="ar"/>
              </w:rPr>
              <w:t>预算编制科学性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资金分配合理性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30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过程</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25</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资金管理</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18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Style w:val="30"/>
                <w:rFonts w:hint="eastAsia" w:ascii="宋体" w:hAnsi="宋体" w:eastAsia="宋体" w:cs="宋体"/>
                <w:sz w:val="16"/>
                <w:szCs w:val="16"/>
                <w:highlight w:val="none"/>
                <w:lang w:val="en-US" w:eastAsia="zh-CN" w:bidi="ar"/>
              </w:rPr>
              <w:t>资金到位率</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资金拨付及时性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预算执行率</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资金使用合规性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绩效自评内容准确完整性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绩效自评结论真实性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45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组织实施</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7</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Style w:val="30"/>
                <w:rFonts w:hint="eastAsia" w:ascii="宋体" w:hAnsi="宋体" w:eastAsia="宋体" w:cs="宋体"/>
                <w:sz w:val="16"/>
                <w:szCs w:val="16"/>
                <w:highlight w:val="none"/>
                <w:lang w:val="en-US" w:eastAsia="zh-CN" w:bidi="ar"/>
              </w:rPr>
              <w:t>管理制度健全性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制度执行有效性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32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产出</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25</w:t>
            </w:r>
          </w:p>
        </w:tc>
        <w:tc>
          <w:tcPr>
            <w:tcW w:w="1080" w:type="dxa"/>
            <w:vMerge w:val="restart"/>
            <w:tcBorders>
              <w:top w:val="nil"/>
              <w:left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产出数量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开展抗旱乡镇个数18个</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32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支持抗旱县直部门个数1个</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平均增水量</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6"/>
                <w:szCs w:val="16"/>
                <w:highlight w:val="none"/>
              </w:rPr>
            </w:pPr>
            <w:r>
              <w:rPr>
                <w:rFonts w:hint="eastAsia" w:ascii="宋体" w:hAnsi="宋体" w:eastAsia="宋体" w:cs="宋体"/>
                <w:color w:val="000000"/>
                <w:kern w:val="0"/>
                <w:sz w:val="16"/>
                <w:szCs w:val="16"/>
                <w:highlight w:val="none"/>
              </w:rPr>
              <w:t>产出质量</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补贴补助资金支出合规性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补贴补助资金兑现流程合规性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宋体" w:hAnsi="宋体" w:eastAsia="宋体" w:cs="宋体"/>
                <w:color w:val="000000"/>
                <w:kern w:val="0"/>
                <w:sz w:val="16"/>
                <w:szCs w:val="16"/>
                <w:highlight w:val="none"/>
              </w:rPr>
            </w:pPr>
            <w:r>
              <w:rPr>
                <w:rFonts w:hint="eastAsia" w:ascii="宋体" w:hAnsi="宋体" w:eastAsia="宋体" w:cs="宋体"/>
                <w:color w:val="000000"/>
                <w:kern w:val="0"/>
                <w:sz w:val="16"/>
                <w:szCs w:val="16"/>
                <w:highlight w:val="none"/>
              </w:rPr>
              <w:t>产出时效</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1月份旱情缓解</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restart"/>
            <w:tcBorders>
              <w:top w:val="nil"/>
              <w:left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产出成本</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kern w:val="0"/>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人工影响天气增雨作业成本</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vMerge w:val="continue"/>
            <w:tcBorders>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u w:val="none"/>
                <w:lang w:val="en-US" w:eastAsia="zh-CN" w:bidi="ar"/>
              </w:rPr>
              <w:t>各乡镇用于补助抗旱油费、电费、水费支出成本</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r>
      <w:tr>
        <w:tblPrEx>
          <w:tblCellMar>
            <w:top w:w="0" w:type="dxa"/>
            <w:left w:w="108" w:type="dxa"/>
            <w:bottom w:w="0" w:type="dxa"/>
            <w:right w:w="108" w:type="dxa"/>
          </w:tblCellMar>
        </w:tblPrEx>
        <w:trPr>
          <w:trHeight w:val="460" w:hRule="atLeast"/>
        </w:trPr>
        <w:tc>
          <w:tcPr>
            <w:tcW w:w="1080" w:type="dxa"/>
            <w:vMerge w:val="restart"/>
            <w:tcBorders>
              <w:top w:val="nil"/>
              <w:left w:val="nil"/>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效益</w:t>
            </w: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default" w:ascii="Times New Roman" w:hAnsi="Times New Roman" w:eastAsia="宋体" w:cs="Times New Roman"/>
                <w:color w:val="000000"/>
                <w:sz w:val="16"/>
                <w:szCs w:val="16"/>
                <w:highlight w:val="none"/>
                <w:lang w:val="en-US" w:eastAsia="zh-CN"/>
              </w:rPr>
            </w:pPr>
            <w:r>
              <w:rPr>
                <w:rFonts w:hint="eastAsia" w:ascii="Times New Roman" w:hAnsi="Times New Roman" w:eastAsia="宋体" w:cs="Times New Roman"/>
                <w:color w:val="000000"/>
                <w:kern w:val="0"/>
                <w:sz w:val="16"/>
                <w:szCs w:val="16"/>
                <w:highlight w:val="none"/>
                <w:lang w:val="en-US" w:eastAsia="zh-CN"/>
              </w:rPr>
              <w:t>35</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经济效益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减轻补助补贴对象经济负担</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6</w:t>
            </w:r>
          </w:p>
        </w:tc>
      </w:tr>
      <w:tr>
        <w:tblPrEx>
          <w:tblCellMar>
            <w:top w:w="0" w:type="dxa"/>
            <w:left w:w="108" w:type="dxa"/>
            <w:bottom w:w="0" w:type="dxa"/>
            <w:right w:w="108" w:type="dxa"/>
          </w:tblCellMar>
        </w:tblPrEx>
        <w:trPr>
          <w:trHeight w:val="46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社会效益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hint="eastAsia" w:ascii="Times New Roman" w:hAnsi="Times New Roman" w:eastAsia="宋体" w:cs="Times New Roman"/>
                <w:color w:val="000000"/>
                <w:sz w:val="16"/>
                <w:szCs w:val="16"/>
                <w:highlight w:val="none"/>
                <w:lang w:eastAsia="zh-CN"/>
              </w:rPr>
            </w:pPr>
            <w:r>
              <w:rPr>
                <w:rFonts w:hint="eastAsia" w:ascii="Times New Roman" w:hAnsi="Times New Roman" w:eastAsia="宋体" w:cs="Times New Roman"/>
                <w:color w:val="000000"/>
                <w:kern w:val="0"/>
                <w:sz w:val="16"/>
                <w:szCs w:val="16"/>
                <w:highlight w:val="none"/>
                <w:lang w:val="en-US" w:eastAsia="zh-CN"/>
              </w:rPr>
              <w:t>9</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减轻农户抗旱用水压力，稳定粮食生产</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9</w:t>
            </w:r>
          </w:p>
        </w:tc>
      </w:tr>
      <w:tr>
        <w:tblPrEx>
          <w:tblCellMar>
            <w:top w:w="0" w:type="dxa"/>
            <w:left w:w="108" w:type="dxa"/>
            <w:bottom w:w="0" w:type="dxa"/>
            <w:right w:w="108" w:type="dxa"/>
          </w:tblCellMar>
        </w:tblPrEx>
        <w:trPr>
          <w:trHeight w:val="14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生态效益</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8</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改善苗情，促进小麦生长</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8</w:t>
            </w:r>
          </w:p>
        </w:tc>
      </w:tr>
      <w:tr>
        <w:tblPrEx>
          <w:tblCellMar>
            <w:top w:w="0" w:type="dxa"/>
            <w:left w:w="108" w:type="dxa"/>
            <w:bottom w:w="0" w:type="dxa"/>
            <w:right w:w="108" w:type="dxa"/>
          </w:tblCellMar>
        </w:tblPrEx>
        <w:trPr>
          <w:trHeight w:val="80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可持续影响</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缓解农业旱情</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6</w:t>
            </w:r>
          </w:p>
        </w:tc>
      </w:tr>
      <w:tr>
        <w:tblPrEx>
          <w:tblCellMar>
            <w:top w:w="0" w:type="dxa"/>
            <w:left w:w="108" w:type="dxa"/>
            <w:bottom w:w="0" w:type="dxa"/>
            <w:right w:w="108" w:type="dxa"/>
          </w:tblCellMar>
        </w:tblPrEx>
        <w:trPr>
          <w:trHeight w:val="270" w:hRule="atLeast"/>
        </w:trPr>
        <w:tc>
          <w:tcPr>
            <w:tcW w:w="1080"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6"/>
                <w:szCs w:val="16"/>
                <w:highlight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6"/>
                <w:szCs w:val="16"/>
                <w:highlight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宋体" w:hAnsi="宋体" w:eastAsia="宋体" w:cs="宋体"/>
                <w:color w:val="000000"/>
                <w:sz w:val="16"/>
                <w:szCs w:val="16"/>
                <w:highlight w:val="none"/>
              </w:rPr>
            </w:pPr>
            <w:r>
              <w:rPr>
                <w:rFonts w:hint="eastAsia" w:ascii="宋体" w:hAnsi="宋体" w:eastAsia="宋体" w:cs="宋体"/>
                <w:color w:val="000000"/>
                <w:kern w:val="0"/>
                <w:sz w:val="16"/>
                <w:szCs w:val="16"/>
                <w:highlight w:val="none"/>
              </w:rPr>
              <w:t>满意度</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color w:val="000000"/>
                <w:sz w:val="16"/>
                <w:szCs w:val="16"/>
                <w:highlight w:val="none"/>
              </w:rPr>
            </w:pPr>
            <w:r>
              <w:rPr>
                <w:rFonts w:ascii="Times New Roman" w:hAnsi="Times New Roman" w:eastAsia="宋体" w:cs="Times New Roman"/>
                <w:color w:val="000000"/>
                <w:kern w:val="0"/>
                <w:sz w:val="16"/>
                <w:szCs w:val="16"/>
                <w:highlight w:val="none"/>
              </w:rPr>
              <w:t>6</w:t>
            </w:r>
          </w:p>
        </w:tc>
        <w:tc>
          <w:tcPr>
            <w:tcW w:w="25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群众满意度</w:t>
            </w:r>
          </w:p>
        </w:tc>
        <w:tc>
          <w:tcPr>
            <w:tcW w:w="1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6</w:t>
            </w:r>
          </w:p>
        </w:tc>
      </w:tr>
      <w:tr>
        <w:tblPrEx>
          <w:tblCellMar>
            <w:top w:w="0" w:type="dxa"/>
            <w:left w:w="108" w:type="dxa"/>
            <w:bottom w:w="0" w:type="dxa"/>
            <w:right w:w="108" w:type="dxa"/>
          </w:tblCellMar>
        </w:tblPrEx>
        <w:trPr>
          <w:trHeight w:val="270" w:hRule="atLeast"/>
        </w:trPr>
        <w:tc>
          <w:tcPr>
            <w:tcW w:w="1080" w:type="dxa"/>
            <w:tcBorders>
              <w:top w:val="nil"/>
              <w:left w:val="nil"/>
              <w:bottom w:val="double" w:color="000000" w:sz="4" w:space="0"/>
              <w:right w:val="single" w:color="000000" w:sz="8" w:space="0"/>
            </w:tcBorders>
            <w:shd w:val="clear" w:color="auto" w:fill="auto"/>
            <w:vAlign w:val="center"/>
          </w:tcPr>
          <w:p>
            <w:pPr>
              <w:widowControl/>
              <w:jc w:val="center"/>
              <w:textAlignment w:val="center"/>
              <w:rPr>
                <w:rFonts w:ascii="宋体" w:hAnsi="宋体" w:eastAsia="宋体" w:cs="宋体"/>
                <w:b/>
                <w:bCs/>
                <w:color w:val="000000"/>
                <w:sz w:val="16"/>
                <w:szCs w:val="16"/>
                <w:highlight w:val="none"/>
              </w:rPr>
            </w:pPr>
            <w:r>
              <w:rPr>
                <w:rFonts w:hint="eastAsia" w:ascii="宋体" w:hAnsi="宋体" w:eastAsia="宋体" w:cs="宋体"/>
                <w:b/>
                <w:bCs/>
                <w:color w:val="000000"/>
                <w:kern w:val="0"/>
                <w:sz w:val="16"/>
                <w:szCs w:val="16"/>
                <w:highlight w:val="none"/>
              </w:rPr>
              <w:t>合计</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highlight w:val="none"/>
              </w:rPr>
            </w:pPr>
            <w:r>
              <w:rPr>
                <w:rFonts w:ascii="Times New Roman" w:hAnsi="Times New Roman" w:eastAsia="宋体" w:cs="Times New Roman"/>
                <w:b/>
                <w:bCs/>
                <w:color w:val="000000"/>
                <w:kern w:val="0"/>
                <w:sz w:val="16"/>
                <w:szCs w:val="16"/>
                <w:highlight w:val="none"/>
              </w:rPr>
              <w:t>100</w:t>
            </w:r>
          </w:p>
        </w:tc>
        <w:tc>
          <w:tcPr>
            <w:tcW w:w="1080" w:type="dxa"/>
            <w:tcBorders>
              <w:top w:val="nil"/>
              <w:left w:val="single" w:color="000000" w:sz="8" w:space="0"/>
              <w:bottom w:val="double" w:color="000000" w:sz="4" w:space="0"/>
              <w:right w:val="single" w:color="000000" w:sz="8" w:space="0"/>
            </w:tcBorders>
            <w:shd w:val="clear" w:color="auto" w:fill="auto"/>
            <w:vAlign w:val="center"/>
          </w:tcPr>
          <w:p>
            <w:pPr>
              <w:jc w:val="center"/>
              <w:rPr>
                <w:rFonts w:ascii="Times New Roman" w:hAnsi="Times New Roman" w:eastAsia="宋体" w:cs="Times New Roman"/>
                <w:b/>
                <w:bCs/>
                <w:color w:val="000000"/>
                <w:sz w:val="16"/>
                <w:szCs w:val="16"/>
                <w:highlight w:val="none"/>
              </w:rPr>
            </w:pPr>
          </w:p>
        </w:tc>
        <w:tc>
          <w:tcPr>
            <w:tcW w:w="1080" w:type="dxa"/>
            <w:tcBorders>
              <w:top w:val="nil"/>
              <w:left w:val="single" w:color="000000" w:sz="8" w:space="0"/>
              <w:bottom w:val="double" w:color="000000" w:sz="4" w:space="0"/>
              <w:right w:val="single" w:color="000000" w:sz="8" w:space="0"/>
            </w:tcBorders>
            <w:shd w:val="clear" w:color="auto" w:fill="auto"/>
            <w:vAlign w:val="center"/>
          </w:tcPr>
          <w:p>
            <w:pPr>
              <w:widowControl/>
              <w:jc w:val="center"/>
              <w:textAlignment w:val="center"/>
              <w:rPr>
                <w:rFonts w:ascii="Times New Roman" w:hAnsi="Times New Roman" w:eastAsia="宋体" w:cs="Times New Roman"/>
                <w:b/>
                <w:bCs/>
                <w:color w:val="000000"/>
                <w:sz w:val="16"/>
                <w:szCs w:val="16"/>
                <w:highlight w:val="none"/>
              </w:rPr>
            </w:pPr>
            <w:r>
              <w:rPr>
                <w:rFonts w:hint="eastAsia" w:ascii="Times New Roman" w:hAnsi="Times New Roman" w:eastAsia="宋体" w:cs="Times New Roman"/>
                <w:b/>
                <w:bCs/>
                <w:color w:val="000000"/>
                <w:kern w:val="0"/>
                <w:sz w:val="16"/>
                <w:szCs w:val="16"/>
                <w:highlight w:val="none"/>
              </w:rPr>
              <w:t>100</w:t>
            </w:r>
          </w:p>
        </w:tc>
        <w:tc>
          <w:tcPr>
            <w:tcW w:w="2595" w:type="dxa"/>
            <w:tcBorders>
              <w:top w:val="nil"/>
              <w:left w:val="single" w:color="000000" w:sz="8" w:space="0"/>
              <w:bottom w:val="double" w:color="000000"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color w:val="000000"/>
                <w:sz w:val="16"/>
                <w:szCs w:val="16"/>
                <w:highlight w:val="none"/>
              </w:rPr>
            </w:pPr>
          </w:p>
        </w:tc>
        <w:tc>
          <w:tcPr>
            <w:tcW w:w="1080" w:type="dxa"/>
            <w:tcBorders>
              <w:top w:val="nil"/>
              <w:left w:val="single" w:color="000000" w:sz="8" w:space="0"/>
              <w:bottom w:val="doub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color w:val="000000"/>
                <w:sz w:val="16"/>
                <w:szCs w:val="16"/>
                <w:highlight w:val="none"/>
                <w:lang w:val="en-US" w:eastAsia="zh-CN"/>
              </w:rPr>
            </w:pPr>
            <w:r>
              <w:rPr>
                <w:rFonts w:hint="eastAsia" w:ascii="宋体" w:hAnsi="宋体" w:eastAsia="宋体" w:cs="宋体"/>
                <w:b/>
                <w:bCs/>
                <w:i w:val="0"/>
                <w:iCs w:val="0"/>
                <w:color w:val="000000"/>
                <w:kern w:val="0"/>
                <w:sz w:val="16"/>
                <w:szCs w:val="16"/>
                <w:highlight w:val="none"/>
                <w:u w:val="none"/>
                <w:lang w:val="en-US" w:eastAsia="zh-CN" w:bidi="ar"/>
              </w:rPr>
              <w:t>100</w:t>
            </w:r>
          </w:p>
        </w:tc>
      </w:tr>
    </w:tbl>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本次评价采用采取询问查证、</w:t>
      </w:r>
      <w:r>
        <w:rPr>
          <w:rFonts w:hint="eastAsia" w:ascii="仿宋_GB2312" w:hAnsi="Times New Roman" w:eastAsia="仿宋_GB2312" w:cs="Times New Roman"/>
          <w:sz w:val="24"/>
          <w:szCs w:val="24"/>
          <w:lang w:val="en-US" w:eastAsia="zh-CN"/>
        </w:rPr>
        <w:t>因素分析</w:t>
      </w:r>
      <w:r>
        <w:rPr>
          <w:rFonts w:hint="eastAsia" w:ascii="仿宋_GB2312" w:hAnsi="Times New Roman" w:eastAsia="仿宋_GB2312" w:cs="Times New Roman"/>
          <w:sz w:val="24"/>
          <w:szCs w:val="24"/>
        </w:rPr>
        <w:t>、问卷调查相结合的方式开展评价工作。总分为100分，评价结果分为优（≥90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询问查证：在比较分析项目资料的基础上，以现场或非现场方式，通过询问、实地</w:t>
      </w:r>
      <w:r>
        <w:rPr>
          <w:rFonts w:hint="eastAsia" w:ascii="仿宋_GB2312" w:hAnsi="Times New Roman" w:eastAsia="仿宋_GB2312" w:cs="Times New Roman"/>
          <w:sz w:val="24"/>
          <w:szCs w:val="24"/>
          <w:lang w:val="en-US" w:eastAsia="zh-CN"/>
        </w:rPr>
        <w:t>查看</w:t>
      </w:r>
      <w:r>
        <w:rPr>
          <w:rFonts w:hint="eastAsia" w:ascii="仿宋_GB2312" w:hAnsi="Times New Roman" w:eastAsia="仿宋_GB2312" w:cs="Times New Roman"/>
          <w:sz w:val="24"/>
          <w:szCs w:val="24"/>
        </w:rPr>
        <w:t>等形式，核查项目资料是否真实、合理，从而对项目作出初步的判断和评价。</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因素分析</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问卷调查：通过设计不同形式的调查问卷，在一定范围内发放、收集、分析调查问卷，进行评价和判断，设置目标群体满意度指标来评价项目绩效。</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根据项目具体实施内容制定了绩效评价指标体系。同时根据财政部《项目支出绩效评价管理办法》（财预[2020]10号）、蚌埠市财政局《蚌埠市市级项目支出绩效财政评价和部门评价操作规程》（蚌财绩〔2021〕53号）设立决策、过程、产出、效益四个一级指标以及相应的二级指标和三级指标。（评价指标体系详见附表）</w:t>
      </w:r>
    </w:p>
    <w:p>
      <w:pPr>
        <w:spacing w:line="560" w:lineRule="exact"/>
        <w:ind w:firstLine="472" w:firstLineChars="200"/>
        <w:outlineLvl w:val="1"/>
        <w:rPr>
          <w:rFonts w:ascii="楷体_GB2312" w:hAnsi="Times New Roman" w:eastAsia="楷体_GB2312" w:cs="Times New Roman"/>
          <w:sz w:val="24"/>
          <w:szCs w:val="24"/>
        </w:rPr>
      </w:pPr>
      <w:bookmarkStart w:id="28" w:name="_Toc23601"/>
      <w:r>
        <w:rPr>
          <w:rFonts w:hint="eastAsia" w:ascii="楷体_GB2312" w:hAnsi="Times New Roman" w:eastAsia="楷体_GB2312" w:cs="Times New Roman"/>
          <w:sz w:val="24"/>
          <w:szCs w:val="24"/>
        </w:rPr>
        <w:t>（三）绩效评价工作过程</w:t>
      </w:r>
      <w:bookmarkEnd w:id="28"/>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w:t>
      </w:r>
      <w:r>
        <w:rPr>
          <w:rFonts w:hint="eastAsia" w:ascii="仿宋_GB2312" w:hAnsi="Times New Roman" w:eastAsia="仿宋_GB2312" w:cs="Times New Roman"/>
          <w:sz w:val="24"/>
          <w:szCs w:val="24"/>
          <w:lang w:val="en-US" w:eastAsia="zh-CN"/>
        </w:rPr>
        <w:t>完成情况等</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w:t>
      </w:r>
      <w:r>
        <w:rPr>
          <w:rFonts w:hint="eastAsia" w:ascii="仿宋_GB2312" w:hAnsi="Times New Roman" w:eastAsia="仿宋_GB2312" w:cs="Times New Roman"/>
          <w:sz w:val="24"/>
          <w:szCs w:val="24"/>
          <w:lang w:val="en-US" w:eastAsia="zh-CN"/>
        </w:rPr>
        <w:t>计划</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查阅项目申报书及申报年度预算的相关资料、项目相关文件、财务凭证附件、项目执行情况报告等资料，询问项目</w:t>
      </w:r>
      <w:r>
        <w:rPr>
          <w:rFonts w:hint="eastAsia" w:ascii="仿宋_GB2312" w:hAnsi="Times New Roman" w:eastAsia="仿宋_GB2312" w:cs="Times New Roman"/>
          <w:sz w:val="24"/>
          <w:szCs w:val="24"/>
          <w:lang w:val="en-US" w:eastAsia="zh-CN"/>
        </w:rPr>
        <w:t>经办</w:t>
      </w:r>
      <w:r>
        <w:rPr>
          <w:rFonts w:hint="eastAsia" w:ascii="仿宋_GB2312" w:hAnsi="Times New Roman" w:eastAsia="仿宋_GB2312" w:cs="Times New Roman"/>
          <w:sz w:val="24"/>
          <w:szCs w:val="24"/>
        </w:rPr>
        <w:t>人员，查看项目工作台账、支出财务明细账、项目资金到位凭证、项目预算</w:t>
      </w:r>
      <w:r>
        <w:rPr>
          <w:rFonts w:hint="eastAsia" w:ascii="仿宋_GB2312" w:hAnsi="Times New Roman" w:eastAsia="仿宋_GB2312" w:cs="Times New Roman"/>
          <w:sz w:val="24"/>
          <w:szCs w:val="24"/>
          <w:lang w:val="en-US" w:eastAsia="zh-CN"/>
        </w:rPr>
        <w:t>批复</w:t>
      </w:r>
      <w:r>
        <w:rPr>
          <w:rFonts w:hint="eastAsia" w:ascii="仿宋_GB2312" w:hAnsi="Times New Roman" w:eastAsia="仿宋_GB2312" w:cs="Times New Roman"/>
          <w:sz w:val="24"/>
          <w:szCs w:val="24"/>
        </w:rPr>
        <w:t>文件、相关管理制度等。结合项目具体情况，设计绩效评价指标体系，征求被评价单位意见，确定项目绩效评价指标体系。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pPr>
        <w:spacing w:line="560" w:lineRule="exact"/>
        <w:ind w:firstLine="472" w:firstLineChars="200"/>
        <w:outlineLvl w:val="0"/>
        <w:rPr>
          <w:rFonts w:ascii="黑体" w:hAnsi="黑体" w:eastAsia="黑体" w:cs="Times New Roman"/>
          <w:b/>
          <w:bCs/>
          <w:sz w:val="24"/>
          <w:szCs w:val="24"/>
        </w:rPr>
      </w:pPr>
      <w:bookmarkStart w:id="29" w:name="_Toc31295"/>
      <w:r>
        <w:rPr>
          <w:rFonts w:hint="eastAsia" w:ascii="黑体" w:hAnsi="黑体" w:eastAsia="黑体" w:cs="Times New Roman"/>
          <w:b/>
          <w:bCs/>
          <w:sz w:val="24"/>
          <w:szCs w:val="24"/>
        </w:rPr>
        <w:t>三、综合评价情况及评价结论</w:t>
      </w:r>
      <w:bookmarkEnd w:id="29"/>
    </w:p>
    <w:p>
      <w:pPr>
        <w:spacing w:line="560" w:lineRule="exact"/>
        <w:ind w:firstLine="472" w:firstLineChars="200"/>
        <w:outlineLvl w:val="1"/>
        <w:rPr>
          <w:rFonts w:ascii="楷体_GB2312" w:hAnsi="Times New Roman" w:eastAsia="楷体_GB2312" w:cs="Times New Roman"/>
          <w:sz w:val="24"/>
          <w:szCs w:val="24"/>
        </w:rPr>
      </w:pPr>
      <w:bookmarkStart w:id="30" w:name="_Toc20659"/>
      <w:r>
        <w:rPr>
          <w:rFonts w:hint="eastAsia" w:ascii="楷体_GB2312" w:hAnsi="Times New Roman" w:eastAsia="楷体_GB2312" w:cs="Times New Roman"/>
          <w:sz w:val="24"/>
          <w:szCs w:val="24"/>
        </w:rPr>
        <w:t>（一）综合评价情况</w:t>
      </w:r>
      <w:bookmarkEnd w:id="3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w:t>
      </w: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w:t>
      </w:r>
      <w:r>
        <w:rPr>
          <w:rFonts w:hint="eastAsia" w:ascii="仿宋_GB2312" w:hAnsi="Times New Roman" w:eastAsia="仿宋_GB2312" w:cs="Times New Roman"/>
          <w:sz w:val="24"/>
          <w:szCs w:val="24"/>
        </w:rPr>
        <w:t>经费项目立项依据充分，立项程序规范，绩效目标设置合理，资金到位及时、使用合规，管理制度健全，基本得到有效执行，项目产出完成情况良好，取得了较好的社会、经济和生态效益，</w:t>
      </w:r>
      <w:r>
        <w:rPr>
          <w:rFonts w:hint="eastAsia" w:ascii="仿宋_GB2312" w:hAnsi="Times New Roman" w:eastAsia="仿宋_GB2312" w:cs="Times New Roman"/>
          <w:sz w:val="24"/>
          <w:szCs w:val="24"/>
          <w:lang w:val="en-US" w:eastAsia="zh-CN"/>
        </w:rPr>
        <w:t>群众</w:t>
      </w:r>
      <w:r>
        <w:rPr>
          <w:rFonts w:hint="eastAsia" w:ascii="仿宋_GB2312" w:hAnsi="Times New Roman" w:eastAsia="仿宋_GB2312" w:cs="Times New Roman"/>
          <w:sz w:val="24"/>
          <w:szCs w:val="24"/>
        </w:rPr>
        <w:t>满意度高。</w:t>
      </w:r>
    </w:p>
    <w:p>
      <w:pPr>
        <w:spacing w:line="560" w:lineRule="exact"/>
        <w:ind w:firstLine="472" w:firstLineChars="200"/>
        <w:outlineLvl w:val="1"/>
        <w:rPr>
          <w:rFonts w:ascii="楷体_GB2312" w:hAnsi="Times New Roman" w:eastAsia="楷体_GB2312" w:cs="Times New Roman"/>
          <w:sz w:val="24"/>
          <w:szCs w:val="24"/>
        </w:rPr>
      </w:pPr>
      <w:bookmarkStart w:id="31" w:name="_Toc29228"/>
      <w:r>
        <w:rPr>
          <w:rFonts w:hint="eastAsia" w:ascii="楷体_GB2312" w:hAnsi="Times New Roman" w:eastAsia="楷体_GB2312" w:cs="Times New Roman"/>
          <w:sz w:val="24"/>
          <w:szCs w:val="24"/>
        </w:rPr>
        <w:t>（二）评价结论</w:t>
      </w:r>
      <w:bookmarkEnd w:id="3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w:t>
      </w:r>
      <w:r>
        <w:rPr>
          <w:rFonts w:hint="eastAsia" w:ascii="仿宋_GB2312" w:hAnsi="Times New Roman" w:eastAsia="仿宋_GB2312" w:cs="Times New Roman"/>
          <w:sz w:val="24"/>
          <w:szCs w:val="24"/>
          <w:lang w:val="en-US" w:eastAsia="zh-CN"/>
        </w:rPr>
        <w:t>89</w:t>
      </w:r>
      <w:r>
        <w:rPr>
          <w:rFonts w:hint="eastAsia" w:ascii="仿宋_GB2312" w:hAnsi="Times New Roman" w:eastAsia="仿宋_GB2312" w:cs="Times New Roman"/>
          <w:sz w:val="24"/>
          <w:szCs w:val="24"/>
        </w:rPr>
        <w:t>分，评价等级为“良”。</w:t>
      </w:r>
    </w:p>
    <w:p>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9"/>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pPr>
              <w:spacing w:line="560" w:lineRule="exact"/>
              <w:jc w:val="center"/>
              <w:rPr>
                <w:rFonts w:ascii="Times New Roman" w:hAnsi="Times New Roman" w:eastAsia="宋体" w:cs="Times New Roman"/>
                <w:b/>
                <w:bCs/>
                <w:sz w:val="16"/>
                <w:szCs w:val="16"/>
              </w:rPr>
            </w:pPr>
            <w:bookmarkStart w:id="32" w:name="_Hlk79742153"/>
            <w:r>
              <w:rPr>
                <w:rFonts w:ascii="Times New Roman" w:hAnsi="Times New Roman" w:eastAsia="宋体" w:cs="Times New Roman"/>
                <w:b/>
                <w:bCs/>
                <w:sz w:val="16"/>
                <w:szCs w:val="16"/>
              </w:rPr>
              <w:t>指标</w:t>
            </w:r>
          </w:p>
        </w:tc>
        <w:tc>
          <w:tcPr>
            <w:tcW w:w="1275"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15</w:t>
            </w:r>
          </w:p>
        </w:tc>
        <w:tc>
          <w:tcPr>
            <w:tcW w:w="1418" w:type="dxa"/>
          </w:tcPr>
          <w:p>
            <w:pPr>
              <w:spacing w:line="560" w:lineRule="exact"/>
              <w:ind w:firstLine="312" w:firstLineChars="2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276"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134"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35</w:t>
            </w:r>
          </w:p>
        </w:tc>
        <w:tc>
          <w:tcPr>
            <w:tcW w:w="1276" w:type="dxa"/>
            <w:tcBorders>
              <w:righ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14</w:t>
            </w:r>
          </w:p>
        </w:tc>
        <w:tc>
          <w:tcPr>
            <w:tcW w:w="1418" w:type="dxa"/>
          </w:tcPr>
          <w:p>
            <w:pPr>
              <w:spacing w:line="560" w:lineRule="exact"/>
              <w:ind w:firstLine="156" w:firstLineChars="1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23</w:t>
            </w:r>
          </w:p>
        </w:tc>
        <w:tc>
          <w:tcPr>
            <w:tcW w:w="1276"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134"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27</w:t>
            </w:r>
          </w:p>
        </w:tc>
        <w:tc>
          <w:tcPr>
            <w:tcW w:w="1276" w:type="dxa"/>
            <w:tcBorders>
              <w:right w:val="nil"/>
            </w:tcBorders>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93.33</w:t>
            </w:r>
            <w:r>
              <w:rPr>
                <w:rFonts w:ascii="Times New Roman" w:hAnsi="Times New Roman" w:eastAsia="宋体" w:cs="Times New Roman"/>
                <w:sz w:val="16"/>
                <w:szCs w:val="16"/>
              </w:rPr>
              <w:t>%</w:t>
            </w:r>
          </w:p>
        </w:tc>
        <w:tc>
          <w:tcPr>
            <w:tcW w:w="1418"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92</w:t>
            </w:r>
            <w:r>
              <w:rPr>
                <w:rFonts w:ascii="Times New Roman" w:hAnsi="Times New Roman" w:eastAsia="宋体" w:cs="Times New Roman"/>
                <w:sz w:val="16"/>
                <w:szCs w:val="16"/>
              </w:rPr>
              <w:t>%</w:t>
            </w:r>
          </w:p>
        </w:tc>
        <w:tc>
          <w:tcPr>
            <w:tcW w:w="1276"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w:t>
            </w:r>
          </w:p>
        </w:tc>
        <w:tc>
          <w:tcPr>
            <w:tcW w:w="1134"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77.14</w:t>
            </w:r>
            <w:r>
              <w:rPr>
                <w:rFonts w:ascii="Times New Roman" w:hAnsi="Times New Roman" w:eastAsia="宋体" w:cs="Times New Roman"/>
                <w:sz w:val="16"/>
                <w:szCs w:val="16"/>
              </w:rPr>
              <w:t>%</w:t>
            </w:r>
          </w:p>
        </w:tc>
        <w:tc>
          <w:tcPr>
            <w:tcW w:w="1276" w:type="dxa"/>
            <w:tcBorders>
              <w:bottom w:val="double" w:color="auto" w:sz="4" w:space="0"/>
              <w:right w:val="nil"/>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89</w:t>
            </w:r>
            <w:r>
              <w:rPr>
                <w:rFonts w:ascii="Times New Roman" w:hAnsi="Times New Roman" w:eastAsia="宋体" w:cs="Times New Roman"/>
                <w:sz w:val="16"/>
                <w:szCs w:val="16"/>
              </w:rPr>
              <w:t>%</w:t>
            </w:r>
          </w:p>
        </w:tc>
      </w:tr>
      <w:bookmarkEnd w:id="32"/>
    </w:tbl>
    <w:p>
      <w:pPr>
        <w:spacing w:line="560" w:lineRule="exact"/>
        <w:ind w:firstLine="472" w:firstLineChars="200"/>
        <w:outlineLvl w:val="0"/>
        <w:rPr>
          <w:rFonts w:ascii="黑体" w:hAnsi="黑体" w:eastAsia="黑体" w:cs="Times New Roman"/>
          <w:b/>
          <w:bCs/>
          <w:sz w:val="24"/>
          <w:szCs w:val="24"/>
        </w:rPr>
      </w:pPr>
      <w:bookmarkStart w:id="33" w:name="_Toc15151"/>
      <w:r>
        <w:rPr>
          <w:rFonts w:hint="eastAsia" w:ascii="黑体" w:hAnsi="黑体" w:eastAsia="黑体" w:cs="Times New Roman"/>
          <w:b/>
          <w:bCs/>
          <w:sz w:val="24"/>
          <w:szCs w:val="24"/>
        </w:rPr>
        <w:t>四、绩效评价指标分析</w:t>
      </w:r>
      <w:bookmarkEnd w:id="33"/>
    </w:p>
    <w:p>
      <w:pPr>
        <w:spacing w:line="560" w:lineRule="exact"/>
        <w:ind w:firstLine="472" w:firstLineChars="200"/>
        <w:outlineLvl w:val="1"/>
        <w:rPr>
          <w:rFonts w:ascii="楷体_GB2312" w:hAnsi="Times New Roman" w:eastAsia="楷体_GB2312" w:cs="Times New Roman"/>
          <w:sz w:val="24"/>
          <w:szCs w:val="24"/>
          <w:highlight w:val="none"/>
        </w:rPr>
      </w:pPr>
      <w:bookmarkStart w:id="34" w:name="_Toc17424"/>
      <w:r>
        <w:rPr>
          <w:rFonts w:hint="eastAsia" w:ascii="楷体_GB2312" w:hAnsi="Times New Roman" w:eastAsia="楷体_GB2312" w:cs="Times New Roman"/>
          <w:sz w:val="24"/>
          <w:szCs w:val="24"/>
          <w:highlight w:val="none"/>
        </w:rPr>
        <w:t>（一）项目决策情况</w:t>
      </w:r>
      <w:bookmarkEnd w:id="34"/>
    </w:p>
    <w:p>
      <w:pPr>
        <w:spacing w:line="560" w:lineRule="exact"/>
        <w:ind w:firstLine="472" w:firstLineChars="200"/>
        <w:rPr>
          <w:rFonts w:ascii="仿宋_GB2312" w:hAnsi="Times New Roman" w:eastAsia="仿宋_GB2312" w:cs="Times New Roman"/>
          <w:sz w:val="24"/>
          <w:szCs w:val="24"/>
          <w:highlight w:val="none"/>
        </w:rPr>
      </w:pPr>
      <w:bookmarkStart w:id="35" w:name="_Hlk79831729"/>
      <w:r>
        <w:rPr>
          <w:rFonts w:hint="eastAsia" w:ascii="仿宋_GB2312" w:hAnsi="Times New Roman" w:eastAsia="仿宋_GB2312" w:cs="Times New Roman"/>
          <w:sz w:val="24"/>
          <w:szCs w:val="24"/>
          <w:highlight w:val="none"/>
        </w:rPr>
        <w:t>项目决策的评价指标包括项目立项、绩效目标、资金投入三项二级指标，共涉及项目立项充分性、立项程序规范性、绩效目标合理性、绩效指标明确性、预算编制科学性、资金分配合理性6个三级指标。“项目决策”总分1</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14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93.33</w:t>
      </w:r>
      <w:r>
        <w:rPr>
          <w:rFonts w:hint="eastAsia" w:ascii="仿宋_GB2312" w:hAnsi="Times New Roman" w:eastAsia="仿宋_GB2312" w:cs="Times New Roman"/>
          <w:sz w:val="24"/>
          <w:szCs w:val="24"/>
          <w:highlight w:val="none"/>
        </w:rPr>
        <w:t xml:space="preserve"> %。主要问题在于设定的</w:t>
      </w:r>
      <w:r>
        <w:rPr>
          <w:rFonts w:hint="eastAsia" w:ascii="仿宋_GB2312" w:hAnsi="Times New Roman" w:eastAsia="仿宋_GB2312" w:cs="Times New Roman"/>
          <w:sz w:val="24"/>
          <w:szCs w:val="24"/>
          <w:highlight w:val="none"/>
          <w:lang w:eastAsia="zh-CN"/>
        </w:rPr>
        <w:t>部分</w:t>
      </w:r>
      <w:r>
        <w:rPr>
          <w:rFonts w:hint="eastAsia" w:ascii="仿宋_GB2312" w:hAnsi="Times New Roman" w:eastAsia="仿宋_GB2312" w:cs="Times New Roman"/>
          <w:sz w:val="24"/>
          <w:szCs w:val="24"/>
          <w:highlight w:val="none"/>
        </w:rPr>
        <w:t>绩效目标较为简单、笼统，未根据项目实际对产出和效益进行量化、细化，多数为泛化的定性指标，评价依据不清，标准不明确，缺少科学合理的衡量标准：</w:t>
      </w:r>
    </w:p>
    <w:p>
      <w:pPr>
        <w:spacing w:line="560" w:lineRule="exact"/>
        <w:ind w:firstLine="2124" w:firstLineChars="900"/>
        <w:rPr>
          <w:rFonts w:ascii="仿宋_GB2312" w:hAnsi="Times New Roman" w:eastAsia="仿宋_GB2312" w:cs="Times New Roman"/>
          <w:b/>
          <w:bCs/>
          <w:color w:val="FF0000"/>
          <w:sz w:val="24"/>
          <w:szCs w:val="24"/>
          <w:highlight w:val="none"/>
        </w:rPr>
      </w:pPr>
      <w:r>
        <w:rPr>
          <w:rFonts w:hint="eastAsia" w:ascii="仿宋_GB2312" w:hAnsi="Times New Roman" w:eastAsia="仿宋_GB2312" w:cs="Times New Roman"/>
          <w:b/>
          <w:bCs/>
          <w:sz w:val="24"/>
          <w:szCs w:val="24"/>
          <w:highlight w:val="none"/>
        </w:rPr>
        <w:t xml:space="preserve">  决策类指标评分情况</w:t>
      </w:r>
    </w:p>
    <w:tbl>
      <w:tblPr>
        <w:tblStyle w:val="19"/>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2674"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700" w:type="dxa"/>
            <w:tcBorders>
              <w:top w:val="double" w:color="auto" w:sz="4" w:space="0"/>
              <w:bottom w:val="single" w:color="auto" w:sz="4" w:space="0"/>
              <w:right w:val="nil"/>
            </w:tcBorders>
          </w:tcPr>
          <w:p>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项目立项</w:t>
            </w:r>
          </w:p>
        </w:tc>
        <w:tc>
          <w:tcPr>
            <w:tcW w:w="2674" w:type="dxa"/>
            <w:tcBorders>
              <w:top w:val="single" w:color="auto" w:sz="4" w:space="0"/>
            </w:tcBorders>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立项依据充分性</w:t>
            </w:r>
          </w:p>
        </w:tc>
        <w:tc>
          <w:tcPr>
            <w:tcW w:w="1134" w:type="dxa"/>
            <w:tcBorders>
              <w:top w:val="single" w:color="auto" w:sz="4" w:space="0"/>
              <w:right w:val="nil"/>
            </w:tcBorders>
            <w:vAlign w:val="center"/>
          </w:tcPr>
          <w:p>
            <w:pPr>
              <w:spacing w:line="560" w:lineRule="exact"/>
              <w:ind w:firstLine="156" w:firstLineChars="100"/>
              <w:jc w:val="center"/>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3</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1700"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2674"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立项程序规范性</w:t>
            </w:r>
          </w:p>
        </w:tc>
        <w:tc>
          <w:tcPr>
            <w:tcW w:w="1134" w:type="dxa"/>
            <w:tcBorders>
              <w:right w:val="nil"/>
            </w:tcBorders>
            <w:vAlign w:val="center"/>
          </w:tcPr>
          <w:p>
            <w:pPr>
              <w:spacing w:line="560" w:lineRule="exact"/>
              <w:ind w:firstLine="156" w:firstLineChars="100"/>
              <w:jc w:val="center"/>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2</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绩效目标</w:t>
            </w:r>
          </w:p>
        </w:tc>
        <w:tc>
          <w:tcPr>
            <w:tcW w:w="2674"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绩效目标合理性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3</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p>
        </w:tc>
        <w:tc>
          <w:tcPr>
            <w:tcW w:w="2674"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绩效指标明确性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3</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66.67</w:t>
            </w:r>
            <w:r>
              <w:rPr>
                <w:rFonts w:ascii="Times New Roman" w:hAnsi="Times New Roman" w:eastAsia="宋体" w:cs="Times New Roman"/>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资金投入</w:t>
            </w:r>
          </w:p>
        </w:tc>
        <w:tc>
          <w:tcPr>
            <w:tcW w:w="2674"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预算编制科学性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2674"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资金分配合理性</w:t>
            </w:r>
          </w:p>
        </w:tc>
        <w:tc>
          <w:tcPr>
            <w:tcW w:w="1134" w:type="dxa"/>
            <w:tcBorders>
              <w:right w:val="nil"/>
            </w:tcBorders>
            <w:vAlign w:val="center"/>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134" w:type="dxa"/>
            <w:tcBorders>
              <w:bottom w:val="double" w:color="auto" w:sz="4" w:space="0"/>
              <w:right w:val="nil"/>
            </w:tcBorders>
            <w:vAlign w:val="center"/>
          </w:tcPr>
          <w:p>
            <w:pPr>
              <w:spacing w:line="560" w:lineRule="exact"/>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15</w:t>
            </w:r>
          </w:p>
        </w:tc>
        <w:tc>
          <w:tcPr>
            <w:tcW w:w="1134" w:type="dxa"/>
            <w:tcBorders>
              <w:bottom w:val="double" w:color="auto" w:sz="4" w:space="0"/>
              <w:right w:val="nil"/>
            </w:tcBorders>
          </w:tcPr>
          <w:p>
            <w:pPr>
              <w:spacing w:line="560" w:lineRule="exact"/>
              <w:ind w:firstLine="312" w:firstLineChars="200"/>
              <w:jc w:val="both"/>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14</w:t>
            </w:r>
          </w:p>
        </w:tc>
        <w:tc>
          <w:tcPr>
            <w:tcW w:w="1700" w:type="dxa"/>
            <w:tcBorders>
              <w:bottom w:val="double" w:color="auto" w:sz="4" w:space="0"/>
              <w:right w:val="nil"/>
            </w:tcBorders>
          </w:tcPr>
          <w:p>
            <w:pPr>
              <w:spacing w:line="560" w:lineRule="exact"/>
              <w:ind w:firstLine="156" w:firstLineChars="100"/>
              <w:jc w:val="center"/>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93.33</w:t>
            </w:r>
            <w:r>
              <w:rPr>
                <w:rFonts w:ascii="Times New Roman" w:hAnsi="Times New Roman" w:eastAsia="宋体" w:cs="Times New Roman"/>
                <w:b/>
                <w:bCs/>
                <w:sz w:val="16"/>
                <w:szCs w:val="16"/>
                <w:highlight w:val="none"/>
              </w:rPr>
              <w:t>%</w:t>
            </w:r>
          </w:p>
        </w:tc>
      </w:tr>
      <w:bookmarkEnd w:id="35"/>
    </w:tbl>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1.立项依据充分性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指标解释：该项指标主要考核项目立项是否符合法律法规、相关政策、发展规划以及部门职责，用以反映和考核项目立项依据情况。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评分情况：本项目立项符合</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财政部 农业农村部 水利部关于印发《农业生产和水利救灾资金管理办法》的通知</w:t>
      </w:r>
      <w:r>
        <w:rPr>
          <w:rFonts w:hint="eastAsia" w:ascii="仿宋_GB2312" w:hAnsi="Times New Roman" w:eastAsia="仿宋_GB2312" w:cs="Times New Roman"/>
          <w:sz w:val="24"/>
          <w:szCs w:val="24"/>
          <w:highlight w:val="none"/>
          <w:lang w:eastAsia="zh-CN"/>
        </w:rPr>
        <w:t>》、《安徽省农业农村厅关于积极应对干旱寒潮做好在地作物越冬管理的通知》</w:t>
      </w:r>
      <w:r>
        <w:rPr>
          <w:rFonts w:hint="eastAsia" w:ascii="仿宋_GB2312" w:hAnsi="Times New Roman" w:eastAsia="仿宋_GB2312" w:cs="Times New Roman"/>
          <w:sz w:val="24"/>
          <w:szCs w:val="24"/>
          <w:highlight w:val="none"/>
        </w:rPr>
        <w:t>文件规定，立期依据充分，该项满分</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分，得分率100.00%。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2.立项程序规范性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指标解释：项目申请、设立过程是否符合相关要求，用以反映和考核项目立项的规范情况。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县农业农村局根据当年度全县实际抗旱面积69.6万亩，按照每亩5元的标准</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测算出全县抗旱资金总计需求348万元，</w:t>
      </w:r>
      <w:r>
        <w:rPr>
          <w:rFonts w:hint="eastAsia" w:ascii="仿宋_GB2312" w:hAnsi="Times New Roman" w:eastAsia="仿宋_GB2312" w:cs="Times New Roman"/>
          <w:sz w:val="24"/>
          <w:szCs w:val="24"/>
          <w:highlight w:val="none"/>
        </w:rPr>
        <w:t>向</w:t>
      </w:r>
      <w:r>
        <w:rPr>
          <w:rFonts w:hint="eastAsia" w:ascii="仿宋_GB2312" w:hAnsi="Times New Roman" w:eastAsia="仿宋_GB2312" w:cs="Times New Roman"/>
          <w:sz w:val="24"/>
          <w:szCs w:val="24"/>
          <w:highlight w:val="none"/>
          <w:lang w:val="en-US" w:eastAsia="zh-CN"/>
        </w:rPr>
        <w:t>县政府</w:t>
      </w:r>
      <w:r>
        <w:rPr>
          <w:rFonts w:hint="eastAsia" w:ascii="仿宋_GB2312" w:hAnsi="Times New Roman" w:eastAsia="仿宋_GB2312" w:cs="Times New Roman"/>
          <w:sz w:val="24"/>
          <w:szCs w:val="24"/>
          <w:highlight w:val="none"/>
        </w:rPr>
        <w:t>提出预算申请，</w:t>
      </w:r>
      <w:r>
        <w:rPr>
          <w:rFonts w:hint="eastAsia" w:ascii="仿宋_GB2312" w:hAnsi="Times New Roman" w:eastAsia="仿宋_GB2312" w:cs="Times New Roman"/>
          <w:sz w:val="24"/>
          <w:szCs w:val="24"/>
          <w:highlight w:val="none"/>
          <w:lang w:val="en-US" w:eastAsia="zh-CN"/>
        </w:rPr>
        <w:t>县政府转县财政局办理，</w:t>
      </w:r>
      <w:r>
        <w:rPr>
          <w:rFonts w:hint="eastAsia" w:ascii="仿宋_GB2312" w:hAnsi="Times New Roman" w:eastAsia="仿宋_GB2312" w:cs="Times New Roman"/>
          <w:sz w:val="24"/>
          <w:szCs w:val="24"/>
          <w:highlight w:val="none"/>
        </w:rPr>
        <w:t>县财政局</w:t>
      </w:r>
      <w:r>
        <w:rPr>
          <w:rFonts w:hint="eastAsia" w:ascii="仿宋_GB2312" w:hAnsi="Times New Roman" w:eastAsia="仿宋_GB2312" w:cs="Times New Roman"/>
          <w:sz w:val="24"/>
          <w:szCs w:val="24"/>
          <w:highlight w:val="none"/>
          <w:lang w:val="en-US" w:eastAsia="zh-CN"/>
        </w:rPr>
        <w:t>通过县长预备费下达县农业农村局</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eastAsia="zh-CN"/>
        </w:rPr>
        <w:t>2022</w:t>
      </w:r>
      <w:r>
        <w:rPr>
          <w:rFonts w:hint="eastAsia" w:ascii="仿宋_GB2312" w:hAnsi="Times New Roman" w:eastAsia="仿宋_GB2312" w:cs="Times New Roman"/>
          <w:sz w:val="24"/>
          <w:szCs w:val="24"/>
          <w:highlight w:val="none"/>
        </w:rPr>
        <w:t>年度</w:t>
      </w:r>
      <w:r>
        <w:rPr>
          <w:rFonts w:hint="eastAsia" w:ascii="仿宋_GB2312" w:hAnsi="Times New Roman" w:eastAsia="仿宋_GB2312" w:cs="Times New Roman"/>
          <w:sz w:val="24"/>
          <w:szCs w:val="24"/>
          <w:highlight w:val="none"/>
          <w:lang w:eastAsia="zh-CN"/>
        </w:rPr>
        <w:t>抗旱</w:t>
      </w:r>
      <w:r>
        <w:rPr>
          <w:rFonts w:hint="eastAsia" w:ascii="仿宋_GB2312" w:hAnsi="Times New Roman" w:eastAsia="仿宋_GB2312" w:cs="Times New Roman"/>
          <w:sz w:val="24"/>
          <w:szCs w:val="24"/>
          <w:highlight w:val="none"/>
          <w:lang w:val="en-US" w:eastAsia="zh-CN"/>
        </w:rPr>
        <w:t>资金348</w:t>
      </w:r>
      <w:r>
        <w:rPr>
          <w:rFonts w:hint="eastAsia" w:ascii="仿宋_GB2312" w:hAnsi="Times New Roman" w:eastAsia="仿宋_GB2312" w:cs="Times New Roman"/>
          <w:sz w:val="24"/>
          <w:szCs w:val="24"/>
          <w:highlight w:val="none"/>
        </w:rPr>
        <w:t>万元。</w:t>
      </w:r>
    </w:p>
    <w:p>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highlight w:val="none"/>
        </w:rPr>
        <w:t>本项目按照规定的程序申请设立，取得符合要求的项目立项批复文件，该项满分</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分，得分率100.00%。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3.绩效目标合理性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指标解释：项目所设定的绩效目标是否依据充分，是否符合客观实际，用以反映和考核项目绩效目标与项目实施的相符情况。</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bookmarkStart w:id="36" w:name="_Hlk79766109"/>
      <w:r>
        <w:rPr>
          <w:rFonts w:hint="eastAsia" w:ascii="仿宋_GB2312" w:hAnsi="Times New Roman" w:eastAsia="仿宋_GB2312" w:cs="Times New Roman"/>
          <w:sz w:val="24"/>
          <w:szCs w:val="24"/>
          <w:highlight w:val="none"/>
        </w:rPr>
        <w:t>评分情况：</w:t>
      </w:r>
      <w:bookmarkEnd w:id="36"/>
      <w:r>
        <w:rPr>
          <w:rFonts w:hint="eastAsia" w:ascii="仿宋_GB2312" w:hAnsi="Times New Roman" w:eastAsia="仿宋_GB2312" w:cs="Times New Roman"/>
          <w:sz w:val="24"/>
          <w:szCs w:val="24"/>
          <w:highlight w:val="none"/>
        </w:rPr>
        <w:t>项目所设定的绩效目标</w:t>
      </w:r>
      <w:r>
        <w:rPr>
          <w:rFonts w:hint="eastAsia" w:ascii="仿宋_GB2312" w:hAnsi="Times New Roman" w:eastAsia="仿宋_GB2312" w:cs="Times New Roman"/>
          <w:sz w:val="24"/>
          <w:szCs w:val="24"/>
          <w:highlight w:val="none"/>
          <w:lang w:val="en-US" w:eastAsia="zh-CN"/>
        </w:rPr>
        <w:t>为稳定粮食产量，保障2022年夏粮生产安全。</w:t>
      </w:r>
      <w:r>
        <w:rPr>
          <w:rFonts w:hint="eastAsia" w:ascii="仿宋_GB2312" w:hAnsi="Times New Roman" w:eastAsia="仿宋_GB2312" w:cs="Times New Roman"/>
          <w:sz w:val="24"/>
          <w:szCs w:val="24"/>
          <w:highlight w:val="none"/>
        </w:rPr>
        <w:t>项目所设定的绩效目标依据充分，符合客观实际，与项目实施的相符。</w:t>
      </w:r>
      <w:r>
        <w:rPr>
          <w:rFonts w:hint="eastAsia" w:ascii="仿宋_GB2312" w:hAnsi="Times New Roman" w:eastAsia="仿宋_GB2312" w:cs="Times New Roman"/>
          <w:sz w:val="24"/>
          <w:szCs w:val="24"/>
          <w:highlight w:val="none"/>
          <w:lang w:eastAsia="zh-CN"/>
        </w:rPr>
        <w:t>该项满分</w:t>
      </w:r>
      <w:r>
        <w:rPr>
          <w:rFonts w:hint="eastAsia" w:ascii="仿宋_GB2312" w:hAnsi="Times New Roman" w:eastAsia="仿宋_GB2312" w:cs="Times New Roman"/>
          <w:sz w:val="24"/>
          <w:szCs w:val="24"/>
          <w:highlight w:val="none"/>
          <w:lang w:val="en-US" w:eastAsia="zh-CN"/>
        </w:rPr>
        <w:t>3分，实际得分3分，得分率100%。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4.绩效指标明确性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指标解释：依据绩效目标设定的绩效指标是否清晰、细化、可衡量等，用以反映和考核项目绩效目标的明细化情况。</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部分指标不够</w:t>
      </w:r>
      <w:r>
        <w:rPr>
          <w:rFonts w:hint="eastAsia" w:ascii="仿宋_GB2312" w:hAnsi="Times New Roman" w:eastAsia="仿宋_GB2312" w:cs="Times New Roman"/>
          <w:sz w:val="24"/>
          <w:szCs w:val="24"/>
          <w:highlight w:val="none"/>
        </w:rPr>
        <w:t>细化与量化</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如效益指标下的三级指标均为笼统的定性指标，不可准确衡量该项满分3分，实际得分2分，得分率66.67%</w:t>
      </w:r>
      <w:r>
        <w:rPr>
          <w:rFonts w:hint="eastAsia" w:ascii="仿宋_GB2312" w:hAnsi="Times New Roman" w:eastAsia="仿宋_GB2312" w:cs="Times New Roman"/>
          <w:sz w:val="24"/>
          <w:szCs w:val="24"/>
          <w:highlight w:val="none"/>
        </w:rPr>
        <w:t>。</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5.预算编制科学性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指标解释：项目预算编制是否经过科学论证、有明确标准、资金额度与年度目标是否相适应，用以反映和考核项目预算编制的科学性、合理性情况。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县农业农村局</w:t>
      </w:r>
      <w:r>
        <w:rPr>
          <w:rFonts w:hint="eastAsia" w:ascii="仿宋_GB2312" w:hAnsi="Times New Roman" w:eastAsia="仿宋_GB2312" w:cs="Times New Roman"/>
          <w:sz w:val="24"/>
          <w:szCs w:val="24"/>
          <w:highlight w:val="none"/>
        </w:rPr>
        <w:t>依据</w:t>
      </w:r>
      <w:r>
        <w:rPr>
          <w:rFonts w:hint="eastAsia" w:ascii="仿宋_GB2312" w:hAnsi="Times New Roman" w:eastAsia="仿宋_GB2312" w:cs="Times New Roman"/>
          <w:sz w:val="24"/>
          <w:szCs w:val="24"/>
          <w:highlight w:val="none"/>
          <w:lang w:val="en-US" w:eastAsia="zh-CN"/>
        </w:rPr>
        <w:t>当年度全县抗旱面积及亩均标准测算出抗旱经费金额</w:t>
      </w:r>
      <w:r>
        <w:rPr>
          <w:rFonts w:hint="eastAsia" w:ascii="仿宋_GB2312" w:hAnsi="Times New Roman" w:eastAsia="仿宋_GB2312" w:cs="Times New Roman"/>
          <w:sz w:val="24"/>
          <w:szCs w:val="24"/>
          <w:highlight w:val="none"/>
        </w:rPr>
        <w:t>，预算内容与项目内容匹配，预算额度测算依据充分，按照标准编制，与202</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年目标相适应。</w:t>
      </w:r>
      <w:bookmarkStart w:id="37" w:name="_Hlk79831575"/>
      <w:r>
        <w:rPr>
          <w:rFonts w:hint="eastAsia" w:ascii="仿宋_GB2312" w:hAnsi="Times New Roman" w:eastAsia="仿宋_GB2312" w:cs="Times New Roman"/>
          <w:sz w:val="24"/>
          <w:szCs w:val="24"/>
          <w:highlight w:val="none"/>
        </w:rPr>
        <w:t>依据评分标准，该项满分2分，得2分，得分率100.00%。</w:t>
      </w:r>
    </w:p>
    <w:bookmarkEnd w:id="37"/>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6.资金分配合理性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指标解释：项目是否有测算依据、与补助单位或地方实际是否相适应，用以反映和考核项目预算资金分配的科学性、合理性情况。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该项目资金分配有测算依据，资金分配科学合理。依据评分标准，该项满分2分，得2分，得分率100.00%。</w:t>
      </w:r>
    </w:p>
    <w:p>
      <w:pPr>
        <w:spacing w:line="560" w:lineRule="exact"/>
        <w:ind w:firstLine="472" w:firstLineChars="200"/>
        <w:outlineLvl w:val="1"/>
        <w:rPr>
          <w:rFonts w:ascii="楷体_GB2312" w:hAnsi="Times New Roman" w:eastAsia="楷体_GB2312" w:cs="Times New Roman"/>
          <w:sz w:val="24"/>
          <w:szCs w:val="24"/>
          <w:highlight w:val="none"/>
        </w:rPr>
      </w:pPr>
      <w:bookmarkStart w:id="38" w:name="_Toc31012"/>
      <w:r>
        <w:rPr>
          <w:rFonts w:hint="eastAsia" w:ascii="楷体_GB2312" w:hAnsi="Times New Roman" w:eastAsia="楷体_GB2312" w:cs="Times New Roman"/>
          <w:sz w:val="24"/>
          <w:szCs w:val="24"/>
          <w:highlight w:val="none"/>
        </w:rPr>
        <w:t>（二）项目过程情况</w:t>
      </w:r>
      <w:bookmarkEnd w:id="38"/>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rPr>
        <w:t>项目决策的评价指标包括资金管理、组织实施二项二级指标，共涉及资金到位率、资金拨付及时性、预算执行率、资金使用合规性、绩效自评内容准确完整性、绩效自评结论真实性、管理制度健全性、制度执行有效性8个三级指标。“项目过程”总分</w:t>
      </w:r>
      <w:r>
        <w:rPr>
          <w:rFonts w:hint="eastAsia" w:ascii="仿宋_GB2312" w:hAnsi="Times New Roman" w:eastAsia="仿宋_GB2312" w:cs="Times New Roman"/>
          <w:sz w:val="24"/>
          <w:szCs w:val="24"/>
          <w:highlight w:val="none"/>
          <w:lang w:val="en-US" w:eastAsia="zh-CN"/>
        </w:rPr>
        <w:t>25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23</w:t>
      </w:r>
      <w:r>
        <w:rPr>
          <w:rFonts w:hint="eastAsia" w:ascii="仿宋_GB2312" w:hAnsi="Times New Roman" w:eastAsia="仿宋_GB2312" w:cs="Times New Roman"/>
          <w:sz w:val="24"/>
          <w:szCs w:val="24"/>
          <w:highlight w:val="none"/>
        </w:rPr>
        <w:t>分，得分率92%。主要问题在于绩效指标设置不明确、不规范，绩效自评内容不完整，填写不规范</w:t>
      </w:r>
      <w:r>
        <w:rPr>
          <w:rFonts w:hint="eastAsia" w:ascii="仿宋_GB2312" w:hAnsi="Times New Roman" w:eastAsia="仿宋_GB2312" w:cs="Times New Roman"/>
          <w:sz w:val="24"/>
          <w:szCs w:val="24"/>
          <w:highlight w:val="none"/>
          <w:lang w:eastAsia="zh-CN"/>
        </w:rPr>
        <w:t>。</w:t>
      </w:r>
    </w:p>
    <w:p>
      <w:pPr>
        <w:spacing w:line="560" w:lineRule="exact"/>
        <w:ind w:firstLine="2124" w:firstLineChars="900"/>
        <w:rPr>
          <w:rFonts w:ascii="仿宋_GB2312" w:hAnsi="Times New Roman" w:eastAsia="仿宋_GB2312" w:cs="Times New Roman"/>
          <w:b/>
          <w:bCs/>
          <w:sz w:val="24"/>
          <w:szCs w:val="24"/>
          <w:highlight w:val="none"/>
        </w:rPr>
      </w:pPr>
      <w:r>
        <w:rPr>
          <w:rFonts w:hint="eastAsia" w:ascii="仿宋_GB2312" w:hAnsi="Times New Roman" w:eastAsia="仿宋_GB2312" w:cs="Times New Roman"/>
          <w:b/>
          <w:bCs/>
          <w:sz w:val="24"/>
          <w:szCs w:val="24"/>
          <w:highlight w:val="none"/>
        </w:rPr>
        <w:t>过程类指标评分情况</w:t>
      </w:r>
    </w:p>
    <w:tbl>
      <w:tblPr>
        <w:tblStyle w:val="1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pPr>
              <w:spacing w:line="560" w:lineRule="exact"/>
              <w:ind w:left="155" w:hanging="155" w:hangingChars="99"/>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3195"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308" w:type="dxa"/>
            <w:tcBorders>
              <w:top w:val="double" w:color="auto" w:sz="4" w:space="0"/>
              <w:bottom w:val="single" w:color="auto" w:sz="4" w:space="0"/>
              <w:right w:val="nil"/>
            </w:tcBorders>
          </w:tcPr>
          <w:p>
            <w:pPr>
              <w:spacing w:line="560" w:lineRule="exact"/>
              <w:ind w:firstLine="156" w:firstLineChars="100"/>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1243" w:type="dxa"/>
            <w:tcBorders>
              <w:top w:val="double" w:color="auto" w:sz="4" w:space="0"/>
              <w:bottom w:val="single" w:color="auto" w:sz="4" w:space="0"/>
              <w:right w:val="nil"/>
            </w:tcBorders>
            <w:vAlign w:val="center"/>
          </w:tcPr>
          <w:p>
            <w:pPr>
              <w:spacing w:line="560" w:lineRule="exact"/>
              <w:ind w:firstLine="156" w:firstLineChars="100"/>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418"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资金管理</w:t>
            </w:r>
          </w:p>
        </w:tc>
        <w:tc>
          <w:tcPr>
            <w:tcW w:w="3195" w:type="dxa"/>
            <w:tcBorders>
              <w:top w:val="single" w:color="auto" w:sz="4" w:space="0"/>
            </w:tcBorders>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资金到位率</w:t>
            </w:r>
          </w:p>
        </w:tc>
        <w:tc>
          <w:tcPr>
            <w:tcW w:w="1308" w:type="dxa"/>
            <w:tcBorders>
              <w:top w:val="single" w:color="auto" w:sz="4" w:space="0"/>
              <w:right w:val="nil"/>
            </w:tcBorders>
            <w:vAlign w:val="center"/>
          </w:tcPr>
          <w:p>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243"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418" w:type="dxa"/>
            <w:tcBorders>
              <w:top w:val="single" w:color="auto" w:sz="4" w:space="0"/>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资金拨付及时性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预算执行率</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2</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资金使用合规性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4</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绩效自评内容准确完整性</w:t>
            </w:r>
          </w:p>
        </w:tc>
        <w:tc>
          <w:tcPr>
            <w:tcW w:w="1308"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4</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3</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75</w:t>
            </w:r>
            <w:r>
              <w:rPr>
                <w:rFonts w:ascii="Times New Roman" w:hAnsi="Times New Roman" w:eastAsia="宋体" w:cs="Times New Roman"/>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绩效自评结论真实性</w:t>
            </w:r>
          </w:p>
        </w:tc>
        <w:tc>
          <w:tcPr>
            <w:tcW w:w="1308"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4</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3</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75</w:t>
            </w:r>
            <w:r>
              <w:rPr>
                <w:rFonts w:ascii="Times New Roman" w:hAnsi="Times New Roman" w:eastAsia="宋体" w:cs="Times New Roman"/>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组织实施</w:t>
            </w: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管理制度健全性</w:t>
            </w:r>
          </w:p>
        </w:tc>
        <w:tc>
          <w:tcPr>
            <w:tcW w:w="1308"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highlight w:val="none"/>
                <w:lang w:eastAsia="zh-CN"/>
              </w:rPr>
            </w:pPr>
            <w:r>
              <w:rPr>
                <w:rFonts w:hint="eastAsia" w:ascii="Times New Roman" w:hAnsi="Times New Roman" w:eastAsia="宋体" w:cs="Times New Roman"/>
                <w:sz w:val="16"/>
                <w:szCs w:val="16"/>
                <w:highlight w:val="none"/>
                <w:lang w:val="en-US" w:eastAsia="zh-CN"/>
              </w:rPr>
              <w:t>3</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p>
        </w:tc>
        <w:tc>
          <w:tcPr>
            <w:tcW w:w="3195" w:type="dxa"/>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制度执行有效性</w:t>
            </w:r>
          </w:p>
        </w:tc>
        <w:tc>
          <w:tcPr>
            <w:tcW w:w="1308" w:type="dxa"/>
            <w:tcBorders>
              <w:right w:val="nil"/>
            </w:tcBorders>
            <w:vAlign w:val="center"/>
          </w:tcPr>
          <w:p>
            <w:pPr>
              <w:spacing w:line="560" w:lineRule="exact"/>
              <w:ind w:firstLine="312" w:firstLineChars="200"/>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4</w:t>
            </w:r>
          </w:p>
        </w:tc>
        <w:tc>
          <w:tcPr>
            <w:tcW w:w="124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308" w:type="dxa"/>
            <w:tcBorders>
              <w:bottom w:val="double" w:color="auto" w:sz="4" w:space="0"/>
              <w:right w:val="nil"/>
            </w:tcBorders>
            <w:vAlign w:val="center"/>
          </w:tcPr>
          <w:p>
            <w:pPr>
              <w:spacing w:line="560" w:lineRule="exact"/>
              <w:ind w:firstLine="312" w:firstLineChars="200"/>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25</w:t>
            </w:r>
          </w:p>
        </w:tc>
        <w:tc>
          <w:tcPr>
            <w:tcW w:w="1243" w:type="dxa"/>
            <w:tcBorders>
              <w:bottom w:val="double" w:color="auto" w:sz="4" w:space="0"/>
              <w:right w:val="nil"/>
            </w:tcBorders>
            <w:vAlign w:val="center"/>
          </w:tcPr>
          <w:p>
            <w:pPr>
              <w:keepNext w:val="0"/>
              <w:keepLines w:val="0"/>
              <w:widowControl/>
              <w:suppressLineNumbers w:val="0"/>
              <w:jc w:val="center"/>
              <w:textAlignment w:val="center"/>
              <w:rPr>
                <w:rFonts w:hint="default" w:ascii="宋体" w:hAnsi="宋体" w:eastAsia="宋体" w:cs="宋体"/>
                <w:b/>
                <w:bCs/>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23</w:t>
            </w:r>
          </w:p>
        </w:tc>
        <w:tc>
          <w:tcPr>
            <w:tcW w:w="1418" w:type="dxa"/>
            <w:tcBorders>
              <w:bottom w:val="double" w:color="auto" w:sz="4" w:space="0"/>
              <w:right w:val="nil"/>
            </w:tcBorders>
            <w:vAlign w:val="center"/>
          </w:tcPr>
          <w:p>
            <w:pPr>
              <w:spacing w:line="560" w:lineRule="exact"/>
              <w:ind w:firstLine="468" w:firstLineChars="300"/>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92</w:t>
            </w:r>
            <w:r>
              <w:rPr>
                <w:rFonts w:ascii="Times New Roman" w:hAnsi="Times New Roman" w:eastAsia="宋体" w:cs="Times New Roman"/>
                <w:b/>
                <w:bCs/>
                <w:sz w:val="16"/>
                <w:szCs w:val="16"/>
                <w:highlight w:val="none"/>
              </w:rPr>
              <w:t>%</w:t>
            </w:r>
          </w:p>
        </w:tc>
      </w:tr>
    </w:tbl>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1.资金到位率</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指标解释：实际到位资金与预算资金的比例，用以反映和考核资金落实情况对项目实施的总体保障程度。</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评分情况：怀远县财政局</w:t>
      </w:r>
      <w:r>
        <w:rPr>
          <w:rFonts w:hint="eastAsia" w:ascii="仿宋_GB2312" w:hAnsi="Times New Roman" w:eastAsia="仿宋_GB2312" w:cs="Times New Roman"/>
          <w:sz w:val="24"/>
          <w:szCs w:val="24"/>
          <w:highlight w:val="none"/>
          <w:lang w:val="en-US" w:eastAsia="zh-CN"/>
        </w:rPr>
        <w:t>通过县长预备费下达</w:t>
      </w:r>
      <w:r>
        <w:rPr>
          <w:rFonts w:hint="eastAsia" w:ascii="仿宋_GB2312" w:hAnsi="Times New Roman" w:eastAsia="仿宋_GB2312" w:cs="Times New Roman"/>
          <w:sz w:val="24"/>
          <w:szCs w:val="24"/>
          <w:highlight w:val="none"/>
        </w:rPr>
        <w:t>县</w:t>
      </w:r>
      <w:r>
        <w:rPr>
          <w:rFonts w:hint="eastAsia" w:ascii="仿宋_GB2312" w:hAnsi="Times New Roman" w:eastAsia="仿宋_GB2312" w:cs="Times New Roman"/>
          <w:sz w:val="24"/>
          <w:szCs w:val="24"/>
          <w:highlight w:val="none"/>
          <w:lang w:val="en-US" w:eastAsia="zh-CN"/>
        </w:rPr>
        <w:t>农业农村局</w:t>
      </w:r>
      <w:r>
        <w:rPr>
          <w:rFonts w:hint="eastAsia" w:ascii="仿宋_GB2312" w:hAnsi="Times New Roman" w:eastAsia="仿宋_GB2312" w:cs="Times New Roman"/>
          <w:sz w:val="24"/>
          <w:szCs w:val="24"/>
          <w:highlight w:val="none"/>
          <w:lang w:eastAsia="zh-CN"/>
        </w:rPr>
        <w:t>2022</w:t>
      </w:r>
      <w:r>
        <w:rPr>
          <w:rFonts w:hint="eastAsia" w:ascii="仿宋_GB2312" w:hAnsi="Times New Roman" w:eastAsia="仿宋_GB2312" w:cs="Times New Roman"/>
          <w:sz w:val="24"/>
          <w:szCs w:val="24"/>
          <w:highlight w:val="none"/>
        </w:rPr>
        <w:t>年度</w:t>
      </w:r>
      <w:r>
        <w:rPr>
          <w:rFonts w:hint="eastAsia" w:ascii="仿宋_GB2312" w:hAnsi="Times New Roman" w:eastAsia="仿宋_GB2312" w:cs="Times New Roman"/>
          <w:sz w:val="24"/>
          <w:szCs w:val="24"/>
          <w:highlight w:val="none"/>
          <w:lang w:eastAsia="zh-CN"/>
        </w:rPr>
        <w:t>抗旱</w:t>
      </w:r>
      <w:r>
        <w:rPr>
          <w:rFonts w:hint="eastAsia" w:ascii="仿宋_GB2312" w:hAnsi="Times New Roman" w:eastAsia="仿宋_GB2312" w:cs="Times New Roman"/>
          <w:sz w:val="24"/>
          <w:szCs w:val="24"/>
          <w:highlight w:val="none"/>
        </w:rPr>
        <w:t>经费</w:t>
      </w:r>
      <w:r>
        <w:rPr>
          <w:rFonts w:hint="eastAsia" w:ascii="仿宋_GB2312" w:hAnsi="Times New Roman" w:eastAsia="仿宋_GB2312" w:cs="Times New Roman"/>
          <w:sz w:val="24"/>
          <w:szCs w:val="24"/>
          <w:highlight w:val="none"/>
          <w:lang w:val="en-US" w:eastAsia="zh-CN"/>
        </w:rPr>
        <w:t>资金348</w:t>
      </w:r>
      <w:r>
        <w:rPr>
          <w:rFonts w:hint="eastAsia" w:ascii="仿宋_GB2312" w:hAnsi="Times New Roman" w:eastAsia="仿宋_GB2312" w:cs="Times New Roman"/>
          <w:sz w:val="24"/>
          <w:szCs w:val="24"/>
          <w:highlight w:val="none"/>
        </w:rPr>
        <w:t>万元，资金到位率为 100%。根据评价标准，该项满分2分，得2分，得分率100.00%。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2.资金拨付及时性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指标解释：项目资金是否按照依法依规及时拨付，用以反映和考核项目资金拨付时效情况。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 xml:space="preserve">评分情况：怀远县财政局于 </w:t>
      </w:r>
      <w:r>
        <w:rPr>
          <w:rFonts w:hint="eastAsia" w:ascii="仿宋_GB2312" w:hAnsi="Times New Roman" w:eastAsia="仿宋_GB2312" w:cs="Times New Roman"/>
          <w:sz w:val="24"/>
          <w:szCs w:val="24"/>
          <w:highlight w:val="none"/>
          <w:lang w:eastAsia="zh-CN"/>
        </w:rPr>
        <w:t>202</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 xml:space="preserve"> 年</w:t>
      </w:r>
      <w:r>
        <w:rPr>
          <w:rFonts w:hint="eastAsia" w:ascii="仿宋_GB2312" w:hAnsi="Times New Roman" w:eastAsia="仿宋_GB2312" w:cs="Times New Roman"/>
          <w:sz w:val="24"/>
          <w:szCs w:val="24"/>
          <w:highlight w:val="none"/>
          <w:lang w:val="en-US" w:eastAsia="zh-CN"/>
        </w:rPr>
        <w:t>3月份</w:t>
      </w:r>
      <w:r>
        <w:rPr>
          <w:rFonts w:hint="eastAsia" w:ascii="仿宋_GB2312" w:hAnsi="Times New Roman" w:eastAsia="仿宋_GB2312" w:cs="Times New Roman"/>
          <w:sz w:val="24"/>
          <w:szCs w:val="24"/>
          <w:highlight w:val="none"/>
        </w:rPr>
        <w:t>下达</w:t>
      </w:r>
      <w:r>
        <w:rPr>
          <w:rFonts w:hint="eastAsia" w:ascii="仿宋_GB2312" w:hAnsi="Times New Roman" w:eastAsia="仿宋_GB2312" w:cs="Times New Roman"/>
          <w:sz w:val="24"/>
          <w:szCs w:val="24"/>
          <w:highlight w:val="none"/>
          <w:lang w:val="en-US" w:eastAsia="zh-CN"/>
        </w:rPr>
        <w:t>预备费</w:t>
      </w:r>
      <w:r>
        <w:rPr>
          <w:rFonts w:hint="eastAsia" w:ascii="仿宋_GB2312" w:hAnsi="Times New Roman" w:eastAsia="仿宋_GB2312" w:cs="Times New Roman"/>
          <w:sz w:val="24"/>
          <w:szCs w:val="24"/>
          <w:highlight w:val="none"/>
        </w:rPr>
        <w:t>指标</w:t>
      </w:r>
      <w:r>
        <w:rPr>
          <w:rFonts w:hint="eastAsia" w:ascii="仿宋_GB2312" w:hAnsi="Times New Roman" w:eastAsia="仿宋_GB2312" w:cs="Times New Roman"/>
          <w:sz w:val="24"/>
          <w:szCs w:val="24"/>
          <w:highlight w:val="none"/>
          <w:lang w:val="en-US" w:eastAsia="zh-CN"/>
        </w:rPr>
        <w:t>348</w:t>
      </w:r>
      <w:r>
        <w:rPr>
          <w:rFonts w:hint="eastAsia" w:ascii="仿宋_GB2312" w:hAnsi="Times New Roman" w:eastAsia="仿宋_GB2312" w:cs="Times New Roman"/>
          <w:sz w:val="24"/>
          <w:szCs w:val="24"/>
          <w:highlight w:val="none"/>
        </w:rPr>
        <w:t>万元，</w:t>
      </w:r>
      <w:r>
        <w:rPr>
          <w:rFonts w:hint="eastAsia" w:ascii="仿宋_GB2312" w:hAnsi="Times New Roman" w:eastAsia="仿宋_GB2312" w:cs="Times New Roman"/>
          <w:sz w:val="24"/>
          <w:szCs w:val="24"/>
          <w:highlight w:val="none"/>
          <w:lang w:val="en-US" w:eastAsia="zh-CN"/>
        </w:rPr>
        <w:t>县农业农村局</w:t>
      </w:r>
      <w:r>
        <w:rPr>
          <w:rFonts w:hint="eastAsia" w:ascii="仿宋_GB2312" w:hAnsi="Times New Roman" w:eastAsia="仿宋_GB2312" w:cs="Times New Roman"/>
          <w:sz w:val="24"/>
          <w:szCs w:val="24"/>
          <w:highlight w:val="none"/>
        </w:rPr>
        <w:t>及时拨付</w:t>
      </w:r>
      <w:r>
        <w:rPr>
          <w:rFonts w:hint="eastAsia" w:ascii="仿宋_GB2312" w:hAnsi="Times New Roman" w:eastAsia="仿宋_GB2312" w:cs="Times New Roman"/>
          <w:sz w:val="24"/>
          <w:szCs w:val="24"/>
          <w:highlight w:val="none"/>
          <w:lang w:val="en-US" w:eastAsia="zh-CN"/>
        </w:rPr>
        <w:t>至乡镇人民政府及县气象局</w:t>
      </w:r>
      <w:r>
        <w:rPr>
          <w:rFonts w:hint="eastAsia" w:ascii="仿宋_GB2312" w:hAnsi="Times New Roman" w:eastAsia="仿宋_GB2312" w:cs="Times New Roman"/>
          <w:sz w:val="24"/>
          <w:szCs w:val="24"/>
          <w:highlight w:val="none"/>
        </w:rPr>
        <w:t>，无滞后现象，根据评价标准，该项满分2分，得2分，得分率100.00%。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3.预算执行率</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指标解释：项目预算资金是否按照计划执行，用以反映或考核项目预算执行情况。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 县</w:t>
      </w:r>
      <w:r>
        <w:rPr>
          <w:rFonts w:hint="eastAsia" w:ascii="仿宋_GB2312" w:hAnsi="Times New Roman" w:eastAsia="仿宋_GB2312" w:cs="Times New Roman"/>
          <w:sz w:val="24"/>
          <w:szCs w:val="24"/>
          <w:highlight w:val="none"/>
          <w:lang w:val="en-US" w:eastAsia="zh-CN"/>
        </w:rPr>
        <w:t>农业农村局</w:t>
      </w:r>
      <w:r>
        <w:rPr>
          <w:rFonts w:hint="eastAsia" w:ascii="仿宋_GB2312" w:hAnsi="Times New Roman" w:eastAsia="仿宋_GB2312" w:cs="Times New Roman"/>
          <w:sz w:val="24"/>
          <w:szCs w:val="24"/>
          <w:highlight w:val="none"/>
          <w:lang w:eastAsia="zh-CN"/>
        </w:rPr>
        <w:t>2022</w:t>
      </w:r>
      <w:r>
        <w:rPr>
          <w:rFonts w:hint="eastAsia" w:ascii="仿宋_GB2312" w:hAnsi="Times New Roman" w:eastAsia="仿宋_GB2312" w:cs="Times New Roman"/>
          <w:sz w:val="24"/>
          <w:szCs w:val="24"/>
          <w:highlight w:val="none"/>
        </w:rPr>
        <w:t>年度</w:t>
      </w:r>
      <w:r>
        <w:rPr>
          <w:rFonts w:hint="eastAsia" w:ascii="仿宋_GB2312" w:hAnsi="Times New Roman" w:eastAsia="仿宋_GB2312" w:cs="Times New Roman"/>
          <w:sz w:val="24"/>
          <w:szCs w:val="24"/>
          <w:highlight w:val="none"/>
          <w:lang w:eastAsia="zh-CN"/>
        </w:rPr>
        <w:t>抗旱</w:t>
      </w:r>
      <w:r>
        <w:rPr>
          <w:rFonts w:hint="eastAsia" w:ascii="仿宋_GB2312" w:hAnsi="Times New Roman" w:eastAsia="仿宋_GB2312" w:cs="Times New Roman"/>
          <w:sz w:val="24"/>
          <w:szCs w:val="24"/>
          <w:highlight w:val="none"/>
        </w:rPr>
        <w:t>经费预算金额</w:t>
      </w:r>
      <w:r>
        <w:rPr>
          <w:rFonts w:hint="eastAsia" w:ascii="仿宋_GB2312" w:hAnsi="Times New Roman" w:eastAsia="仿宋_GB2312" w:cs="Times New Roman"/>
          <w:sz w:val="24"/>
          <w:szCs w:val="24"/>
          <w:highlight w:val="none"/>
          <w:lang w:val="en-US" w:eastAsia="zh-CN"/>
        </w:rPr>
        <w:t>348</w:t>
      </w:r>
      <w:r>
        <w:rPr>
          <w:rFonts w:hint="eastAsia" w:ascii="仿宋_GB2312" w:hAnsi="Times New Roman" w:eastAsia="仿宋_GB2312" w:cs="Times New Roman"/>
          <w:sz w:val="24"/>
          <w:szCs w:val="24"/>
          <w:highlight w:val="none"/>
        </w:rPr>
        <w:t>万元，预算执行率100.00%。根据评价标准，该项满分2分，得2分，得分率100.00%。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4.资金使用合规性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指标解释：项目资金使用是否符合相关的财务管理制度规定，用以反映和考核项目资金的规范运行情况。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2022年</w:t>
      </w:r>
      <w:r>
        <w:rPr>
          <w:rFonts w:hint="eastAsia" w:ascii="仿宋_GB2312" w:hAnsi="Times New Roman" w:eastAsia="仿宋_GB2312" w:cs="Times New Roman"/>
          <w:sz w:val="24"/>
          <w:szCs w:val="24"/>
          <w:highlight w:val="none"/>
          <w:lang w:eastAsia="zh-CN"/>
        </w:rPr>
        <w:t>抗旱</w:t>
      </w:r>
      <w:r>
        <w:rPr>
          <w:rFonts w:hint="eastAsia" w:ascii="仿宋_GB2312" w:hAnsi="Times New Roman" w:eastAsia="仿宋_GB2312" w:cs="Times New Roman"/>
          <w:sz w:val="24"/>
          <w:szCs w:val="24"/>
          <w:highlight w:val="none"/>
        </w:rPr>
        <w:t>经费资金使用符合相关财务制度的规定，审批程序和手续完整，能够做到专款专用，未发现截留、挤占、挪用、虚列开支等情况。该项指标满分4分，得4分，得分率100%。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5.绩效自评内容准确完整性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指标解释：是否对设定的绩效目标指标值均进行了绩效自评，相关数据填写是否规范。</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评分情况：县</w:t>
      </w:r>
      <w:r>
        <w:rPr>
          <w:rFonts w:hint="eastAsia" w:ascii="仿宋_GB2312" w:hAnsi="Times New Roman" w:eastAsia="仿宋_GB2312" w:cs="Times New Roman"/>
          <w:sz w:val="24"/>
          <w:szCs w:val="24"/>
          <w:highlight w:val="none"/>
          <w:lang w:val="en-US" w:eastAsia="zh-CN"/>
        </w:rPr>
        <w:t>农业农村局</w:t>
      </w:r>
      <w:r>
        <w:rPr>
          <w:rFonts w:hint="eastAsia" w:ascii="仿宋_GB2312" w:hAnsi="Times New Roman" w:eastAsia="仿宋_GB2312" w:cs="Times New Roman"/>
          <w:sz w:val="24"/>
          <w:szCs w:val="24"/>
          <w:highlight w:val="none"/>
        </w:rPr>
        <w:t>根据设定的绩效目标进行了绩效自评，但由于指标设定细化、量化程度不高，实际完成值数据填写不规范，笼统地写为“</w:t>
      </w:r>
      <w:r>
        <w:rPr>
          <w:rFonts w:hint="eastAsia" w:ascii="仿宋_GB2312" w:hAnsi="Times New Roman" w:eastAsia="仿宋_GB2312" w:cs="Times New Roman"/>
          <w:sz w:val="24"/>
          <w:szCs w:val="24"/>
          <w:highlight w:val="none"/>
          <w:lang w:val="en-US" w:eastAsia="zh-CN"/>
        </w:rPr>
        <w:t>较明显</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75</w:t>
      </w:r>
      <w:r>
        <w:rPr>
          <w:rFonts w:hint="eastAsia" w:ascii="仿宋_GB2312" w:hAnsi="Times New Roman" w:eastAsia="仿宋_GB2312" w:cs="Times New Roman"/>
          <w:sz w:val="24"/>
          <w:szCs w:val="24"/>
          <w:highlight w:val="none"/>
        </w:rPr>
        <w:t>.00%。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6.绩效自评结论真实性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指标解释：绩效自评结论是否与实际数据一致。</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评分情况：项目资金投入自评结论与实际数据一致，</w:t>
      </w:r>
      <w:r>
        <w:rPr>
          <w:rFonts w:hint="eastAsia" w:ascii="仿宋_GB2312" w:hAnsi="Times New Roman" w:eastAsia="仿宋_GB2312" w:cs="Times New Roman"/>
          <w:sz w:val="24"/>
          <w:szCs w:val="24"/>
          <w:highlight w:val="none"/>
          <w:lang w:val="en-US" w:eastAsia="zh-CN"/>
        </w:rPr>
        <w:t>经济效益自评没有做到量化、细化，没有分析</w:t>
      </w:r>
      <w:r>
        <w:rPr>
          <w:rFonts w:hint="eastAsia" w:ascii="仿宋_GB2312" w:hAnsi="Times New Roman" w:eastAsia="仿宋_GB2312" w:cs="Times New Roman"/>
          <w:sz w:val="24"/>
          <w:szCs w:val="24"/>
          <w:highlight w:val="none"/>
        </w:rPr>
        <w:t>，自评结论未能真实准确反映项目实际完成情况。该项指标满分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75</w:t>
      </w:r>
      <w:r>
        <w:rPr>
          <w:rFonts w:hint="eastAsia" w:ascii="仿宋_GB2312" w:hAnsi="Times New Roman" w:eastAsia="仿宋_GB2312" w:cs="Times New Roman"/>
          <w:sz w:val="24"/>
          <w:szCs w:val="24"/>
          <w:highlight w:val="none"/>
        </w:rPr>
        <w:t>.00%。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7.管理制度健全性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指标解释：项目实施单位的财务和业务管理制度是否健全，用以反映和考核财务和业务管理制度对项目顺利实施的保障情况。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县农业农村局财务</w:t>
      </w:r>
      <w:r>
        <w:rPr>
          <w:rFonts w:hint="eastAsia" w:ascii="仿宋_GB2312" w:hAnsi="Times New Roman" w:eastAsia="仿宋_GB2312" w:cs="Times New Roman"/>
          <w:sz w:val="24"/>
          <w:szCs w:val="24"/>
          <w:highlight w:val="none"/>
        </w:rPr>
        <w:t>管理制度健全，有完善的内控制度、</w:t>
      </w:r>
      <w:r>
        <w:rPr>
          <w:rFonts w:hint="eastAsia" w:ascii="仿宋_GB2312" w:hAnsi="Times New Roman" w:eastAsia="仿宋_GB2312" w:cs="Times New Roman"/>
          <w:sz w:val="24"/>
          <w:szCs w:val="24"/>
          <w:highlight w:val="none"/>
          <w:lang w:val="en-US" w:eastAsia="zh-CN"/>
        </w:rPr>
        <w:t>专项资金管理审核监督流程</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3</w:t>
      </w:r>
      <w:r>
        <w:rPr>
          <w:rFonts w:hint="eastAsia" w:ascii="仿宋_GB2312" w:hAnsi="Times New Roman" w:eastAsia="仿宋_GB2312" w:cs="Times New Roman"/>
          <w:sz w:val="24"/>
          <w:szCs w:val="24"/>
          <w:highlight w:val="none"/>
        </w:rPr>
        <w:t>分，得分率100.00%。</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8.制度执行有效性</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指标解释：项目实施是否符合相关管理规定，用以反映和考核相关管理制度的有效执行情况。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项目</w:t>
      </w:r>
      <w:r>
        <w:rPr>
          <w:rFonts w:hint="eastAsia" w:ascii="仿宋_GB2312" w:hAnsi="Times New Roman" w:eastAsia="仿宋_GB2312" w:cs="Times New Roman"/>
          <w:sz w:val="24"/>
          <w:szCs w:val="24"/>
          <w:highlight w:val="none"/>
        </w:rPr>
        <w:t>资金使用严格执行相关审批制度和财务制度，业务管理制度也得到有效执行。该项指标满分4分，得4分，得分率100.00%。</w:t>
      </w:r>
    </w:p>
    <w:p>
      <w:pPr>
        <w:spacing w:line="560" w:lineRule="exact"/>
        <w:ind w:firstLine="472" w:firstLineChars="200"/>
        <w:outlineLvl w:val="1"/>
        <w:rPr>
          <w:rFonts w:ascii="楷体_GB2312" w:hAnsi="Times New Roman" w:eastAsia="楷体_GB2312" w:cs="Times New Roman"/>
          <w:sz w:val="24"/>
          <w:szCs w:val="24"/>
          <w:highlight w:val="none"/>
        </w:rPr>
      </w:pPr>
      <w:bookmarkStart w:id="39" w:name="_Toc14450"/>
      <w:r>
        <w:rPr>
          <w:rFonts w:hint="eastAsia" w:ascii="楷体_GB2312" w:hAnsi="Times New Roman" w:eastAsia="楷体_GB2312" w:cs="Times New Roman"/>
          <w:sz w:val="24"/>
          <w:szCs w:val="24"/>
          <w:highlight w:val="none"/>
        </w:rPr>
        <w:t>（三）项目产出情况</w:t>
      </w:r>
      <w:bookmarkEnd w:id="39"/>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项目产出的评价指标包括产出数量、产出质量、产出时效、产出成本四项二级指标，共涉及开展抗旱乡镇个数18个、支持抗旱县直部门个数1个、平均增水量、补贴补助资金支出合规性、补贴补助资金兑现流程合规性、1月份旱情缓解</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人工影响天气增雨作业成本、各乡镇用于补助抗旱油费、电费、水费支出成本</w:t>
      </w:r>
      <w:r>
        <w:rPr>
          <w:rFonts w:hint="eastAsia" w:ascii="仿宋_GB2312" w:hAnsi="Times New Roman" w:eastAsia="仿宋_GB2312" w:cs="Times New Roman"/>
          <w:sz w:val="24"/>
          <w:szCs w:val="24"/>
          <w:highlight w:val="none"/>
          <w:lang w:val="en-US" w:eastAsia="zh-CN"/>
        </w:rPr>
        <w:t>8</w:t>
      </w:r>
      <w:r>
        <w:rPr>
          <w:rFonts w:hint="eastAsia" w:ascii="仿宋_GB2312" w:hAnsi="Times New Roman" w:eastAsia="仿宋_GB2312" w:cs="Times New Roman"/>
          <w:sz w:val="24"/>
          <w:szCs w:val="24"/>
          <w:highlight w:val="none"/>
        </w:rPr>
        <w:t>个三级指标。“项目产出”总分2</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25</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pPr>
        <w:pStyle w:val="2"/>
        <w:rPr>
          <w:rFonts w:hint="eastAsia"/>
          <w:highlight w:val="none"/>
        </w:rPr>
      </w:pPr>
    </w:p>
    <w:p>
      <w:pPr>
        <w:spacing w:line="560" w:lineRule="exact"/>
        <w:ind w:firstLine="2124" w:firstLineChars="900"/>
        <w:rPr>
          <w:rFonts w:ascii="仿宋_GB2312" w:hAnsi="Times New Roman" w:eastAsia="仿宋_GB2312" w:cs="Times New Roman"/>
          <w:color w:val="FF0000"/>
          <w:sz w:val="24"/>
          <w:szCs w:val="24"/>
          <w:highlight w:val="none"/>
        </w:rPr>
      </w:pPr>
      <w:r>
        <w:rPr>
          <w:rFonts w:hint="eastAsia" w:ascii="仿宋_GB2312" w:hAnsi="Times New Roman" w:eastAsia="仿宋_GB2312" w:cs="Times New Roman"/>
          <w:b/>
          <w:bCs/>
          <w:sz w:val="24"/>
          <w:szCs w:val="24"/>
          <w:highlight w:val="none"/>
        </w:rPr>
        <w:t>过程类指标评分情况</w:t>
      </w:r>
    </w:p>
    <w:tbl>
      <w:tblPr>
        <w:tblStyle w:val="1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3402"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134"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1275"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560"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产出数量</w:t>
            </w:r>
          </w:p>
        </w:tc>
        <w:tc>
          <w:tcPr>
            <w:tcW w:w="3402" w:type="dxa"/>
            <w:tcBorders>
              <w:top w:val="single" w:color="auto" w:sz="4" w:space="0"/>
            </w:tcBorders>
            <w:vAlign w:val="center"/>
          </w:tcPr>
          <w:p>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开展抗旱乡镇个数18个</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continue"/>
            <w:tcBorders>
              <w:left w:val="nil"/>
            </w:tcBorders>
            <w:vAlign w:val="center"/>
          </w:tcPr>
          <w:p>
            <w:pPr>
              <w:spacing w:line="560" w:lineRule="exact"/>
              <w:rPr>
                <w:rFonts w:ascii="Times New Roman" w:hAnsi="Times New Roman" w:eastAsia="宋体" w:cs="Times New Roman"/>
                <w:sz w:val="16"/>
                <w:szCs w:val="16"/>
                <w:highlight w:val="none"/>
              </w:rPr>
            </w:pPr>
          </w:p>
        </w:tc>
        <w:tc>
          <w:tcPr>
            <w:tcW w:w="3402" w:type="dxa"/>
            <w:tcBorders>
              <w:top w:val="single" w:color="auto" w:sz="4" w:space="0"/>
            </w:tcBorders>
            <w:vAlign w:val="center"/>
          </w:tcPr>
          <w:p>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支持抗旱县直部门个数1个</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continue"/>
            <w:tcBorders>
              <w:left w:val="nil"/>
            </w:tcBorders>
            <w:vAlign w:val="center"/>
          </w:tcPr>
          <w:p>
            <w:pPr>
              <w:spacing w:line="560" w:lineRule="exact"/>
              <w:rPr>
                <w:rFonts w:ascii="Times New Roman" w:hAnsi="Times New Roman" w:eastAsia="宋体" w:cs="Times New Roman"/>
                <w:sz w:val="16"/>
                <w:szCs w:val="16"/>
                <w:highlight w:val="none"/>
              </w:rPr>
            </w:pPr>
          </w:p>
        </w:tc>
        <w:tc>
          <w:tcPr>
            <w:tcW w:w="3402" w:type="dxa"/>
            <w:tcBorders>
              <w:top w:val="single" w:color="auto" w:sz="4" w:space="0"/>
            </w:tcBorders>
            <w:vAlign w:val="center"/>
          </w:tcPr>
          <w:p>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平均增水量</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产出质量</w:t>
            </w:r>
          </w:p>
        </w:tc>
        <w:tc>
          <w:tcPr>
            <w:tcW w:w="3402" w:type="dxa"/>
            <w:tcBorders>
              <w:top w:val="single" w:color="auto" w:sz="4" w:space="0"/>
            </w:tcBorders>
            <w:vAlign w:val="center"/>
          </w:tcPr>
          <w:p>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补贴补助资金支出合规性</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275"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60" w:type="dxa"/>
            <w:vMerge w:val="continue"/>
            <w:tcBorders>
              <w:left w:val="nil"/>
            </w:tcBorders>
            <w:vAlign w:val="center"/>
          </w:tcPr>
          <w:p>
            <w:pPr>
              <w:spacing w:line="560" w:lineRule="exact"/>
              <w:rPr>
                <w:rFonts w:ascii="Times New Roman" w:hAnsi="Times New Roman" w:eastAsia="宋体" w:cs="Times New Roman"/>
                <w:sz w:val="16"/>
                <w:szCs w:val="16"/>
                <w:highlight w:val="none"/>
              </w:rPr>
            </w:pPr>
          </w:p>
        </w:tc>
        <w:tc>
          <w:tcPr>
            <w:tcW w:w="3402" w:type="dxa"/>
            <w:tcBorders>
              <w:top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highlight w:val="none"/>
                <w:u w:val="none"/>
                <w:lang w:val="en-US" w:eastAsia="zh-CN" w:bidi="ar"/>
              </w:rPr>
            </w:pPr>
          </w:p>
          <w:p>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补贴补助资金兑现流程合规性</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275"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产出时效</w:t>
            </w:r>
          </w:p>
        </w:tc>
        <w:tc>
          <w:tcPr>
            <w:tcW w:w="3402" w:type="dxa"/>
            <w:tcBorders>
              <w:top w:val="single" w:color="auto" w:sz="4" w:space="0"/>
            </w:tcBorders>
            <w:vAlign w:val="center"/>
          </w:tcPr>
          <w:p>
            <w:pPr>
              <w:keepNext w:val="0"/>
              <w:keepLines w:val="0"/>
              <w:widowControl/>
              <w:suppressLineNumbers w:val="0"/>
              <w:jc w:val="left"/>
              <w:textAlignment w:val="center"/>
              <w:rPr>
                <w:rFonts w:hint="eastAsia" w:ascii="Times New Roman" w:hAnsi="Times New Roman" w:eastAsia="宋体" w:cs="Times New Roman"/>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1月份旱情缓解</w:t>
            </w:r>
          </w:p>
        </w:tc>
        <w:tc>
          <w:tcPr>
            <w:tcW w:w="1134"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1275"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restart"/>
            <w:tcBorders>
              <w:left w:val="nil"/>
            </w:tcBorders>
            <w:vAlign w:val="center"/>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产出成本</w:t>
            </w:r>
          </w:p>
        </w:tc>
        <w:tc>
          <w:tcPr>
            <w:tcW w:w="3402" w:type="dxa"/>
            <w:vAlign w:val="center"/>
          </w:tcPr>
          <w:p>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u w:val="none"/>
                <w:lang w:val="en-US" w:eastAsia="zh-CN" w:bidi="ar"/>
              </w:rPr>
              <w:t>人工影响天气增雨作业成本</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275"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4</w:t>
            </w:r>
          </w:p>
        </w:tc>
        <w:tc>
          <w:tcPr>
            <w:tcW w:w="1560" w:type="dxa"/>
            <w:tcBorders>
              <w:right w:val="nil"/>
            </w:tcBorders>
            <w:vAlign w:val="center"/>
          </w:tcPr>
          <w:p>
            <w:pPr>
              <w:spacing w:line="560" w:lineRule="exact"/>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tcBorders>
              <w:left w:val="nil"/>
            </w:tcBorders>
          </w:tcPr>
          <w:p>
            <w:pPr>
              <w:spacing w:line="560" w:lineRule="exact"/>
              <w:rPr>
                <w:rFonts w:ascii="Times New Roman" w:hAnsi="Times New Roman" w:eastAsia="宋体" w:cs="Times New Roman"/>
                <w:sz w:val="16"/>
                <w:szCs w:val="16"/>
                <w:highlight w:val="none"/>
              </w:rPr>
            </w:pPr>
          </w:p>
        </w:tc>
        <w:tc>
          <w:tcPr>
            <w:tcW w:w="3402" w:type="dxa"/>
            <w:vAlign w:val="center"/>
          </w:tcPr>
          <w:p>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u w:val="none"/>
                <w:lang w:val="en-US" w:eastAsia="zh-CN" w:bidi="ar"/>
              </w:rPr>
              <w:t>各乡镇用于补助抗旱油费、电费、水费支出成本</w:t>
            </w:r>
          </w:p>
        </w:tc>
        <w:tc>
          <w:tcPr>
            <w:tcW w:w="1134"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275"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2</w:t>
            </w:r>
          </w:p>
        </w:tc>
        <w:tc>
          <w:tcPr>
            <w:tcW w:w="1560" w:type="dxa"/>
            <w:tcBorders>
              <w:right w:val="nil"/>
            </w:tcBorders>
            <w:vAlign w:val="center"/>
          </w:tcPr>
          <w:p>
            <w:pPr>
              <w:spacing w:line="560" w:lineRule="exact"/>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lang w:val="en-US" w:eastAsia="zh-CN"/>
              </w:rPr>
              <w:t>100</w:t>
            </w:r>
            <w:r>
              <w:rPr>
                <w:rFonts w:ascii="Times New Roman" w:hAnsi="Times New Roman" w:eastAsia="宋体" w:cs="Times New Roman"/>
                <w:sz w:val="16"/>
                <w:szCs w:val="16"/>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134" w:type="dxa"/>
            <w:tcBorders>
              <w:bottom w:val="double" w:color="auto" w:sz="4" w:space="0"/>
              <w:right w:val="nil"/>
            </w:tcBorders>
            <w:vAlign w:val="center"/>
          </w:tcPr>
          <w:p>
            <w:pPr>
              <w:spacing w:line="560" w:lineRule="exact"/>
              <w:ind w:firstLine="225" w:firstLineChars="144"/>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25</w:t>
            </w:r>
          </w:p>
        </w:tc>
        <w:tc>
          <w:tcPr>
            <w:tcW w:w="1275" w:type="dxa"/>
            <w:tcBorders>
              <w:bottom w:val="double" w:color="auto" w:sz="4" w:space="0"/>
              <w:right w:val="nil"/>
            </w:tcBorders>
            <w:vAlign w:val="center"/>
          </w:tcPr>
          <w:p>
            <w:pPr>
              <w:spacing w:line="560" w:lineRule="exact"/>
              <w:ind w:firstLine="156" w:firstLineChars="100"/>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25</w:t>
            </w:r>
          </w:p>
        </w:tc>
        <w:tc>
          <w:tcPr>
            <w:tcW w:w="1560"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100</w:t>
            </w:r>
            <w:r>
              <w:rPr>
                <w:rFonts w:ascii="Times New Roman" w:hAnsi="Times New Roman" w:eastAsia="宋体" w:cs="Times New Roman"/>
                <w:b/>
                <w:bCs/>
                <w:sz w:val="16"/>
                <w:szCs w:val="16"/>
                <w:highlight w:val="none"/>
              </w:rPr>
              <w:t>%</w:t>
            </w:r>
          </w:p>
        </w:tc>
      </w:tr>
    </w:tbl>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w:t>
      </w:r>
      <w:r>
        <w:rPr>
          <w:rFonts w:hint="eastAsia" w:ascii="仿宋_GB2312" w:hAnsi="Times New Roman" w:eastAsia="仿宋_GB2312" w:cs="Times New Roman"/>
          <w:sz w:val="24"/>
          <w:szCs w:val="24"/>
          <w:highlight w:val="none"/>
          <w:lang w:val="en-US" w:eastAsia="zh-CN"/>
        </w:rPr>
        <w:t>开展抗旱乡镇个数18个</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指标解释：项目实施的实际产出数与计划产出数的比率，用以反映和考核项目产出数量目标的实现程度。</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评分情况：经</w:t>
      </w:r>
      <w:r>
        <w:rPr>
          <w:rFonts w:hint="eastAsia" w:ascii="仿宋_GB2312" w:hAnsi="Times New Roman" w:eastAsia="仿宋_GB2312" w:cs="Times New Roman"/>
          <w:sz w:val="24"/>
          <w:szCs w:val="24"/>
          <w:highlight w:val="none"/>
          <w:lang w:val="en-US" w:eastAsia="zh-CN"/>
        </w:rPr>
        <w:t>查阅工作通知及资金拨付凭证</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县农业农村局对各乡镇人民政府下发了《怀远县农业农村局关于做好抗旱保苗相关工作的紧急通知》，组织</w:t>
      </w:r>
      <w:r>
        <w:rPr>
          <w:rFonts w:hint="eastAsia" w:ascii="仿宋_GB2312" w:hAnsi="Times New Roman" w:eastAsia="仿宋_GB2312" w:cs="Times New Roman"/>
          <w:sz w:val="24"/>
          <w:szCs w:val="24"/>
          <w:highlight w:val="none"/>
        </w:rPr>
        <w:t>全县十八个乡镇</w:t>
      </w:r>
      <w:r>
        <w:rPr>
          <w:rFonts w:hint="eastAsia" w:ascii="仿宋_GB2312" w:hAnsi="Times New Roman" w:eastAsia="仿宋_GB2312" w:cs="Times New Roman"/>
          <w:sz w:val="24"/>
          <w:szCs w:val="24"/>
          <w:highlight w:val="none"/>
          <w:lang w:val="en-US" w:eastAsia="zh-CN"/>
        </w:rPr>
        <w:t>开展了抗旱保苗工作并拨付了相关抗旱经费</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分，得分率100.00%。</w:t>
      </w:r>
    </w:p>
    <w:p>
      <w:pPr>
        <w:pStyle w:val="2"/>
        <w:numPr>
          <w:ilvl w:val="0"/>
          <w:numId w:val="0"/>
        </w:numPr>
        <w:ind w:left="471" w:leftChars="0"/>
        <w:rPr>
          <w:rFonts w:hint="eastAsia" w:ascii="宋体" w:hAnsi="宋体" w:eastAsia="宋体" w:cs="宋体"/>
          <w:i w:val="0"/>
          <w:iCs w:val="0"/>
          <w:color w:val="000000"/>
          <w:kern w:val="0"/>
          <w:sz w:val="16"/>
          <w:szCs w:val="16"/>
          <w:highlight w:val="none"/>
          <w:u w:val="none"/>
          <w:lang w:val="en-US" w:eastAsia="zh-CN" w:bidi="ar"/>
        </w:rPr>
      </w:pPr>
      <w:r>
        <w:rPr>
          <w:rFonts w:hint="eastAsia" w:ascii="仿宋_GB2312" w:hAnsi="Times New Roman" w:eastAsia="仿宋_GB2312" w:cs="Times New Roman"/>
          <w:kern w:val="2"/>
          <w:sz w:val="24"/>
          <w:szCs w:val="24"/>
          <w:highlight w:val="none"/>
          <w:lang w:val="en-US" w:eastAsia="zh-CN" w:bidi="ar-SA"/>
        </w:rPr>
        <w:t>2.支持抗旱县直部门个数1个</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指标解释：项目实施的实际产出数与计划产出数的比率，用以反映和考核项目产出数量目标的实现程度。</w:t>
      </w:r>
    </w:p>
    <w:p>
      <w:pPr>
        <w:pStyle w:val="5"/>
        <w:numPr>
          <w:ilvl w:val="0"/>
          <w:numId w:val="0"/>
        </w:numPr>
        <w:ind w:firstLine="472" w:firstLineChars="200"/>
        <w:rPr>
          <w:rFonts w:hint="default"/>
          <w:highlight w:val="none"/>
          <w:lang w:val="en-US" w:eastAsia="zh-CN"/>
        </w:rPr>
      </w:pPr>
      <w:r>
        <w:rPr>
          <w:rFonts w:hint="eastAsia" w:ascii="仿宋_GB2312" w:hAnsi="Times New Roman" w:eastAsia="仿宋_GB2312" w:cs="Times New Roman"/>
          <w:sz w:val="24"/>
          <w:szCs w:val="24"/>
          <w:highlight w:val="none"/>
        </w:rPr>
        <w:t>评分情况：经</w:t>
      </w:r>
      <w:r>
        <w:rPr>
          <w:rFonts w:hint="eastAsia" w:ascii="仿宋_GB2312" w:hAnsi="Times New Roman" w:eastAsia="仿宋_GB2312" w:cs="Times New Roman"/>
          <w:sz w:val="24"/>
          <w:szCs w:val="24"/>
          <w:highlight w:val="none"/>
          <w:lang w:val="en-US" w:eastAsia="zh-CN"/>
        </w:rPr>
        <w:t>查阅资金申请报告及资金拨付凭证</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县气象局开展了抗旱保苗人工降雨工作</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分，得分率100.00%。</w:t>
      </w:r>
    </w:p>
    <w:p>
      <w:pPr>
        <w:numPr>
          <w:ilvl w:val="0"/>
          <w:numId w:val="0"/>
        </w:numPr>
        <w:spacing w:line="560" w:lineRule="exact"/>
        <w:ind w:firstLine="472" w:firstLineChars="200"/>
        <w:rPr>
          <w:rFonts w:hint="eastAsia" w:ascii="仿宋_GB2312" w:hAnsi="Times New Roman" w:eastAsia="仿宋_GB2312" w:cs="Times New Roman"/>
          <w:kern w:val="2"/>
          <w:sz w:val="24"/>
          <w:szCs w:val="24"/>
          <w:highlight w:val="none"/>
          <w:lang w:val="en-US" w:eastAsia="zh-CN" w:bidi="ar-SA"/>
        </w:rPr>
      </w:pPr>
      <w:r>
        <w:rPr>
          <w:rFonts w:hint="eastAsia" w:ascii="仿宋_GB2312" w:hAnsi="Times New Roman" w:eastAsia="仿宋_GB2312" w:cs="Times New Roman"/>
          <w:kern w:val="2"/>
          <w:sz w:val="24"/>
          <w:szCs w:val="24"/>
          <w:highlight w:val="none"/>
          <w:lang w:val="en-US" w:eastAsia="zh-CN" w:bidi="ar-SA"/>
        </w:rPr>
        <w:t>3.平均增水量</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指标解释：项目实施的实际产出数与计划产出数的比率，用以反映和考核项目产出数量目标的实现程度。</w:t>
      </w:r>
    </w:p>
    <w:p>
      <w:pPr>
        <w:pStyle w:val="5"/>
        <w:numPr>
          <w:ilvl w:val="0"/>
          <w:numId w:val="0"/>
        </w:numPr>
        <w:ind w:firstLine="472" w:firstLineChars="200"/>
        <w:rPr>
          <w:rFonts w:hint="default" w:eastAsia="仿宋"/>
          <w:highlight w:val="none"/>
          <w:lang w:val="en-US" w:eastAsia="zh-CN"/>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根据县气象局提供降雨量数据</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当年度开展人工降雨后，平均增水量达到</w:t>
      </w:r>
      <w:r>
        <w:rPr>
          <w:rFonts w:hint="eastAsia" w:ascii="仿宋_GB2312"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lang w:val="en-US" w:eastAsia="zh-CN"/>
        </w:rPr>
        <w:t>毫米</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2</w:t>
      </w:r>
      <w:r>
        <w:rPr>
          <w:rFonts w:hint="eastAsia" w:ascii="仿宋_GB2312" w:hAnsi="Times New Roman" w:eastAsia="仿宋_GB2312" w:cs="Times New Roman"/>
          <w:sz w:val="24"/>
          <w:szCs w:val="24"/>
          <w:highlight w:val="none"/>
        </w:rPr>
        <w:t>分，得分率100.00%。</w:t>
      </w:r>
    </w:p>
    <w:p>
      <w:pPr>
        <w:spacing w:line="560" w:lineRule="exact"/>
        <w:ind w:firstLine="472" w:firstLineChars="200"/>
        <w:rPr>
          <w:rFonts w:hint="eastAsia" w:ascii="仿宋_GB2312" w:hAnsi="Times New Roman" w:eastAsia="仿宋_GB2312" w:cs="Times New Roman"/>
          <w:sz w:val="24"/>
          <w:szCs w:val="24"/>
          <w:highlight w:val="none"/>
          <w:lang w:eastAsia="zh-CN"/>
        </w:rPr>
      </w:pP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w:t>
      </w:r>
      <w:bookmarkStart w:id="40" w:name="_Hlk79870035"/>
      <w:r>
        <w:rPr>
          <w:rFonts w:hint="eastAsia" w:ascii="仿宋_GB2312" w:hAnsi="Times New Roman" w:eastAsia="仿宋_GB2312" w:cs="Times New Roman"/>
          <w:sz w:val="24"/>
          <w:szCs w:val="24"/>
          <w:highlight w:val="none"/>
          <w:lang w:val="en-US" w:eastAsia="zh-CN"/>
        </w:rPr>
        <w:t>补贴补助资金支出合规性</w:t>
      </w:r>
    </w:p>
    <w:bookmarkEnd w:id="40"/>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指标解释：项目实际完成的质量达标产出数与实际产出数的比率，用以反映和考核项目产出质量目标的实现程度。</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经查阅县农业农村局2022年度抗旱经费资金报账材料及拨付凭证，资金支出符合相关规定。</w:t>
      </w:r>
      <w:r>
        <w:rPr>
          <w:rFonts w:hint="eastAsia" w:ascii="仿宋_GB2312" w:hAnsi="Times New Roman" w:eastAsia="仿宋_GB2312" w:cs="Times New Roman"/>
          <w:sz w:val="24"/>
          <w:szCs w:val="24"/>
          <w:highlight w:val="none"/>
        </w:rPr>
        <w:t>满分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pPr>
        <w:numPr>
          <w:ilvl w:val="0"/>
          <w:numId w:val="0"/>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5.补贴补助资金兑现流程合规性</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指标解释：项目实际完成的质量达标产出数与实际产出数的比率，用以反映和考核项目产出质量目标的实现程度。</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经查阅县农业农村局2022年度抗旱经费资金报账材料及拨付凭证，资金兑现流程符合相关规定。</w:t>
      </w:r>
      <w:r>
        <w:rPr>
          <w:rFonts w:hint="eastAsia" w:ascii="仿宋_GB2312" w:hAnsi="Times New Roman" w:eastAsia="仿宋_GB2312" w:cs="Times New Roman"/>
          <w:sz w:val="24"/>
          <w:szCs w:val="24"/>
          <w:highlight w:val="none"/>
        </w:rPr>
        <w:t>满分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100</w:t>
      </w:r>
      <w:r>
        <w:rPr>
          <w:rFonts w:hint="eastAsia" w:ascii="仿宋_GB2312" w:hAnsi="Times New Roman" w:eastAsia="仿宋_GB2312" w:cs="Times New Roman"/>
          <w:sz w:val="24"/>
          <w:szCs w:val="24"/>
          <w:highlight w:val="none"/>
        </w:rPr>
        <w:t>%。</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1月份旱情缓解</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指标解释：项目实际完成时间与计划完成时间的比较，用以反映和考核项目产出时效目标的实现程度。</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根据县农业农村局自评报告及2022年度夏粮产量丰收的实际，说明1月份旱情得到有效缓解</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分，得分率100.00%。</w:t>
      </w:r>
    </w:p>
    <w:p>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val="en-US" w:eastAsia="zh-CN"/>
        </w:rPr>
        <w:t>7.</w:t>
      </w:r>
      <w:r>
        <w:rPr>
          <w:rFonts w:hint="eastAsia" w:ascii="仿宋_GB2312" w:hAnsi="Times New Roman" w:eastAsia="仿宋_GB2312" w:cs="Times New Roman"/>
          <w:sz w:val="24"/>
          <w:szCs w:val="24"/>
          <w:highlight w:val="none"/>
        </w:rPr>
        <w:t>人工影响天气增雨作业成本</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指标解释：完成项目计划工作目标的实际节约成本与计划成本的比</w:t>
      </w:r>
      <w:r>
        <w:rPr>
          <w:rFonts w:hint="eastAsia" w:ascii="仿宋_GB2312" w:hAnsi="Times New Roman" w:eastAsia="仿宋_GB2312" w:cs="Times New Roman"/>
          <w:sz w:val="24"/>
          <w:szCs w:val="24"/>
          <w:highlight w:val="none"/>
          <w:lang w:val="en-US" w:eastAsia="zh-CN"/>
        </w:rPr>
        <w:t>较</w:t>
      </w:r>
      <w:r>
        <w:rPr>
          <w:rFonts w:hint="eastAsia" w:ascii="仿宋_GB2312" w:hAnsi="Times New Roman" w:eastAsia="仿宋_GB2312" w:cs="Times New Roman"/>
          <w:sz w:val="24"/>
          <w:szCs w:val="24"/>
          <w:highlight w:val="none"/>
        </w:rPr>
        <w:t>，用以反映和考核项目的成本节约程度。</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根据县农业农村局资金拨付凭证，拨付至气象局人工增雨作业成本补助金额为18万元</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1</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1</w:t>
      </w:r>
      <w:r>
        <w:rPr>
          <w:rFonts w:hint="eastAsia" w:ascii="仿宋_GB2312" w:hAnsi="Times New Roman" w:eastAsia="仿宋_GB2312" w:cs="Times New Roman"/>
          <w:sz w:val="24"/>
          <w:szCs w:val="24"/>
          <w:highlight w:val="none"/>
        </w:rPr>
        <w:t>分，得分率100.00%。</w:t>
      </w:r>
    </w:p>
    <w:p>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val="en-US" w:eastAsia="zh-CN"/>
        </w:rPr>
        <w:t>8.</w:t>
      </w:r>
      <w:r>
        <w:rPr>
          <w:rFonts w:hint="eastAsia" w:ascii="仿宋_GB2312" w:hAnsi="Times New Roman" w:eastAsia="仿宋_GB2312" w:cs="Times New Roman"/>
          <w:sz w:val="24"/>
          <w:szCs w:val="24"/>
          <w:highlight w:val="none"/>
        </w:rPr>
        <w:t>各乡镇用于补助抗旱油费、电费、水费支出成本</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指标解释：完成项目计划工作目标的实际节约成本与计划成本的比</w:t>
      </w:r>
      <w:r>
        <w:rPr>
          <w:rFonts w:hint="eastAsia" w:ascii="仿宋_GB2312" w:hAnsi="Times New Roman" w:eastAsia="仿宋_GB2312" w:cs="Times New Roman"/>
          <w:sz w:val="24"/>
          <w:szCs w:val="24"/>
          <w:highlight w:val="none"/>
          <w:lang w:val="en-US" w:eastAsia="zh-CN"/>
        </w:rPr>
        <w:t>较</w:t>
      </w:r>
      <w:r>
        <w:rPr>
          <w:rFonts w:hint="eastAsia" w:ascii="仿宋_GB2312" w:hAnsi="Times New Roman" w:eastAsia="仿宋_GB2312" w:cs="Times New Roman"/>
          <w:sz w:val="24"/>
          <w:szCs w:val="24"/>
          <w:highlight w:val="none"/>
        </w:rPr>
        <w:t>，用以反映和考核项目的成本节约程度。</w:t>
      </w:r>
    </w:p>
    <w:p>
      <w:pPr>
        <w:numPr>
          <w:ilvl w:val="0"/>
          <w:numId w:val="0"/>
        </w:num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根据县农业农村局资金拨付凭证，当年度拨付</w:t>
      </w:r>
      <w:r>
        <w:rPr>
          <w:rFonts w:hint="eastAsia" w:ascii="仿宋_GB2312" w:hAnsi="Times New Roman" w:eastAsia="仿宋_GB2312" w:cs="Times New Roman"/>
          <w:sz w:val="24"/>
          <w:szCs w:val="24"/>
          <w:highlight w:val="none"/>
        </w:rPr>
        <w:t>各乡镇用于补助抗旱油费、电费、水费</w:t>
      </w:r>
      <w:r>
        <w:rPr>
          <w:rFonts w:hint="eastAsia" w:ascii="仿宋_GB2312" w:hAnsi="Times New Roman" w:eastAsia="仿宋_GB2312" w:cs="Times New Roman"/>
          <w:sz w:val="24"/>
          <w:szCs w:val="24"/>
          <w:highlight w:val="none"/>
          <w:lang w:val="en-US" w:eastAsia="zh-CN"/>
        </w:rPr>
        <w:t>等抗旱经费金额330万</w:t>
      </w:r>
      <w:r>
        <w:rPr>
          <w:rFonts w:hint="eastAsia" w:ascii="仿宋_GB2312" w:hAnsi="Times New Roman" w:eastAsia="仿宋_GB2312" w:cs="Times New Roman"/>
          <w:sz w:val="24"/>
          <w:szCs w:val="24"/>
          <w:highlight w:val="none"/>
        </w:rPr>
        <w:t>。该项指标满分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分，得分率100.00%。</w:t>
      </w:r>
    </w:p>
    <w:p>
      <w:pPr>
        <w:spacing w:line="560" w:lineRule="exact"/>
        <w:ind w:firstLine="472" w:firstLineChars="200"/>
        <w:outlineLvl w:val="1"/>
        <w:rPr>
          <w:rFonts w:ascii="楷体_GB2312" w:hAnsi="Times New Roman" w:eastAsia="楷体_GB2312" w:cs="Times New Roman"/>
          <w:sz w:val="24"/>
          <w:szCs w:val="24"/>
          <w:highlight w:val="none"/>
        </w:rPr>
      </w:pPr>
      <w:bookmarkStart w:id="41" w:name="_Toc13789"/>
      <w:r>
        <w:rPr>
          <w:rFonts w:hint="eastAsia" w:ascii="楷体_GB2312" w:hAnsi="Times New Roman" w:eastAsia="楷体_GB2312" w:cs="Times New Roman"/>
          <w:sz w:val="24"/>
          <w:szCs w:val="24"/>
          <w:highlight w:val="none"/>
        </w:rPr>
        <w:t>（四）项目效益情况</w:t>
      </w:r>
      <w:bookmarkEnd w:id="41"/>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项目效益的评价指标包括经济效益</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社会效益、生态效益、可持续影响、满意度五项二级指标，共涉及减轻补助补贴对象经济负担；减轻农户抗旱用水压力，稳定粮食生产；改善苗情，促进小麦生长；缓解农业旱情</w:t>
      </w:r>
      <w:r>
        <w:rPr>
          <w:rFonts w:hint="eastAsia" w:ascii="仿宋_GB2312" w:hAnsi="Times New Roman" w:eastAsia="仿宋_GB2312" w:cs="Times New Roman"/>
          <w:sz w:val="24"/>
          <w:szCs w:val="24"/>
          <w:highlight w:val="none"/>
          <w:lang w:eastAsia="zh-CN"/>
        </w:rPr>
        <w:t>、群众满意度</w:t>
      </w:r>
      <w:r>
        <w:rPr>
          <w:rFonts w:hint="eastAsia" w:ascii="仿宋_GB2312" w:hAnsi="Times New Roman" w:eastAsia="仿宋_GB2312" w:cs="Times New Roman"/>
          <w:sz w:val="24"/>
          <w:szCs w:val="24"/>
          <w:highlight w:val="none"/>
        </w:rPr>
        <w:t>。“项目效益”总分</w:t>
      </w:r>
      <w:r>
        <w:rPr>
          <w:rFonts w:hint="eastAsia" w:ascii="仿宋_GB2312" w:hAnsi="Times New Roman" w:eastAsia="仿宋_GB2312" w:cs="Times New Roman"/>
          <w:sz w:val="24"/>
          <w:szCs w:val="24"/>
          <w:highlight w:val="none"/>
          <w:lang w:val="en-US" w:eastAsia="zh-CN"/>
        </w:rPr>
        <w:t>35</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27</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77.14</w:t>
      </w:r>
      <w:r>
        <w:rPr>
          <w:rFonts w:hint="eastAsia" w:ascii="仿宋_GB2312" w:hAnsi="Times New Roman" w:eastAsia="仿宋_GB2312" w:cs="Times New Roman"/>
          <w:sz w:val="24"/>
          <w:szCs w:val="24"/>
          <w:highlight w:val="none"/>
        </w:rPr>
        <w:t>%。</w:t>
      </w:r>
    </w:p>
    <w:p>
      <w:pPr>
        <w:spacing w:line="560" w:lineRule="exact"/>
        <w:ind w:firstLine="2124" w:firstLineChars="900"/>
        <w:rPr>
          <w:rFonts w:ascii="仿宋_GB2312" w:hAnsi="Times New Roman" w:eastAsia="仿宋_GB2312" w:cs="Times New Roman"/>
          <w:b/>
          <w:bCs/>
          <w:sz w:val="24"/>
          <w:szCs w:val="24"/>
          <w:highlight w:val="none"/>
        </w:rPr>
      </w:pPr>
      <w:r>
        <w:rPr>
          <w:rFonts w:hint="eastAsia" w:ascii="仿宋_GB2312" w:hAnsi="Times New Roman" w:eastAsia="仿宋_GB2312" w:cs="Times New Roman"/>
          <w:b/>
          <w:bCs/>
          <w:sz w:val="24"/>
          <w:szCs w:val="24"/>
          <w:highlight w:val="none"/>
        </w:rPr>
        <w:t xml:space="preserve"> 过程类指标评分情况</w:t>
      </w:r>
    </w:p>
    <w:tbl>
      <w:tblPr>
        <w:tblStyle w:val="19"/>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二级指标</w:t>
            </w:r>
          </w:p>
        </w:tc>
        <w:tc>
          <w:tcPr>
            <w:tcW w:w="4239"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三级指标</w:t>
            </w:r>
          </w:p>
        </w:tc>
        <w:tc>
          <w:tcPr>
            <w:tcW w:w="1056"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分值</w:t>
            </w:r>
          </w:p>
        </w:tc>
        <w:tc>
          <w:tcPr>
            <w:tcW w:w="903"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w:t>
            </w:r>
          </w:p>
        </w:tc>
        <w:tc>
          <w:tcPr>
            <w:tcW w:w="1149"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09" w:type="dxa"/>
            <w:tcBorders>
              <w:top w:val="single" w:color="auto" w:sz="4" w:space="0"/>
              <w:left w:val="nil"/>
            </w:tcBorders>
            <w:vAlign w:val="center"/>
          </w:tcPr>
          <w:p>
            <w:pPr>
              <w:spacing w:line="560" w:lineRule="exact"/>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经济</w:t>
            </w:r>
            <w:r>
              <w:rPr>
                <w:rFonts w:ascii="Times New Roman" w:hAnsi="Times New Roman" w:eastAsia="宋体" w:cs="Times New Roman"/>
                <w:sz w:val="16"/>
                <w:szCs w:val="16"/>
                <w:highlight w:val="none"/>
              </w:rPr>
              <w:t>效益</w:t>
            </w:r>
          </w:p>
        </w:tc>
        <w:tc>
          <w:tcPr>
            <w:tcW w:w="4239" w:type="dxa"/>
            <w:tcBorders>
              <w:top w:val="single" w:color="auto" w:sz="4" w:space="0"/>
            </w:tcBorders>
            <w:vAlign w:val="center"/>
          </w:tcPr>
          <w:p>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减轻补助补贴对象经济负担</w:t>
            </w:r>
          </w:p>
        </w:tc>
        <w:tc>
          <w:tcPr>
            <w:tcW w:w="1056" w:type="dxa"/>
            <w:tcBorders>
              <w:top w:val="single" w:color="auto" w:sz="4" w:space="0"/>
              <w:right w:val="nil"/>
            </w:tcBorders>
            <w:vAlign w:val="center"/>
          </w:tcPr>
          <w:p>
            <w:pPr>
              <w:spacing w:line="560" w:lineRule="exact"/>
              <w:ind w:firstLine="32" w:firstLineChars="20"/>
              <w:jc w:val="center"/>
              <w:rPr>
                <w:rFonts w:hint="eastAsia" w:ascii="Times New Roman" w:hAnsi="Times New Roman" w:eastAsia="宋体" w:cs="Times New Roman"/>
                <w:color w:val="auto"/>
                <w:sz w:val="16"/>
                <w:szCs w:val="16"/>
                <w:highlight w:val="none"/>
                <w:lang w:eastAsia="zh-CN"/>
              </w:rPr>
            </w:pPr>
            <w:r>
              <w:rPr>
                <w:rFonts w:hint="eastAsia" w:ascii="Times New Roman" w:hAnsi="Times New Roman" w:eastAsia="宋体" w:cs="Times New Roman"/>
                <w:color w:val="auto"/>
                <w:sz w:val="16"/>
                <w:szCs w:val="16"/>
                <w:highlight w:val="none"/>
                <w:lang w:val="en-US" w:eastAsia="zh-CN"/>
              </w:rPr>
              <w:t>6</w:t>
            </w:r>
          </w:p>
        </w:tc>
        <w:tc>
          <w:tcPr>
            <w:tcW w:w="903" w:type="dxa"/>
            <w:tcBorders>
              <w:top w:val="single" w:color="auto" w:sz="4" w:space="0"/>
              <w:right w:val="nil"/>
            </w:tcBorders>
            <w:vAlign w:val="center"/>
          </w:tcPr>
          <w:p>
            <w:pPr>
              <w:keepNext w:val="0"/>
              <w:keepLines w:val="0"/>
              <w:widowControl/>
              <w:suppressLineNumbers w:val="0"/>
              <w:jc w:val="center"/>
              <w:textAlignment w:val="center"/>
              <w:rPr>
                <w:rFonts w:hint="eastAsia" w:ascii="宋体" w:hAnsi="宋体" w:eastAsia="宋体" w:cs="宋体"/>
                <w:color w:val="auto"/>
                <w:sz w:val="16"/>
                <w:szCs w:val="16"/>
                <w:highlight w:val="none"/>
                <w:lang w:eastAsia="zh-CN"/>
              </w:rPr>
            </w:pPr>
            <w:r>
              <w:rPr>
                <w:rFonts w:hint="eastAsia" w:ascii="宋体" w:hAnsi="宋体" w:eastAsia="宋体" w:cs="宋体"/>
                <w:i w:val="0"/>
                <w:iCs w:val="0"/>
                <w:color w:val="auto"/>
                <w:kern w:val="0"/>
                <w:sz w:val="16"/>
                <w:szCs w:val="16"/>
                <w:highlight w:val="none"/>
                <w:u w:val="none"/>
                <w:lang w:val="en-US" w:eastAsia="zh-CN" w:bidi="ar"/>
              </w:rPr>
              <w:t>4</w:t>
            </w:r>
          </w:p>
        </w:tc>
        <w:tc>
          <w:tcPr>
            <w:tcW w:w="1149" w:type="dxa"/>
            <w:tcBorders>
              <w:top w:val="single" w:color="auto" w:sz="4" w:space="0"/>
              <w:right w:val="nil"/>
            </w:tcBorders>
            <w:vAlign w:val="center"/>
          </w:tcPr>
          <w:p>
            <w:pPr>
              <w:keepNext w:val="0"/>
              <w:keepLines w:val="0"/>
              <w:widowControl/>
              <w:suppressLineNumbers w:val="0"/>
              <w:jc w:val="center"/>
              <w:textAlignment w:val="center"/>
              <w:rPr>
                <w:rFonts w:hint="default" w:ascii="宋体" w:hAnsi="宋体" w:eastAsia="宋体" w:cs="宋体"/>
                <w:color w:val="auto"/>
                <w:sz w:val="16"/>
                <w:szCs w:val="16"/>
                <w:highlight w:val="none"/>
                <w:lang w:val="en-US"/>
              </w:rPr>
            </w:pPr>
            <w:r>
              <w:rPr>
                <w:rFonts w:hint="eastAsia" w:ascii="宋体" w:hAnsi="宋体" w:eastAsia="宋体" w:cs="宋体"/>
                <w:i w:val="0"/>
                <w:iCs w:val="0"/>
                <w:color w:val="auto"/>
                <w:kern w:val="0"/>
                <w:sz w:val="16"/>
                <w:szCs w:val="16"/>
                <w:highlight w:val="none"/>
                <w:u w:val="none"/>
                <w:lang w:val="en-US" w:eastAsia="zh-CN" w:bidi="ar"/>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社会</w:t>
            </w:r>
            <w:r>
              <w:rPr>
                <w:rFonts w:ascii="Times New Roman" w:hAnsi="Times New Roman" w:eastAsia="宋体" w:cs="Times New Roman"/>
                <w:sz w:val="16"/>
                <w:szCs w:val="16"/>
                <w:highlight w:val="none"/>
              </w:rPr>
              <w:t>效益</w:t>
            </w:r>
          </w:p>
        </w:tc>
        <w:tc>
          <w:tcPr>
            <w:tcW w:w="4239" w:type="dxa"/>
            <w:vAlign w:val="center"/>
          </w:tcPr>
          <w:p>
            <w:pPr>
              <w:keepNext w:val="0"/>
              <w:keepLines w:val="0"/>
              <w:widowControl/>
              <w:suppressLineNumbers w:val="0"/>
              <w:jc w:val="both"/>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减轻农户抗旱用水压力，稳定粮食生产</w:t>
            </w:r>
          </w:p>
        </w:tc>
        <w:tc>
          <w:tcPr>
            <w:tcW w:w="1056" w:type="dxa"/>
            <w:tcBorders>
              <w:right w:val="nil"/>
            </w:tcBorders>
            <w:vAlign w:val="center"/>
          </w:tcPr>
          <w:p>
            <w:pPr>
              <w:spacing w:line="560" w:lineRule="exact"/>
              <w:ind w:firstLine="32" w:firstLineChars="20"/>
              <w:jc w:val="center"/>
              <w:rPr>
                <w:rFonts w:hint="default" w:ascii="Times New Roman" w:hAnsi="Times New Roman" w:eastAsia="宋体" w:cs="Times New Roman"/>
                <w:sz w:val="16"/>
                <w:szCs w:val="16"/>
                <w:highlight w:val="none"/>
                <w:lang w:val="en-US" w:eastAsia="zh-CN"/>
              </w:rPr>
            </w:pPr>
            <w:r>
              <w:rPr>
                <w:rFonts w:hint="eastAsia" w:ascii="Times New Roman" w:hAnsi="Times New Roman" w:eastAsia="宋体" w:cs="Times New Roman"/>
                <w:sz w:val="16"/>
                <w:szCs w:val="16"/>
                <w:highlight w:val="none"/>
                <w:lang w:val="en-US" w:eastAsia="zh-CN"/>
              </w:rPr>
              <w:t>9</w:t>
            </w:r>
          </w:p>
        </w:tc>
        <w:tc>
          <w:tcPr>
            <w:tcW w:w="903" w:type="dxa"/>
            <w:tcBorders>
              <w:right w:val="nil"/>
            </w:tcBorders>
            <w:vAlign w:val="center"/>
          </w:tcPr>
          <w:p>
            <w:pPr>
              <w:keepNext w:val="0"/>
              <w:keepLines w:val="0"/>
              <w:widowControl/>
              <w:suppressLineNumbers w:val="0"/>
              <w:jc w:val="center"/>
              <w:textAlignment w:val="center"/>
              <w:rPr>
                <w:rFonts w:hint="default" w:ascii="宋体" w:hAnsi="宋体" w:eastAsia="宋体" w:cs="宋体"/>
                <w:sz w:val="16"/>
                <w:szCs w:val="16"/>
                <w:highlight w:val="none"/>
                <w:lang w:val="en-US" w:eastAsia="zh-CN"/>
              </w:rPr>
            </w:pPr>
            <w:r>
              <w:rPr>
                <w:rFonts w:hint="eastAsia" w:ascii="宋体" w:hAnsi="宋体" w:eastAsia="宋体" w:cs="宋体"/>
                <w:sz w:val="16"/>
                <w:szCs w:val="16"/>
                <w:highlight w:val="none"/>
                <w:lang w:val="en-US" w:eastAsia="zh-CN"/>
              </w:rPr>
              <w:t>6</w:t>
            </w:r>
          </w:p>
        </w:tc>
        <w:tc>
          <w:tcPr>
            <w:tcW w:w="1149" w:type="dxa"/>
            <w:tcBorders>
              <w:right w:val="nil"/>
            </w:tcBorders>
            <w:vAlign w:val="center"/>
          </w:tcPr>
          <w:p>
            <w:pPr>
              <w:keepNext w:val="0"/>
              <w:keepLines w:val="0"/>
              <w:widowControl/>
              <w:suppressLineNumbers w:val="0"/>
              <w:jc w:val="center"/>
              <w:textAlignment w:val="center"/>
              <w:rPr>
                <w:rFonts w:hint="default" w:ascii="宋体" w:hAnsi="宋体" w:eastAsia="宋体" w:cs="宋体"/>
                <w:sz w:val="16"/>
                <w:szCs w:val="16"/>
                <w:highlight w:val="none"/>
                <w:lang w:val="en-US"/>
              </w:rPr>
            </w:pPr>
            <w:r>
              <w:rPr>
                <w:rFonts w:hint="eastAsia" w:ascii="宋体" w:hAnsi="宋体" w:eastAsia="宋体" w:cs="宋体"/>
                <w:i w:val="0"/>
                <w:iCs w:val="0"/>
                <w:color w:val="000000"/>
                <w:kern w:val="0"/>
                <w:sz w:val="16"/>
                <w:szCs w:val="16"/>
                <w:highlight w:val="none"/>
                <w:u w:val="none"/>
                <w:lang w:val="en-US" w:eastAsia="zh-CN" w:bidi="ar"/>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生态效益</w:t>
            </w:r>
          </w:p>
        </w:tc>
        <w:tc>
          <w:tcPr>
            <w:tcW w:w="4239" w:type="dxa"/>
            <w:vAlign w:val="center"/>
          </w:tcPr>
          <w:p>
            <w:pPr>
              <w:keepNext w:val="0"/>
              <w:keepLines w:val="0"/>
              <w:widowControl/>
              <w:suppressLineNumbers w:val="0"/>
              <w:jc w:val="both"/>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改善苗情，促进小麦生长</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8</w:t>
            </w:r>
          </w:p>
        </w:tc>
        <w:tc>
          <w:tcPr>
            <w:tcW w:w="90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lang w:eastAsia="zh-CN"/>
              </w:rPr>
            </w:pPr>
            <w:r>
              <w:rPr>
                <w:rFonts w:hint="eastAsia" w:ascii="宋体" w:hAnsi="宋体" w:eastAsia="宋体" w:cs="宋体"/>
                <w:i w:val="0"/>
                <w:iCs w:val="0"/>
                <w:color w:val="000000"/>
                <w:kern w:val="0"/>
                <w:sz w:val="16"/>
                <w:szCs w:val="16"/>
                <w:highlight w:val="none"/>
                <w:u w:val="none"/>
                <w:lang w:val="en-US" w:eastAsia="zh-CN" w:bidi="ar"/>
              </w:rPr>
              <w:t>6</w:t>
            </w:r>
          </w:p>
        </w:tc>
        <w:tc>
          <w:tcPr>
            <w:tcW w:w="1149"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可持续影响</w:t>
            </w:r>
          </w:p>
        </w:tc>
        <w:tc>
          <w:tcPr>
            <w:tcW w:w="4239" w:type="dxa"/>
            <w:vAlign w:val="center"/>
          </w:tcPr>
          <w:p>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缓解农业旱情</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highlight w:val="none"/>
              </w:rPr>
            </w:pPr>
            <w:r>
              <w:rPr>
                <w:rFonts w:hint="eastAsia" w:ascii="Times New Roman" w:hAnsi="Times New Roman" w:eastAsia="宋体" w:cs="Times New Roman"/>
                <w:sz w:val="16"/>
                <w:szCs w:val="16"/>
                <w:highlight w:val="none"/>
              </w:rPr>
              <w:t>6</w:t>
            </w:r>
          </w:p>
        </w:tc>
        <w:tc>
          <w:tcPr>
            <w:tcW w:w="90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1149"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满意度</w:t>
            </w:r>
          </w:p>
        </w:tc>
        <w:tc>
          <w:tcPr>
            <w:tcW w:w="4239" w:type="dxa"/>
            <w:vAlign w:val="center"/>
          </w:tcPr>
          <w:p>
            <w:pPr>
              <w:keepNext w:val="0"/>
              <w:keepLines w:val="0"/>
              <w:widowControl/>
              <w:suppressLineNumbers w:val="0"/>
              <w:jc w:val="left"/>
              <w:textAlignment w:val="center"/>
              <w:rPr>
                <w:rFonts w:ascii="Times New Roman" w:hAnsi="Times New Roman" w:eastAsia="宋体" w:cs="Times New Roman"/>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群众满意度</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highlight w:val="none"/>
              </w:rPr>
            </w:pPr>
            <w:r>
              <w:rPr>
                <w:rFonts w:ascii="Times New Roman" w:hAnsi="Times New Roman" w:eastAsia="宋体" w:cs="Times New Roman"/>
                <w:sz w:val="16"/>
                <w:szCs w:val="16"/>
                <w:highlight w:val="none"/>
              </w:rPr>
              <w:t>6</w:t>
            </w:r>
          </w:p>
        </w:tc>
        <w:tc>
          <w:tcPr>
            <w:tcW w:w="903"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6</w:t>
            </w:r>
          </w:p>
        </w:tc>
        <w:tc>
          <w:tcPr>
            <w:tcW w:w="1149" w:type="dxa"/>
            <w:tcBorders>
              <w:right w:val="nil"/>
            </w:tcBorders>
            <w:vAlign w:val="center"/>
          </w:tcPr>
          <w:p>
            <w:pPr>
              <w:keepNext w:val="0"/>
              <w:keepLines w:val="0"/>
              <w:widowControl/>
              <w:suppressLineNumbers w:val="0"/>
              <w:jc w:val="center"/>
              <w:textAlignment w:val="center"/>
              <w:rPr>
                <w:rFonts w:hint="eastAsia" w:ascii="宋体" w:hAnsi="宋体" w:eastAsia="宋体" w:cs="宋体"/>
                <w:sz w:val="16"/>
                <w:szCs w:val="16"/>
                <w:highlight w:val="none"/>
              </w:rPr>
            </w:pPr>
            <w:r>
              <w:rPr>
                <w:rFonts w:hint="eastAsia" w:ascii="宋体" w:hAnsi="宋体" w:eastAsia="宋体" w:cs="宋体"/>
                <w:i w:val="0"/>
                <w:iCs w:val="0"/>
                <w:color w:val="000000"/>
                <w:kern w:val="0"/>
                <w:sz w:val="16"/>
                <w:szCs w:val="16"/>
                <w:highlight w:val="none"/>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pPr>
              <w:spacing w:line="560" w:lineRule="exact"/>
              <w:ind w:left="-581" w:leftChars="-184" w:firstLine="312" w:firstLineChars="200"/>
              <w:jc w:val="center"/>
              <w:rPr>
                <w:rFonts w:ascii="Times New Roman" w:hAnsi="Times New Roman" w:eastAsia="宋体" w:cs="Times New Roman"/>
                <w:b/>
                <w:bCs/>
                <w:sz w:val="16"/>
                <w:szCs w:val="16"/>
                <w:highlight w:val="none"/>
              </w:rPr>
            </w:pPr>
            <w:r>
              <w:rPr>
                <w:rFonts w:ascii="Times New Roman" w:hAnsi="Times New Roman" w:eastAsia="宋体" w:cs="Times New Roman"/>
                <w:b/>
                <w:bCs/>
                <w:sz w:val="16"/>
                <w:szCs w:val="16"/>
                <w:highlight w:val="none"/>
              </w:rPr>
              <w:t>合计</w:t>
            </w:r>
          </w:p>
        </w:tc>
        <w:tc>
          <w:tcPr>
            <w:tcW w:w="1056" w:type="dxa"/>
            <w:tcBorders>
              <w:bottom w:val="double" w:color="auto" w:sz="4" w:space="0"/>
              <w:right w:val="nil"/>
            </w:tcBorders>
            <w:vAlign w:val="center"/>
          </w:tcPr>
          <w:p>
            <w:pPr>
              <w:spacing w:line="560" w:lineRule="exact"/>
              <w:ind w:firstLine="156" w:firstLineChars="100"/>
              <w:jc w:val="center"/>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35</w:t>
            </w:r>
          </w:p>
        </w:tc>
        <w:tc>
          <w:tcPr>
            <w:tcW w:w="903" w:type="dxa"/>
            <w:tcBorders>
              <w:bottom w:val="double" w:color="auto" w:sz="4" w:space="0"/>
              <w:right w:val="nil"/>
            </w:tcBorders>
            <w:vAlign w:val="center"/>
          </w:tcPr>
          <w:p>
            <w:pPr>
              <w:spacing w:line="560" w:lineRule="exact"/>
              <w:ind w:firstLine="227" w:firstLineChars="145"/>
              <w:rPr>
                <w:rFonts w:hint="default" w:ascii="Times New Roman" w:hAnsi="Times New Roman" w:eastAsia="宋体" w:cs="Times New Roman"/>
                <w:b/>
                <w:bCs/>
                <w:sz w:val="16"/>
                <w:szCs w:val="16"/>
                <w:highlight w:val="none"/>
                <w:lang w:val="en-US" w:eastAsia="zh-CN"/>
              </w:rPr>
            </w:pPr>
            <w:r>
              <w:rPr>
                <w:rFonts w:hint="eastAsia" w:ascii="Times New Roman" w:hAnsi="Times New Roman" w:eastAsia="宋体" w:cs="Times New Roman"/>
                <w:b/>
                <w:bCs/>
                <w:sz w:val="16"/>
                <w:szCs w:val="16"/>
                <w:highlight w:val="none"/>
                <w:lang w:val="en-US" w:eastAsia="zh-CN"/>
              </w:rPr>
              <w:t>27</w:t>
            </w:r>
          </w:p>
        </w:tc>
        <w:tc>
          <w:tcPr>
            <w:tcW w:w="1149"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highlight w:val="none"/>
              </w:rPr>
            </w:pPr>
            <w:r>
              <w:rPr>
                <w:rFonts w:hint="eastAsia" w:ascii="Times New Roman" w:hAnsi="Times New Roman" w:eastAsia="宋体" w:cs="Times New Roman"/>
                <w:b/>
                <w:bCs/>
                <w:sz w:val="16"/>
                <w:szCs w:val="16"/>
                <w:highlight w:val="none"/>
                <w:lang w:val="en-US" w:eastAsia="zh-CN"/>
              </w:rPr>
              <w:t>77.14</w:t>
            </w:r>
            <w:r>
              <w:rPr>
                <w:rFonts w:ascii="Times New Roman" w:hAnsi="Times New Roman" w:eastAsia="宋体" w:cs="Times New Roman"/>
                <w:b/>
                <w:bCs/>
                <w:sz w:val="16"/>
                <w:szCs w:val="16"/>
                <w:highlight w:val="none"/>
              </w:rPr>
              <w:t>%</w:t>
            </w:r>
          </w:p>
        </w:tc>
      </w:tr>
    </w:tbl>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1.</w:t>
      </w:r>
      <w:r>
        <w:rPr>
          <w:rFonts w:hint="eastAsia" w:ascii="仿宋_GB2312" w:hAnsi="Times New Roman" w:eastAsia="仿宋_GB2312" w:cs="Times New Roman"/>
          <w:sz w:val="24"/>
          <w:szCs w:val="24"/>
          <w:highlight w:val="none"/>
          <w:lang w:val="en-US" w:eastAsia="zh-CN"/>
        </w:rPr>
        <w:t>减轻补助补贴对象经济负担</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指标解释：项目实施对经济发展所带来的直接或间接影响情况。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评分情况：通过</w:t>
      </w:r>
      <w:r>
        <w:rPr>
          <w:rFonts w:hint="eastAsia" w:ascii="仿宋_GB2312" w:hAnsi="Times New Roman" w:eastAsia="仿宋_GB2312" w:cs="Times New Roman"/>
          <w:sz w:val="24"/>
          <w:szCs w:val="24"/>
          <w:highlight w:val="none"/>
          <w:lang w:val="en-US" w:eastAsia="zh-CN"/>
        </w:rPr>
        <w:t>对各乡镇抗旱期间产生的油费、电费、水费等支出进行补助，减轻了农户的经济负担。</w:t>
      </w:r>
      <w:r>
        <w:rPr>
          <w:rFonts w:hint="eastAsia" w:ascii="仿宋_GB2312" w:hAnsi="Times New Roman" w:eastAsia="仿宋_GB2312" w:cs="Times New Roman"/>
          <w:sz w:val="24"/>
          <w:szCs w:val="24"/>
          <w:highlight w:val="none"/>
        </w:rPr>
        <w:t>该指标满分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4</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66.67</w:t>
      </w:r>
      <w:r>
        <w:rPr>
          <w:rFonts w:hint="eastAsia" w:ascii="仿宋_GB2312" w:hAnsi="Times New Roman" w:eastAsia="仿宋_GB2312" w:cs="Times New Roman"/>
          <w:sz w:val="24"/>
          <w:szCs w:val="24"/>
          <w:highlight w:val="none"/>
        </w:rPr>
        <w:t>%。</w:t>
      </w:r>
    </w:p>
    <w:p>
      <w:pPr>
        <w:numPr>
          <w:ilvl w:val="0"/>
          <w:numId w:val="0"/>
        </w:num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2.减轻农户抗旱用水压力，稳定粮食生产</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指标解释：项目实施对社会发展所带来的直接或间接影响情况。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评分情况：通过</w:t>
      </w:r>
      <w:r>
        <w:rPr>
          <w:rFonts w:hint="eastAsia" w:ascii="仿宋_GB2312" w:hAnsi="Times New Roman" w:eastAsia="仿宋_GB2312" w:cs="Times New Roman"/>
          <w:sz w:val="24"/>
          <w:szCs w:val="24"/>
          <w:highlight w:val="none"/>
          <w:lang w:val="en-US" w:eastAsia="zh-CN"/>
        </w:rPr>
        <w:t>对各乡镇抗旱期间产生的水费等支出进行补助，减轻了农户抗旱用水压力；2022年夏粮取得丰收，粮食产量稳定</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该指标满分</w:t>
      </w:r>
      <w:r>
        <w:rPr>
          <w:rFonts w:hint="eastAsia" w:ascii="仿宋_GB2312" w:hAnsi="Times New Roman" w:eastAsia="仿宋_GB2312" w:cs="Times New Roman"/>
          <w:sz w:val="24"/>
          <w:szCs w:val="24"/>
          <w:highlight w:val="none"/>
          <w:lang w:val="en-US" w:eastAsia="zh-CN"/>
        </w:rPr>
        <w:t>9</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66.67</w:t>
      </w:r>
      <w:r>
        <w:rPr>
          <w:rFonts w:hint="eastAsia" w:ascii="仿宋_GB2312" w:hAnsi="Times New Roman" w:eastAsia="仿宋_GB2312" w:cs="Times New Roman"/>
          <w:sz w:val="24"/>
          <w:szCs w:val="24"/>
          <w:highlight w:val="none"/>
        </w:rPr>
        <w:t>%。</w:t>
      </w:r>
    </w:p>
    <w:p>
      <w:pPr>
        <w:numPr>
          <w:ilvl w:val="0"/>
          <w:numId w:val="2"/>
        </w:num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改善苗情，促进小麦生长</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指标解释：项目实施对生态环境所带来的直接或间接影响情况。</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kern w:val="2"/>
          <w:sz w:val="24"/>
          <w:szCs w:val="24"/>
          <w:highlight w:val="none"/>
          <w:lang w:val="en-US" w:eastAsia="zh-CN" w:bidi="ar-SA"/>
        </w:rPr>
        <w:t>通过抗旱经费项目实施，乡镇、气象部门按照抗旱要求积极开展抗旱工作，保障了小麦苗情长势，取得了显著成效</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该指标满分</w:t>
      </w:r>
      <w:r>
        <w:rPr>
          <w:rFonts w:hint="eastAsia" w:ascii="仿宋_GB2312" w:hAnsi="Times New Roman" w:eastAsia="仿宋_GB2312" w:cs="Times New Roman"/>
          <w:sz w:val="24"/>
          <w:szCs w:val="24"/>
          <w:highlight w:val="none"/>
          <w:lang w:val="en-US" w:eastAsia="zh-CN"/>
        </w:rPr>
        <w:t>8</w:t>
      </w:r>
      <w:r>
        <w:rPr>
          <w:rFonts w:hint="eastAsia" w:ascii="仿宋_GB2312" w:hAnsi="Times New Roman" w:eastAsia="仿宋_GB2312" w:cs="Times New Roman"/>
          <w:sz w:val="24"/>
          <w:szCs w:val="24"/>
          <w:highlight w:val="none"/>
        </w:rPr>
        <w:t>分，得分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75</w:t>
      </w:r>
      <w:r>
        <w:rPr>
          <w:rFonts w:hint="eastAsia" w:ascii="仿宋_GB2312" w:hAnsi="Times New Roman" w:eastAsia="仿宋_GB2312" w:cs="Times New Roman"/>
          <w:sz w:val="24"/>
          <w:szCs w:val="24"/>
          <w:highlight w:val="none"/>
        </w:rPr>
        <w:t>%。</w:t>
      </w:r>
    </w:p>
    <w:p>
      <w:pPr>
        <w:numPr>
          <w:ilvl w:val="0"/>
          <w:numId w:val="2"/>
        </w:numPr>
        <w:spacing w:line="560" w:lineRule="exact"/>
        <w:ind w:left="0" w:leftChars="0"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缓解农业旱情</w:t>
      </w:r>
    </w:p>
    <w:p>
      <w:pPr>
        <w:numPr>
          <w:ilvl w:val="0"/>
          <w:numId w:val="0"/>
        </w:num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指标解释：项目实施发挥的持续性作用。</w:t>
      </w:r>
    </w:p>
    <w:p>
      <w:pPr>
        <w:spacing w:after="0" w:line="560" w:lineRule="exact"/>
        <w:ind w:firstLine="472" w:firstLineChars="200"/>
        <w:jc w:val="both"/>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w:t>
      </w:r>
      <w:r>
        <w:rPr>
          <w:rFonts w:hint="eastAsia" w:ascii="仿宋_GB2312" w:hAnsi="Times New Roman" w:eastAsia="仿宋_GB2312" w:cs="Times New Roman"/>
          <w:sz w:val="24"/>
          <w:szCs w:val="24"/>
          <w:highlight w:val="none"/>
          <w:lang w:val="en-US" w:eastAsia="zh-CN"/>
        </w:rPr>
        <w:t>2022年1月4-5日，在气象部门的干预下，经历了一场降雨，全县旱情基本解除，为午季小麦单产达到409.8公斤，总产为69.07万吨打下了坚实基础</w:t>
      </w:r>
      <w:r>
        <w:rPr>
          <w:rFonts w:hint="eastAsia" w:ascii="仿宋_GB2312" w:hAnsi="Times New Roman" w:eastAsia="仿宋_GB2312" w:cs="Times New Roman"/>
          <w:sz w:val="24"/>
          <w:szCs w:val="24"/>
          <w:highlight w:val="none"/>
        </w:rPr>
        <w:t>。该指标满分6分，得分</w:t>
      </w:r>
      <w:r>
        <w:rPr>
          <w:rFonts w:hint="eastAsia" w:ascii="仿宋_GB2312" w:hAnsi="Times New Roman" w:eastAsia="仿宋_GB2312" w:cs="Times New Roman"/>
          <w:sz w:val="24"/>
          <w:szCs w:val="24"/>
          <w:highlight w:val="none"/>
          <w:lang w:val="en-US" w:eastAsia="zh-CN"/>
        </w:rPr>
        <w:t>5</w:t>
      </w:r>
      <w:r>
        <w:rPr>
          <w:rFonts w:hint="eastAsia" w:ascii="仿宋_GB2312" w:hAnsi="Times New Roman" w:eastAsia="仿宋_GB2312" w:cs="Times New Roman"/>
          <w:sz w:val="24"/>
          <w:szCs w:val="24"/>
          <w:highlight w:val="none"/>
        </w:rPr>
        <w:t>分，得分率</w:t>
      </w:r>
      <w:r>
        <w:rPr>
          <w:rFonts w:hint="eastAsia" w:ascii="仿宋_GB2312" w:hAnsi="Times New Roman" w:eastAsia="仿宋_GB2312" w:cs="Times New Roman"/>
          <w:sz w:val="24"/>
          <w:szCs w:val="24"/>
          <w:highlight w:val="none"/>
          <w:lang w:val="en-US" w:eastAsia="zh-CN"/>
        </w:rPr>
        <w:t>83.33</w:t>
      </w:r>
      <w:r>
        <w:rPr>
          <w:rFonts w:hint="eastAsia" w:ascii="仿宋_GB2312" w:hAnsi="Times New Roman" w:eastAsia="仿宋_GB2312" w:cs="Times New Roman"/>
          <w:sz w:val="24"/>
          <w:szCs w:val="24"/>
          <w:highlight w:val="none"/>
        </w:rPr>
        <w:t>%。</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5.满意度</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指标解释：服务对象满意度。</w:t>
      </w:r>
    </w:p>
    <w:p>
      <w:pPr>
        <w:spacing w:line="560" w:lineRule="exact"/>
        <w:ind w:firstLine="472" w:firstLineChars="200"/>
        <w:rPr>
          <w:rFonts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rPr>
        <w:t>评分情况：通过问卷调查形式，对受益</w:t>
      </w:r>
      <w:r>
        <w:rPr>
          <w:rFonts w:hint="eastAsia" w:ascii="仿宋_GB2312" w:hAnsi="Times New Roman" w:eastAsia="仿宋_GB2312" w:cs="Times New Roman"/>
          <w:sz w:val="24"/>
          <w:szCs w:val="24"/>
          <w:highlight w:val="none"/>
          <w:lang w:val="en-US" w:eastAsia="zh-CN"/>
        </w:rPr>
        <w:t>群众</w:t>
      </w:r>
      <w:r>
        <w:rPr>
          <w:rFonts w:hint="eastAsia" w:ascii="仿宋_GB2312" w:hAnsi="Times New Roman" w:eastAsia="仿宋_GB2312" w:cs="Times New Roman"/>
          <w:sz w:val="24"/>
          <w:szCs w:val="24"/>
          <w:highlight w:val="none"/>
        </w:rPr>
        <w:t>满意度进行调查，获取对项目实施效果的满意程度为96%，</w:t>
      </w:r>
      <w:r>
        <w:rPr>
          <w:rFonts w:hint="eastAsia" w:ascii="仿宋_GB2312" w:hAnsi="Times New Roman" w:eastAsia="仿宋_GB2312" w:cs="Times New Roman"/>
          <w:sz w:val="24"/>
          <w:szCs w:val="24"/>
          <w:highlight w:val="none"/>
          <w:lang w:val="en-US" w:eastAsia="zh-CN"/>
        </w:rPr>
        <w:t>绩效目标已完成</w:t>
      </w:r>
      <w:r>
        <w:rPr>
          <w:rFonts w:hint="eastAsia" w:ascii="仿宋_GB2312" w:hAnsi="Times New Roman" w:eastAsia="仿宋_GB2312" w:cs="Times New Roman"/>
          <w:sz w:val="24"/>
          <w:szCs w:val="24"/>
          <w:highlight w:val="none"/>
        </w:rPr>
        <w:t>。该指标满分6分，得分</w:t>
      </w:r>
      <w:r>
        <w:rPr>
          <w:rFonts w:hint="eastAsia" w:ascii="仿宋_GB2312" w:hAnsi="Times New Roman" w:eastAsia="仿宋_GB2312" w:cs="Times New Roman"/>
          <w:sz w:val="24"/>
          <w:szCs w:val="24"/>
          <w:highlight w:val="none"/>
          <w:lang w:val="en-US" w:eastAsia="zh-CN"/>
        </w:rPr>
        <w:t>6</w:t>
      </w:r>
      <w:r>
        <w:rPr>
          <w:rFonts w:hint="eastAsia" w:ascii="仿宋_GB2312" w:hAnsi="Times New Roman" w:eastAsia="仿宋_GB2312" w:cs="Times New Roman"/>
          <w:sz w:val="24"/>
          <w:szCs w:val="24"/>
          <w:highlight w:val="none"/>
        </w:rPr>
        <w:t>分，得分率100.00%。</w:t>
      </w:r>
    </w:p>
    <w:p>
      <w:pPr>
        <w:numPr>
          <w:ilvl w:val="0"/>
          <w:numId w:val="3"/>
        </w:numPr>
        <w:spacing w:line="560" w:lineRule="exact"/>
        <w:ind w:firstLine="472" w:firstLineChars="200"/>
        <w:outlineLvl w:val="0"/>
        <w:rPr>
          <w:rFonts w:ascii="黑体" w:hAnsi="黑体" w:eastAsia="黑体" w:cs="Times New Roman"/>
          <w:b/>
          <w:bCs/>
          <w:sz w:val="24"/>
          <w:szCs w:val="24"/>
          <w:highlight w:val="none"/>
        </w:rPr>
      </w:pPr>
      <w:bookmarkStart w:id="42" w:name="_Toc18123"/>
      <w:r>
        <w:rPr>
          <w:rFonts w:hint="eastAsia" w:ascii="黑体" w:hAnsi="黑体" w:eastAsia="黑体" w:cs="Times New Roman"/>
          <w:b/>
          <w:bCs/>
          <w:sz w:val="24"/>
          <w:szCs w:val="24"/>
          <w:highlight w:val="none"/>
        </w:rPr>
        <w:t>主要经验及做法</w:t>
      </w:r>
      <w:bookmarkEnd w:id="42"/>
    </w:p>
    <w:p>
      <w:pPr>
        <w:numPr>
          <w:ilvl w:val="0"/>
          <w:numId w:val="0"/>
        </w:numPr>
        <w:ind w:firstLine="472" w:firstLineChars="200"/>
        <w:jc w:val="both"/>
        <w:rPr>
          <w:rFonts w:hint="eastAsia" w:ascii="仿宋_GB2312" w:hAnsi="Times New Roman" w:eastAsia="仿宋_GB2312" w:cs="Times New Roman"/>
          <w:sz w:val="24"/>
          <w:szCs w:val="24"/>
        </w:rPr>
      </w:pPr>
      <w:bookmarkStart w:id="43" w:name="_Toc1758"/>
      <w:r>
        <w:rPr>
          <w:rFonts w:hint="eastAsia" w:ascii="仿宋_GB2312" w:hAnsi="Times New Roman" w:eastAsia="仿宋_GB2312" w:cs="Times New Roman"/>
          <w:kern w:val="2"/>
          <w:sz w:val="24"/>
          <w:szCs w:val="24"/>
          <w:highlight w:val="none"/>
          <w:lang w:val="en-US" w:eastAsia="zh-CN" w:bidi="ar-SA"/>
        </w:rPr>
        <w:t>（一）早谋划早发动。</w:t>
      </w:r>
      <w:r>
        <w:rPr>
          <w:rFonts w:hint="eastAsia" w:ascii="仿宋_GB2312" w:hAnsi="Times New Roman" w:eastAsia="仿宋_GB2312" w:cs="Times New Roman"/>
          <w:kern w:val="2"/>
          <w:sz w:val="24"/>
          <w:szCs w:val="24"/>
          <w:lang w:val="en-US" w:eastAsia="zh-CN" w:bidi="ar-SA"/>
        </w:rPr>
        <w:t>2021年12月县农业农村局下发《关于做好抗旱保苗相关工作的紧急通知》（怀农函</w:t>
      </w:r>
      <w:r>
        <w:rPr>
          <w:rFonts w:hint="default" w:ascii="仿宋_GB2312" w:hAnsi="Times New Roman" w:eastAsia="仿宋_GB2312" w:cs="Times New Roman"/>
          <w:kern w:val="2"/>
          <w:sz w:val="24"/>
          <w:szCs w:val="24"/>
          <w:lang w:val="en-US" w:eastAsia="zh-CN" w:bidi="ar-SA"/>
        </w:rPr>
        <w:t>〔2023〕</w:t>
      </w:r>
      <w:r>
        <w:rPr>
          <w:rFonts w:hint="eastAsia" w:ascii="仿宋_GB2312" w:hAnsi="Times New Roman" w:eastAsia="仿宋_GB2312" w:cs="Times New Roman"/>
          <w:kern w:val="2"/>
          <w:sz w:val="24"/>
          <w:szCs w:val="24"/>
          <w:lang w:val="en-US" w:eastAsia="zh-CN" w:bidi="ar-SA"/>
        </w:rPr>
        <w:t>163</w:t>
      </w:r>
      <w:r>
        <w:rPr>
          <w:rFonts w:hint="default" w:ascii="仿宋_GB2312" w:hAnsi="Times New Roman" w:eastAsia="仿宋_GB2312" w:cs="Times New Roman"/>
          <w:kern w:val="2"/>
          <w:sz w:val="24"/>
          <w:szCs w:val="24"/>
          <w:lang w:val="en-US" w:eastAsia="zh-CN" w:bidi="ar-SA"/>
        </w:rPr>
        <w:t>号</w:t>
      </w:r>
      <w:r>
        <w:rPr>
          <w:rFonts w:hint="eastAsia" w:ascii="仿宋_GB2312" w:hAnsi="Times New Roman" w:eastAsia="仿宋_GB2312" w:cs="Times New Roman"/>
          <w:kern w:val="2"/>
          <w:sz w:val="24"/>
          <w:szCs w:val="24"/>
          <w:lang w:val="en-US" w:eastAsia="zh-CN" w:bidi="ar-SA"/>
        </w:rPr>
        <w:t>）2021年12月召开抗旱工作会议，推进抗旱，实时解决抗旱难点。乡镇高度重视抗旱保苗工作的重要性，积极采取措施，打好抗旱保苗攻坚战。</w:t>
      </w:r>
    </w:p>
    <w:p>
      <w:pPr>
        <w:numPr>
          <w:ilvl w:val="0"/>
          <w:numId w:val="0"/>
        </w:num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二）加强组织领导。各乡镇领导深入抗旱一线，靠前指挥，亲自部署抗旱工作，协调解决具体困难和问题。建立健全抗旱工作责任制，要划片包干，落实责任，切实做到一级抓一级、一级对一级负责，确保责任人员到岗到位，履行职责。农技人员深入田间地头，开展抗旱保苗技术指导和服务。加大苗情与土壤墒情的监测力度。</w:t>
      </w:r>
    </w:p>
    <w:p>
      <w:pPr>
        <w:numPr>
          <w:ilvl w:val="0"/>
          <w:numId w:val="0"/>
        </w:num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三）落实抗旱保苗措施。一是立即开展查田补种。组织干部、技术人员和群众立即深入田间，逐地块查看土壤墒情和作物出苗情况，有针对性地制定抗旱措施。二是全力抗旱保苗。按照“保出苗、保活苗、保全苗、保齐苗”的要求，做好抗旱保苗工作。加强抗旱水源建设，抢修和利用现有水利设施和水利工程，扩大供水能力，提高抗旱水源保障能力，满足抗旱用水需求，并大力推广节水抗旱技术，努力增加水浇面积，确保不发生死苗现象。三是科学灌溉，合理抗旱。根据实际苗情、土壤墒情和天气情况，利用中午气温回升的有利时机，指导农民进行灌溉，尤其要把握适当灌水量，避免地面结冰，造成麦苗窒息。</w:t>
      </w:r>
    </w:p>
    <w:p>
      <w:pPr>
        <w:spacing w:line="560" w:lineRule="exact"/>
        <w:ind w:firstLine="472" w:firstLineChars="200"/>
        <w:rPr>
          <w:rFonts w:hint="eastAsia" w:ascii="仿宋_GB2312" w:hAnsi="Times New Roman" w:eastAsia="仿宋_GB2312" w:cs="Times New Roman"/>
          <w:kern w:val="2"/>
          <w:sz w:val="24"/>
          <w:szCs w:val="24"/>
          <w:lang w:val="en-US" w:eastAsia="zh-CN" w:bidi="ar-SA"/>
        </w:rPr>
      </w:pPr>
      <w:r>
        <w:rPr>
          <w:rFonts w:hint="eastAsia" w:ascii="仿宋_GB2312" w:hAnsi="Times New Roman" w:eastAsia="仿宋_GB2312" w:cs="Times New Roman"/>
          <w:kern w:val="2"/>
          <w:sz w:val="24"/>
          <w:szCs w:val="24"/>
          <w:lang w:val="en-US" w:eastAsia="zh-CN" w:bidi="ar-SA"/>
        </w:rPr>
        <w:t>（四）加强田间管理。加强苗期田间管理，对已出苗地块要提早铲趟，减少土壤表面水分蒸发，同时做好在田作物防寒措施。农技人员加强服务，指导农民采取叶面喷施抗旱剂、保水剂等办法，增强作物抗旱能力。</w:t>
      </w:r>
    </w:p>
    <w:bookmarkEnd w:id="43"/>
    <w:p>
      <w:pPr>
        <w:spacing w:line="560" w:lineRule="exact"/>
        <w:ind w:firstLine="472" w:firstLineChars="200"/>
        <w:outlineLvl w:val="0"/>
        <w:rPr>
          <w:rFonts w:ascii="黑体" w:hAnsi="黑体" w:eastAsia="黑体" w:cs="Times New Roman"/>
          <w:bCs/>
          <w:sz w:val="24"/>
          <w:szCs w:val="24"/>
          <w:highlight w:val="none"/>
        </w:rPr>
      </w:pPr>
      <w:r>
        <w:rPr>
          <w:rFonts w:hint="eastAsia" w:ascii="黑体" w:hAnsi="黑体" w:eastAsia="黑体" w:cs="Times New Roman"/>
          <w:bCs/>
          <w:sz w:val="24"/>
          <w:szCs w:val="24"/>
          <w:highlight w:val="none"/>
        </w:rPr>
        <w:t>六、存在问题及原因分析</w:t>
      </w:r>
    </w:p>
    <w:p>
      <w:pPr>
        <w:spacing w:line="560" w:lineRule="exact"/>
        <w:ind w:firstLine="472" w:firstLineChars="200"/>
        <w:rPr>
          <w:rFonts w:hint="eastAsia"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rPr>
        <w:t>（一）项目绩效指标</w:t>
      </w:r>
      <w:r>
        <w:rPr>
          <w:rFonts w:hint="eastAsia" w:ascii="仿宋_GB2312" w:hAnsi="Times New Roman" w:eastAsia="仿宋_GB2312" w:cs="Times New Roman"/>
          <w:sz w:val="24"/>
          <w:szCs w:val="24"/>
          <w:highlight w:val="none"/>
          <w:lang w:val="en-US" w:eastAsia="zh-CN"/>
        </w:rPr>
        <w:t>不够细化量化，指标值</w:t>
      </w:r>
      <w:r>
        <w:rPr>
          <w:rFonts w:hint="eastAsia" w:ascii="仿宋_GB2312" w:hAnsi="Times New Roman" w:eastAsia="仿宋_GB2312" w:cs="Times New Roman"/>
          <w:sz w:val="24"/>
          <w:szCs w:val="24"/>
          <w:highlight w:val="none"/>
        </w:rPr>
        <w:t>设置明确性、</w:t>
      </w:r>
      <w:r>
        <w:rPr>
          <w:rFonts w:hint="eastAsia" w:ascii="仿宋_GB2312" w:hAnsi="Times New Roman" w:eastAsia="仿宋_GB2312" w:cs="Times New Roman"/>
          <w:sz w:val="24"/>
          <w:szCs w:val="24"/>
          <w:highlight w:val="none"/>
          <w:lang w:val="en-US" w:eastAsia="zh-CN"/>
        </w:rPr>
        <w:t>相关性</w:t>
      </w:r>
      <w:r>
        <w:rPr>
          <w:rFonts w:hint="eastAsia" w:ascii="仿宋_GB2312" w:hAnsi="Times New Roman" w:eastAsia="仿宋_GB2312" w:cs="Times New Roman"/>
          <w:sz w:val="24"/>
          <w:szCs w:val="24"/>
          <w:highlight w:val="none"/>
        </w:rPr>
        <w:t>不足。绩效目标较为简单、笼统，未根据项目实际对产出和效益进行量化、细化，多数为泛化的定性指标，评价依据不清，标准不明确，缺少科学合理的衡量标准，如</w:t>
      </w:r>
      <w:r>
        <w:rPr>
          <w:rFonts w:hint="eastAsia" w:ascii="仿宋_GB2312" w:hAnsi="Times New Roman" w:eastAsia="仿宋_GB2312" w:cs="Times New Roman"/>
          <w:sz w:val="24"/>
          <w:szCs w:val="24"/>
          <w:highlight w:val="none"/>
          <w:lang w:val="en-US" w:eastAsia="zh-CN"/>
        </w:rPr>
        <w:t>数量指标与工作相关性不高，指标值仅设置为补助乡镇、部门个数，未说明补助抗旱面积；</w:t>
      </w:r>
      <w:r>
        <w:rPr>
          <w:rFonts w:hint="eastAsia" w:ascii="仿宋_GB2312" w:hAnsi="Times New Roman" w:eastAsia="仿宋_GB2312" w:cs="Times New Roman"/>
          <w:sz w:val="24"/>
          <w:szCs w:val="24"/>
          <w:highlight w:val="none"/>
        </w:rPr>
        <w:t>效益指标设置为“降低影响程度</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减轻用水压力、稳定粮食生产</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等，</w:t>
      </w:r>
      <w:r>
        <w:rPr>
          <w:rFonts w:hint="eastAsia" w:ascii="仿宋_GB2312" w:hAnsi="Times New Roman" w:eastAsia="仿宋_GB2312" w:cs="Times New Roman"/>
          <w:sz w:val="24"/>
          <w:szCs w:val="24"/>
          <w:highlight w:val="none"/>
        </w:rPr>
        <w:t>指标过于</w:t>
      </w:r>
      <w:r>
        <w:rPr>
          <w:rFonts w:hint="eastAsia" w:ascii="仿宋_GB2312" w:hAnsi="Times New Roman" w:eastAsia="仿宋_GB2312" w:cs="Times New Roman"/>
          <w:sz w:val="24"/>
          <w:szCs w:val="24"/>
          <w:highlight w:val="none"/>
          <w:lang w:val="en-US" w:eastAsia="zh-CN"/>
        </w:rPr>
        <w:t>笼统</w:t>
      </w:r>
      <w:r>
        <w:rPr>
          <w:rFonts w:hint="eastAsia" w:ascii="仿宋_GB2312" w:hAnsi="Times New Roman" w:eastAsia="仿宋_GB2312" w:cs="Times New Roman"/>
          <w:sz w:val="24"/>
          <w:szCs w:val="24"/>
          <w:highlight w:val="none"/>
        </w:rPr>
        <w:t>，缺乏量化的数据进行支撑</w:t>
      </w:r>
      <w:r>
        <w:rPr>
          <w:rFonts w:hint="eastAsia" w:ascii="仿宋_GB2312" w:hAnsi="Times New Roman" w:eastAsia="仿宋_GB2312" w:cs="Times New Roman"/>
          <w:sz w:val="24"/>
          <w:szCs w:val="24"/>
          <w:highlight w:val="none"/>
          <w:lang w:eastAsia="zh-CN"/>
        </w:rPr>
        <w:t>。</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二</w:t>
      </w:r>
      <w:r>
        <w:rPr>
          <w:rFonts w:hint="eastAsia" w:ascii="仿宋_GB2312" w:hAnsi="Times New Roman" w:eastAsia="仿宋_GB2312" w:cs="Times New Roman"/>
          <w:sz w:val="24"/>
          <w:szCs w:val="24"/>
          <w:highlight w:val="none"/>
          <w:lang w:eastAsia="zh-CN"/>
        </w:rPr>
        <w:t>）</w:t>
      </w:r>
      <w:r>
        <w:rPr>
          <w:rFonts w:hint="eastAsia" w:ascii="仿宋_GB2312" w:hAnsi="Times New Roman" w:eastAsia="仿宋_GB2312" w:cs="Times New Roman"/>
          <w:sz w:val="24"/>
          <w:szCs w:val="24"/>
          <w:highlight w:val="none"/>
          <w:lang w:val="en-US" w:eastAsia="zh-CN"/>
        </w:rPr>
        <w:t>绩效自评表不够细化、绩效自评报告过于简单，不能完全精确体现实际效益。如自评表中的效益指标实际完成值填写为“较明显”，且缺乏相关完成程度的佐证材料，实际完成效益不可测量，自评报告仅简单复述绩效自评表中的指标值内容，缺乏对指标完成程度的分析，不能完全体现实际效益。</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三</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抗旱资金使用监督管理不足，无法充分体现资金实际使用效益</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我县2022年抗旱保苗工作于2021年底2022年初组织开展，县农业农村局将抗旱经费拨付乡镇时间在2022年4月，资金为事后补助，资金下达乡镇后是否用于弥补乡镇前期开展的抗旱成本支出，县农业农村局未进行统计核实，乡镇的抗旱资金使用绩效不够明显</w:t>
      </w:r>
      <w:r>
        <w:rPr>
          <w:rFonts w:hint="eastAsia" w:ascii="仿宋_GB2312" w:hAnsi="Times New Roman" w:eastAsia="仿宋_GB2312" w:cs="Times New Roman"/>
          <w:sz w:val="24"/>
          <w:szCs w:val="24"/>
          <w:highlight w:val="none"/>
        </w:rPr>
        <w:t>。</w:t>
      </w:r>
    </w:p>
    <w:p>
      <w:pPr>
        <w:spacing w:line="560" w:lineRule="exact"/>
        <w:ind w:firstLine="472" w:firstLineChars="200"/>
        <w:outlineLvl w:val="0"/>
        <w:rPr>
          <w:rFonts w:ascii="黑体" w:hAnsi="黑体" w:eastAsia="黑体" w:cs="Times New Roman"/>
          <w:bCs/>
          <w:sz w:val="24"/>
          <w:szCs w:val="24"/>
          <w:highlight w:val="none"/>
        </w:rPr>
      </w:pPr>
      <w:r>
        <w:rPr>
          <w:rFonts w:hint="eastAsia" w:ascii="黑体" w:hAnsi="黑体" w:eastAsia="黑体" w:cs="Times New Roman"/>
          <w:bCs/>
          <w:sz w:val="24"/>
          <w:szCs w:val="24"/>
          <w:highlight w:val="none"/>
        </w:rPr>
        <w:t>七、有关建议</w:t>
      </w:r>
    </w:p>
    <w:p>
      <w:pPr>
        <w:spacing w:line="560" w:lineRule="exact"/>
        <w:ind w:firstLine="472" w:firstLineChars="200"/>
        <w:outlineLvl w:val="1"/>
        <w:rPr>
          <w:rFonts w:hint="default"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rPr>
        <w:t>（一）</w:t>
      </w:r>
      <w:r>
        <w:rPr>
          <w:rFonts w:hint="eastAsia" w:ascii="楷体_GB2312" w:hAnsi="Times New Roman" w:eastAsia="楷体_GB2312" w:cs="Times New Roman"/>
          <w:sz w:val="24"/>
          <w:szCs w:val="24"/>
          <w:highlight w:val="none"/>
          <w:lang w:val="en-US" w:eastAsia="zh-CN"/>
        </w:rPr>
        <w:t>加强绩效管理学习</w:t>
      </w:r>
    </w:p>
    <w:p>
      <w:pPr>
        <w:spacing w:line="560" w:lineRule="exact"/>
        <w:ind w:firstLine="472" w:firstLineChars="200"/>
        <w:rPr>
          <w:rFonts w:hint="eastAsia" w:ascii="仿宋_GB2312" w:hAnsi="Times New Roman" w:eastAsia="仿宋_GB2312" w:cs="Times New Roman"/>
          <w:sz w:val="24"/>
          <w:szCs w:val="24"/>
          <w:highlight w:val="none"/>
        </w:rPr>
      </w:pPr>
      <w:r>
        <w:rPr>
          <w:rFonts w:hint="eastAsia" w:ascii="仿宋_GB2312" w:hAnsi="Times New Roman" w:eastAsia="仿宋_GB2312" w:cs="Times New Roman"/>
          <w:sz w:val="24"/>
          <w:szCs w:val="24"/>
          <w:highlight w:val="none"/>
          <w:lang w:val="en-US" w:eastAsia="zh-CN"/>
        </w:rPr>
        <w:t>建议县农业农村局财务人员及业务人员均要加强县级绩效管理相关文件及项目库中的绩效目标模板的学习，结合工作实际</w:t>
      </w:r>
      <w:r>
        <w:rPr>
          <w:rFonts w:hint="eastAsia" w:ascii="仿宋_GB2312" w:hAnsi="Times New Roman" w:eastAsia="仿宋_GB2312" w:cs="Times New Roman"/>
          <w:sz w:val="24"/>
          <w:szCs w:val="24"/>
          <w:highlight w:val="none"/>
        </w:rPr>
        <w:t>，</w:t>
      </w:r>
      <w:r>
        <w:rPr>
          <w:rFonts w:hint="eastAsia" w:ascii="仿宋_GB2312" w:hAnsi="Times New Roman" w:eastAsia="仿宋_GB2312" w:cs="Times New Roman"/>
          <w:sz w:val="24"/>
          <w:szCs w:val="24"/>
          <w:highlight w:val="none"/>
          <w:lang w:val="en-US" w:eastAsia="zh-CN"/>
        </w:rPr>
        <w:t>制定完整、细化、相关性强的绩效目标申报表，及提高绩效自评的能力</w:t>
      </w:r>
      <w:r>
        <w:rPr>
          <w:rFonts w:hint="eastAsia" w:ascii="仿宋_GB2312" w:hAnsi="Times New Roman" w:eastAsia="仿宋_GB2312" w:cs="Times New Roman"/>
          <w:sz w:val="24"/>
          <w:szCs w:val="24"/>
          <w:highlight w:val="none"/>
        </w:rPr>
        <w:t>。</w:t>
      </w:r>
    </w:p>
    <w:p>
      <w:pPr>
        <w:spacing w:line="560" w:lineRule="exact"/>
        <w:ind w:firstLine="472" w:firstLineChars="200"/>
        <w:outlineLvl w:val="1"/>
        <w:rPr>
          <w:rFonts w:hint="eastAsia" w:ascii="楷体_GB2312" w:hAnsi="Times New Roman" w:eastAsia="楷体_GB2312" w:cs="Times New Roman"/>
          <w:sz w:val="24"/>
          <w:szCs w:val="24"/>
          <w:highlight w:val="none"/>
          <w:lang w:val="en-US" w:eastAsia="zh-CN"/>
        </w:rPr>
      </w:pPr>
      <w:r>
        <w:rPr>
          <w:rFonts w:hint="eastAsia" w:ascii="楷体_GB2312" w:hAnsi="Times New Roman" w:eastAsia="楷体_GB2312" w:cs="Times New Roman"/>
          <w:sz w:val="24"/>
          <w:szCs w:val="24"/>
          <w:highlight w:val="none"/>
          <w:lang w:val="en-US" w:eastAsia="zh-CN"/>
        </w:rPr>
        <w:t>（二）完善单位绩效管理制度</w:t>
      </w:r>
    </w:p>
    <w:p>
      <w:pPr>
        <w:pStyle w:val="2"/>
        <w:numPr>
          <w:ilvl w:val="0"/>
          <w:numId w:val="0"/>
        </w:numPr>
        <w:ind w:firstLine="472" w:firstLineChars="200"/>
        <w:rPr>
          <w:rFonts w:hint="default" w:eastAsia="仿宋_GB2312"/>
          <w:highlight w:val="none"/>
          <w:lang w:val="en-US" w:eastAsia="zh-CN"/>
        </w:rPr>
      </w:pPr>
      <w:r>
        <w:rPr>
          <w:rFonts w:hint="eastAsia" w:ascii="仿宋_GB2312" w:hAnsi="Times New Roman" w:eastAsia="仿宋_GB2312" w:cs="Times New Roman"/>
          <w:sz w:val="24"/>
          <w:szCs w:val="24"/>
          <w:highlight w:val="none"/>
          <w:lang w:val="en-US" w:eastAsia="zh-CN"/>
        </w:rPr>
        <w:t>加强单位内部绩效管理，逐步建立和完善财政支出绩效评价相关制度，进一步提高全过程绩效管理科学化、精细化水平。</w:t>
      </w:r>
    </w:p>
    <w:p>
      <w:pPr>
        <w:numPr>
          <w:ilvl w:val="0"/>
          <w:numId w:val="0"/>
        </w:numPr>
        <w:spacing w:line="560" w:lineRule="exact"/>
        <w:ind w:firstLine="472" w:firstLineChars="200"/>
        <w:outlineLvl w:val="1"/>
        <w:rPr>
          <w:rFonts w:hint="eastAsia" w:ascii="楷体_GB2312" w:hAnsi="Times New Roman" w:eastAsia="楷体_GB2312" w:cs="Times New Roman"/>
          <w:sz w:val="24"/>
          <w:szCs w:val="24"/>
          <w:highlight w:val="none"/>
          <w:lang w:eastAsia="zh-CN"/>
        </w:rPr>
      </w:pPr>
      <w:r>
        <w:rPr>
          <w:rFonts w:hint="eastAsia" w:ascii="楷体_GB2312" w:hAnsi="Times New Roman" w:eastAsia="楷体_GB2312" w:cs="Times New Roman"/>
          <w:sz w:val="24"/>
          <w:szCs w:val="24"/>
          <w:highlight w:val="none"/>
          <w:lang w:eastAsia="zh-CN"/>
        </w:rPr>
        <w:t>（</w:t>
      </w:r>
      <w:r>
        <w:rPr>
          <w:rFonts w:hint="eastAsia" w:ascii="楷体_GB2312" w:hAnsi="Times New Roman" w:eastAsia="楷体_GB2312" w:cs="Times New Roman"/>
          <w:sz w:val="24"/>
          <w:szCs w:val="24"/>
          <w:highlight w:val="none"/>
          <w:lang w:val="en-US" w:eastAsia="zh-CN"/>
        </w:rPr>
        <w:t>三</w:t>
      </w:r>
      <w:r>
        <w:rPr>
          <w:rFonts w:hint="eastAsia" w:ascii="楷体_GB2312" w:hAnsi="Times New Roman" w:eastAsia="楷体_GB2312" w:cs="Times New Roman"/>
          <w:sz w:val="24"/>
          <w:szCs w:val="24"/>
          <w:highlight w:val="none"/>
          <w:lang w:eastAsia="zh-CN"/>
        </w:rPr>
        <w:t>）</w:t>
      </w:r>
      <w:r>
        <w:rPr>
          <w:rFonts w:hint="eastAsia" w:ascii="楷体_GB2312" w:hAnsi="Times New Roman" w:eastAsia="楷体_GB2312" w:cs="Times New Roman"/>
          <w:sz w:val="24"/>
          <w:szCs w:val="24"/>
          <w:highlight w:val="none"/>
          <w:lang w:val="en-US" w:eastAsia="zh-CN"/>
        </w:rPr>
        <w:t>强化</w:t>
      </w:r>
      <w:r>
        <w:rPr>
          <w:rFonts w:hint="eastAsia" w:ascii="楷体_GB2312" w:hAnsi="Times New Roman" w:eastAsia="楷体_GB2312" w:cs="Times New Roman"/>
          <w:sz w:val="24"/>
          <w:szCs w:val="24"/>
          <w:highlight w:val="none"/>
        </w:rPr>
        <w:t>资金使用管理力度</w:t>
      </w:r>
    </w:p>
    <w:p>
      <w:pPr>
        <w:spacing w:line="560" w:lineRule="exact"/>
        <w:ind w:firstLine="472" w:firstLineChars="200"/>
        <w:rPr>
          <w:rFonts w:hint="default" w:ascii="仿宋_GB2312" w:hAnsi="Times New Roman" w:eastAsia="仿宋_GB2312" w:cs="Times New Roman"/>
          <w:sz w:val="24"/>
          <w:szCs w:val="24"/>
          <w:highlight w:val="none"/>
          <w:lang w:val="en-US" w:eastAsia="zh-CN"/>
        </w:rPr>
      </w:pPr>
      <w:r>
        <w:rPr>
          <w:rFonts w:hint="eastAsia" w:ascii="仿宋_GB2312" w:hAnsi="Times New Roman" w:eastAsia="仿宋_GB2312" w:cs="Times New Roman"/>
          <w:sz w:val="24"/>
          <w:szCs w:val="24"/>
          <w:highlight w:val="none"/>
          <w:lang w:val="en-US" w:eastAsia="zh-CN"/>
        </w:rPr>
        <w:t>部门将专项资金拨付至乡镇后，不能一拨了之，要对项目资金使用情况年内至少例行检查一次以上，重点查看资金使用是否合理合规，确保资金精准见效。</w:t>
      </w: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bookmarkStart w:id="44" w:name="_GoBack"/>
      <w:bookmarkEnd w:id="44"/>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抗旱经费项目</w:t>
      </w:r>
      <w:r>
        <w:rPr>
          <w:rFonts w:hint="eastAsia" w:ascii="仿宋_GB2312" w:hAnsi="Times New Roman" w:eastAsia="仿宋_GB2312" w:cs="Times New Roman"/>
          <w:sz w:val="24"/>
          <w:szCs w:val="24"/>
        </w:rPr>
        <w:t>绩效评价报告附表</w:t>
      </w:r>
    </w:p>
    <w:p>
      <w:pPr>
        <w:tabs>
          <w:tab w:val="left" w:pos="1276"/>
        </w:tabs>
        <w:spacing w:line="560" w:lineRule="exact"/>
        <w:ind w:firstLine="529" w:firstLineChars="224"/>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lang w:eastAsia="zh-CN"/>
        </w:rPr>
        <w:t>2022</w:t>
      </w:r>
      <w:r>
        <w:rPr>
          <w:rFonts w:hint="eastAsia" w:ascii="仿宋_GB2312" w:hAnsi="Times New Roman" w:eastAsia="仿宋_GB2312" w:cs="Times New Roman"/>
          <w:sz w:val="24"/>
          <w:szCs w:val="24"/>
        </w:rPr>
        <w:t>年度</w:t>
      </w:r>
      <w:r>
        <w:rPr>
          <w:rFonts w:hint="eastAsia" w:ascii="仿宋_GB2312" w:hAnsi="Times New Roman" w:eastAsia="仿宋_GB2312" w:cs="Times New Roman"/>
          <w:sz w:val="24"/>
          <w:szCs w:val="24"/>
          <w:lang w:eastAsia="zh-CN"/>
        </w:rPr>
        <w:t>抗旱经费</w:t>
      </w:r>
      <w:r>
        <w:rPr>
          <w:rFonts w:hint="eastAsia" w:ascii="仿宋_GB2312" w:hAnsi="Times New Roman" w:eastAsia="仿宋_GB2312" w:cs="Times New Roman"/>
          <w:sz w:val="24"/>
          <w:szCs w:val="24"/>
        </w:rPr>
        <w:t>项目绩效评价-社会问卷调查统计分析表</w:t>
      </w:r>
    </w:p>
    <w:p>
      <w:pPr>
        <w:numPr>
          <w:ilvl w:val="0"/>
          <w:numId w:val="0"/>
        </w:numPr>
        <w:spacing w:line="560" w:lineRule="exact"/>
        <w:ind w:firstLine="472" w:firstLineChars="200"/>
        <w:rPr>
          <w:rFonts w:hint="eastAsia" w:ascii="仿宋_GB2312" w:hAnsi="Times New Roman" w:eastAsia="仿宋_GB2312" w:cs="Times New Roman"/>
          <w:sz w:val="24"/>
          <w:szCs w:val="24"/>
          <w:highlight w:val="none"/>
          <w:lang w:eastAsia="zh-CN"/>
        </w:rPr>
      </w:pPr>
    </w:p>
    <w:p>
      <w:pPr>
        <w:rPr>
          <w:rFonts w:hint="eastAsia" w:ascii="仿宋" w:hAnsi="仿宋" w:eastAsia="仿宋" w:cs="宋体"/>
          <w:color w:val="333333"/>
          <w:kern w:val="0"/>
          <w:sz w:val="30"/>
          <w:szCs w:val="30"/>
          <w:shd w:val="clear" w:color="auto" w:fill="FFFFFF"/>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pPr>
          <w:pStyle w:val="12"/>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抗旱</w:t>
    </w:r>
    <w:r>
      <w:rPr>
        <w:rFonts w:hint="eastAsia" w:ascii="仿宋_GB2312" w:hAnsi="仿宋" w:eastAsia="仿宋_GB2312"/>
        <w:b/>
        <w:bCs/>
      </w:rPr>
      <w:t>经费项目支出绩效评价报告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仿宋_GB2312" w:hAnsi="仿宋" w:eastAsia="仿宋_GB2312"/>
        <w:b/>
        <w:bCs/>
      </w:rPr>
    </w:pPr>
    <w:r>
      <w:rPr>
        <w:rFonts w:hint="eastAsia" w:ascii="仿宋_GB2312" w:hAnsi="仿宋" w:eastAsia="仿宋_GB2312"/>
        <w:b/>
        <w:bCs/>
      </w:rPr>
      <w:t>202</w:t>
    </w:r>
    <w:r>
      <w:rPr>
        <w:rFonts w:hint="eastAsia" w:ascii="仿宋_GB2312" w:hAnsi="仿宋" w:eastAsia="仿宋_GB2312"/>
        <w:b/>
        <w:bCs/>
        <w:lang w:val="en-US" w:eastAsia="zh-CN"/>
      </w:rPr>
      <w:t>2</w:t>
    </w:r>
    <w:r>
      <w:rPr>
        <w:rFonts w:hint="eastAsia" w:ascii="仿宋_GB2312" w:hAnsi="仿宋" w:eastAsia="仿宋_GB2312"/>
        <w:b/>
        <w:bCs/>
      </w:rPr>
      <w:t>年度</w:t>
    </w:r>
    <w:r>
      <w:rPr>
        <w:rFonts w:hint="eastAsia" w:ascii="仿宋_GB2312" w:hAnsi="仿宋" w:eastAsia="仿宋_GB2312"/>
        <w:b/>
        <w:bCs/>
        <w:lang w:eastAsia="zh-CN"/>
      </w:rPr>
      <w:t>抗旱</w:t>
    </w:r>
    <w:r>
      <w:rPr>
        <w:rFonts w:hint="eastAsia" w:ascii="仿宋_GB2312" w:hAnsi="仿宋" w:eastAsia="仿宋_GB2312"/>
        <w:b/>
        <w:bCs/>
      </w:rPr>
      <w:t>经费项目支出绩效评价报告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28B15B6F"/>
    <w:multiLevelType w:val="singleLevel"/>
    <w:tmpl w:val="28B15B6F"/>
    <w:lvl w:ilvl="0" w:tentative="0">
      <w:start w:val="3"/>
      <w:numFmt w:val="decimal"/>
      <w:suff w:val="space"/>
      <w:lvlText w:val="%1."/>
      <w:lvlJc w:val="left"/>
    </w:lvl>
  </w:abstractNum>
  <w:abstractNum w:abstractNumId="2">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632"/>
  <w:drawingGridHorizontalSpacing w:val="158"/>
  <w:drawingGridVerticalSpacing w:val="28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3F7766B"/>
    <w:rsid w:val="08270707"/>
    <w:rsid w:val="0BF20BC7"/>
    <w:rsid w:val="0EF70D88"/>
    <w:rsid w:val="108857DD"/>
    <w:rsid w:val="12205C5A"/>
    <w:rsid w:val="149366FD"/>
    <w:rsid w:val="169C77DB"/>
    <w:rsid w:val="16BF6B65"/>
    <w:rsid w:val="18B90B18"/>
    <w:rsid w:val="19B55CB5"/>
    <w:rsid w:val="1BAE4FBA"/>
    <w:rsid w:val="1CC3459D"/>
    <w:rsid w:val="1D94383A"/>
    <w:rsid w:val="1DBB0BD4"/>
    <w:rsid w:val="1EFA3C8E"/>
    <w:rsid w:val="1F303EDE"/>
    <w:rsid w:val="22EE18BA"/>
    <w:rsid w:val="26DB2051"/>
    <w:rsid w:val="287E411F"/>
    <w:rsid w:val="29CA4207"/>
    <w:rsid w:val="2A674B26"/>
    <w:rsid w:val="2B12252E"/>
    <w:rsid w:val="2E580034"/>
    <w:rsid w:val="315A58A5"/>
    <w:rsid w:val="31842820"/>
    <w:rsid w:val="32AC30CB"/>
    <w:rsid w:val="38331365"/>
    <w:rsid w:val="3A1824A9"/>
    <w:rsid w:val="400A452A"/>
    <w:rsid w:val="449E34D8"/>
    <w:rsid w:val="45FF682D"/>
    <w:rsid w:val="49867FE5"/>
    <w:rsid w:val="4B307F16"/>
    <w:rsid w:val="4B59774A"/>
    <w:rsid w:val="4D3D2031"/>
    <w:rsid w:val="542B2A09"/>
    <w:rsid w:val="56185141"/>
    <w:rsid w:val="564A5A5F"/>
    <w:rsid w:val="58F74A43"/>
    <w:rsid w:val="59BA30FE"/>
    <w:rsid w:val="5F737700"/>
    <w:rsid w:val="5FF50AB2"/>
    <w:rsid w:val="621C751E"/>
    <w:rsid w:val="62571DD5"/>
    <w:rsid w:val="687256FD"/>
    <w:rsid w:val="6C294EA0"/>
    <w:rsid w:val="6D8F2D6B"/>
    <w:rsid w:val="6FF32FBC"/>
    <w:rsid w:val="70B90334"/>
    <w:rsid w:val="73E958DB"/>
    <w:rsid w:val="79C76287"/>
    <w:rsid w:val="7C906D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7">
    <w:name w:val="heading 1"/>
    <w:basedOn w:val="1"/>
    <w:next w:val="1"/>
    <w:link w:val="25"/>
    <w:qFormat/>
    <w:uiPriority w:val="9"/>
    <w:pPr>
      <w:keepNext/>
      <w:keepLines/>
      <w:spacing w:before="340" w:after="330" w:line="578" w:lineRule="auto"/>
      <w:outlineLvl w:val="0"/>
    </w:pPr>
    <w:rPr>
      <w:b/>
      <w:bCs/>
      <w:kern w:val="44"/>
      <w:sz w:val="44"/>
      <w:szCs w:val="4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style>
  <w:style w:type="paragraph" w:styleId="3">
    <w:name w:val="Body Text Indent"/>
    <w:basedOn w:val="1"/>
    <w:next w:val="4"/>
    <w:unhideWhenUsed/>
    <w:qFormat/>
    <w:uiPriority w:val="99"/>
    <w:pPr>
      <w:ind w:left="420" w:leftChars="200"/>
    </w:pPr>
  </w:style>
  <w:style w:type="paragraph" w:styleId="4">
    <w:name w:val="envelope return"/>
    <w:basedOn w:val="1"/>
    <w:qFormat/>
    <w:uiPriority w:val="0"/>
    <w:pPr>
      <w:snapToGrid w:val="0"/>
    </w:pPr>
    <w:rPr>
      <w:rFonts w:ascii="Arial" w:hAnsi="Arial" w:cs="Arial"/>
      <w:szCs w:val="24"/>
    </w:rPr>
  </w:style>
  <w:style w:type="paragraph" w:styleId="5">
    <w:name w:val="Body Text First Indent"/>
    <w:basedOn w:val="6"/>
    <w:unhideWhenUsed/>
    <w:qFormat/>
    <w:uiPriority w:val="99"/>
    <w:pPr>
      <w:ind w:firstLine="420" w:firstLineChars="100"/>
    </w:pPr>
    <w:rPr>
      <w:rFonts w:ascii="Times New Roman" w:hAnsi="Times New Roman" w:eastAsia="宋体"/>
      <w:szCs w:val="24"/>
    </w:rPr>
  </w:style>
  <w:style w:type="paragraph" w:styleId="6">
    <w:name w:val="Body Text"/>
    <w:basedOn w:val="1"/>
    <w:link w:val="24"/>
    <w:qFormat/>
    <w:uiPriority w:val="0"/>
    <w:pPr>
      <w:spacing w:after="120"/>
    </w:pPr>
    <w:rPr>
      <w:rFonts w:ascii="Times New Roman" w:hAnsi="Times New Roman" w:eastAsia="仿宋_GB2312" w:cs="Times New Roman"/>
      <w:sz w:val="30"/>
      <w:szCs w:val="24"/>
    </w:rPr>
  </w:style>
  <w:style w:type="paragraph" w:styleId="8">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9">
    <w:name w:val="Date"/>
    <w:basedOn w:val="1"/>
    <w:next w:val="1"/>
    <w:link w:val="21"/>
    <w:semiHidden/>
    <w:unhideWhenUsed/>
    <w:qFormat/>
    <w:uiPriority w:val="99"/>
    <w:pPr>
      <w:ind w:left="100" w:leftChars="2500"/>
    </w:pPr>
  </w:style>
  <w:style w:type="paragraph" w:styleId="10">
    <w:name w:val="Body Text Indent 2"/>
    <w:basedOn w:val="1"/>
    <w:qFormat/>
    <w:uiPriority w:val="0"/>
    <w:pPr>
      <w:spacing w:line="590" w:lineRule="exact"/>
      <w:ind w:firstLine="880" w:firstLineChars="200"/>
    </w:pPr>
    <w:rPr>
      <w:rFonts w:ascii="Times New Roman" w:hAnsi="Times New Roman" w:eastAsia="方正仿宋_GBK"/>
    </w:rPr>
  </w:style>
  <w:style w:type="paragraph" w:styleId="11">
    <w:name w:val="Balloon Text"/>
    <w:basedOn w:val="1"/>
    <w:link w:val="29"/>
    <w:semiHidden/>
    <w:unhideWhenUsed/>
    <w:qFormat/>
    <w:uiPriority w:val="99"/>
    <w:rPr>
      <w:sz w:val="18"/>
      <w:szCs w:val="18"/>
    </w:rPr>
  </w:style>
  <w:style w:type="paragraph" w:styleId="12">
    <w:name w:val="footer"/>
    <w:basedOn w:val="1"/>
    <w:link w:val="23"/>
    <w:unhideWhenUsed/>
    <w:qFormat/>
    <w:uiPriority w:val="99"/>
    <w:pPr>
      <w:tabs>
        <w:tab w:val="center" w:pos="4153"/>
        <w:tab w:val="right" w:pos="8306"/>
      </w:tabs>
      <w:snapToGrid w:val="0"/>
      <w:jc w:val="left"/>
    </w:pPr>
    <w:rPr>
      <w:sz w:val="18"/>
      <w:szCs w:val="18"/>
    </w:rPr>
  </w:style>
  <w:style w:type="paragraph" w:styleId="13">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5">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paragraph" w:styleId="1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hAnsi="宋体" w:eastAsia="宋体" w:cs="宋体"/>
      <w:sz w:val="24"/>
      <w:szCs w:val="24"/>
    </w:rPr>
  </w:style>
  <w:style w:type="paragraph" w:styleId="17">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日期 Char"/>
    <w:basedOn w:val="20"/>
    <w:link w:val="9"/>
    <w:semiHidden/>
    <w:qFormat/>
    <w:uiPriority w:val="99"/>
  </w:style>
  <w:style w:type="character" w:customStyle="1" w:styleId="22">
    <w:name w:val="页眉 Char"/>
    <w:basedOn w:val="20"/>
    <w:link w:val="13"/>
    <w:qFormat/>
    <w:uiPriority w:val="99"/>
    <w:rPr>
      <w:sz w:val="18"/>
      <w:szCs w:val="18"/>
    </w:rPr>
  </w:style>
  <w:style w:type="character" w:customStyle="1" w:styleId="23">
    <w:name w:val="页脚 Char"/>
    <w:basedOn w:val="20"/>
    <w:link w:val="12"/>
    <w:qFormat/>
    <w:uiPriority w:val="99"/>
    <w:rPr>
      <w:sz w:val="18"/>
      <w:szCs w:val="18"/>
    </w:rPr>
  </w:style>
  <w:style w:type="character" w:customStyle="1" w:styleId="24">
    <w:name w:val="正文文本 Char"/>
    <w:basedOn w:val="20"/>
    <w:link w:val="6"/>
    <w:qFormat/>
    <w:uiPriority w:val="0"/>
    <w:rPr>
      <w:rFonts w:ascii="Times New Roman" w:hAnsi="Times New Roman" w:eastAsia="仿宋_GB2312" w:cs="Times New Roman"/>
      <w:sz w:val="30"/>
      <w:szCs w:val="24"/>
    </w:rPr>
  </w:style>
  <w:style w:type="character" w:customStyle="1" w:styleId="25">
    <w:name w:val="标题 1 Char"/>
    <w:basedOn w:val="20"/>
    <w:link w:val="7"/>
    <w:qFormat/>
    <w:uiPriority w:val="9"/>
    <w:rPr>
      <w:rFonts w:eastAsia="仿宋"/>
      <w:b/>
      <w:bCs/>
      <w:kern w:val="44"/>
      <w:sz w:val="44"/>
      <w:szCs w:val="44"/>
    </w:rPr>
  </w:style>
  <w:style w:type="paragraph" w:customStyle="1" w:styleId="26">
    <w:name w:val="TOC 标题1"/>
    <w:basedOn w:val="7"/>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批注框文本 Char"/>
    <w:basedOn w:val="20"/>
    <w:link w:val="11"/>
    <w:semiHidden/>
    <w:qFormat/>
    <w:uiPriority w:val="99"/>
    <w:rPr>
      <w:rFonts w:eastAsia="仿宋" w:asciiTheme="minorHAnsi" w:hAnsiTheme="minorHAnsi" w:cstheme="minorBidi"/>
      <w:kern w:val="2"/>
      <w:sz w:val="18"/>
      <w:szCs w:val="18"/>
    </w:rPr>
  </w:style>
  <w:style w:type="character" w:customStyle="1" w:styleId="30">
    <w:name w:val="font51"/>
    <w:basedOn w:val="20"/>
    <w:qFormat/>
    <w:uiPriority w:val="0"/>
    <w:rPr>
      <w:rFonts w:hint="eastAsia" w:ascii="宋体" w:hAnsi="宋体" w:eastAsia="宋体" w:cs="宋体"/>
      <w:color w:val="000000"/>
      <w:sz w:val="24"/>
      <w:szCs w:val="24"/>
      <w:u w:val="none"/>
    </w:rPr>
  </w:style>
  <w:style w:type="paragraph" w:styleId="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CA46-D2A0-4D32-B080-334EE174DA65}">
  <ds:schemaRefs/>
</ds:datastoreItem>
</file>

<file path=docProps/app.xml><?xml version="1.0" encoding="utf-8"?>
<Properties xmlns="http://schemas.openxmlformats.org/officeDocument/2006/extended-properties" xmlns:vt="http://schemas.openxmlformats.org/officeDocument/2006/docPropsVTypes">
  <Template>Normal</Template>
  <Pages>28</Pages>
  <Words>12747</Words>
  <Characters>13686</Characters>
  <Lines>121</Lines>
  <Paragraphs>34</Paragraphs>
  <TotalTime>1</TotalTime>
  <ScaleCrop>false</ScaleCrop>
  <LinksUpToDate>false</LinksUpToDate>
  <CharactersWithSpaces>13815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gyb1</cp:lastModifiedBy>
  <cp:lastPrinted>2021-09-17T02:40:00Z</cp:lastPrinted>
  <dcterms:modified xsi:type="dcterms:W3CDTF">2023-11-20T07:08:43Z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EA6134CA7D3846469E36FC504B591C6B</vt:lpwstr>
  </property>
</Properties>
</file>