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关于《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怀远县自然灾害救助应急预案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(征求意见稿）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》的起草说明</w:t>
      </w:r>
    </w:p>
    <w:bookmarkEnd w:id="2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起草背景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文件精神，结合我县实际，起草了《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怀远县自然灾害救助应急预案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(征求意见稿）》（以下简称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预案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本《预案》共八部分：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第一部分是总则。明确了编制目的、编制依据、工作原则与适用范围。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第二部分是组织指挥体系。明确了县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安全生产（防灾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减灾救灾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职责，同时对救灾工作组职责分工进行了规定。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第三部分是灾害救助准备。对预警的程序进行了说明。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第四部分是灾情信息报告和发布。明确了信息报告制度与信息发布制度。强调对于突发性自然灾害，县应急管理局在灾害发生或接报灾害信息后，2小时内将灾情和救灾工作情况向县人民政府和市应急局报告，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接到重特大自然灾害事件报告后，县应急管理部门应第一时间向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党委和政府以及上级应急管理部门报告，同时通过电话或国家应急指挥综合业务系统及时向应急管理部报告。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第五部分是分级响应。根据自然灾害的危害程度等因素，县级自然灾害救助应急响应由轻到重分为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同时明确了各级响应的启动条件、启动程序、响应措施、响应调整以及终止程序。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第六部分是灾后救助与恢复重建。对过渡性生活救助以及倒损住房恢复重建进行简要说明，重点明确了冬春救助工作内容与实施方法。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第七部分是保障措施。对资金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物资保障、通信和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装备和设施保障、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资源保障、社会动员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科技保障以及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培训进行详细说明。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第八部分是附则。重点对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责任与奖惩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、预案管理进行了强调。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Toc16376"/>
      <w:bookmarkStart w:id="1" w:name="_Toc23066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三、依据和起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草过程</w:t>
      </w:r>
      <w:bookmarkEnd w:id="0"/>
      <w:bookmarkEnd w:id="1"/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（一）制定依据：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《中华人民共和国突发事件应对法》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《中华人民共和国防洪法》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《中华人民共和国防震减灾法》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《中华人民共和国气象法》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《自然灾害救助条例》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《中华人民共和国抗旱条例》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《国家自然灾害救助应急预案》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《安徽省自然灾害救助办法》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《安徽省突发事件总体应急预案》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《安徽省自然灾害救助应急预案》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蚌埠市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自然灾害救助应急预案》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《蚌埠市突发事件总体应急预案》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怀远县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突发事件总体应急预案》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（二）起草过程：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为做好《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预案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》起草工作，根据上级文件精神及工作部署，县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组织人员认真研究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上级文件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，同时结合我县实际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并参考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相关文件形成初稿后，依据稿件所涉及的内容广泛征求了相关单位的意见，在对反馈的意见进行梳理、研究的基础上，形成最终的《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预案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征求意见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四、征求意见情况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我局于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2025年7月15日－8月15日，征求公众意见。同步书面征求各乡镇（街道）和县直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有关单位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意见。目前正在征集中。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F60C4"/>
    <w:rsid w:val="025E376E"/>
    <w:rsid w:val="056029B1"/>
    <w:rsid w:val="07846A70"/>
    <w:rsid w:val="108C49E1"/>
    <w:rsid w:val="15842EAB"/>
    <w:rsid w:val="1BB1678A"/>
    <w:rsid w:val="1EC05E52"/>
    <w:rsid w:val="214E444F"/>
    <w:rsid w:val="22CC58BC"/>
    <w:rsid w:val="25497E99"/>
    <w:rsid w:val="27044AA3"/>
    <w:rsid w:val="290218F1"/>
    <w:rsid w:val="298A5FEF"/>
    <w:rsid w:val="2B7009E7"/>
    <w:rsid w:val="31FC4DB3"/>
    <w:rsid w:val="39064642"/>
    <w:rsid w:val="39CF60C4"/>
    <w:rsid w:val="41314EA2"/>
    <w:rsid w:val="43B93F05"/>
    <w:rsid w:val="44DD7714"/>
    <w:rsid w:val="46BF1843"/>
    <w:rsid w:val="4D18182F"/>
    <w:rsid w:val="4E7B6989"/>
    <w:rsid w:val="4FB83094"/>
    <w:rsid w:val="50302DF8"/>
    <w:rsid w:val="571F5E76"/>
    <w:rsid w:val="59A721FC"/>
    <w:rsid w:val="59C76DFC"/>
    <w:rsid w:val="602B200B"/>
    <w:rsid w:val="65B838F4"/>
    <w:rsid w:val="6887386A"/>
    <w:rsid w:val="72F37658"/>
    <w:rsid w:val="76350147"/>
    <w:rsid w:val="768B2C81"/>
    <w:rsid w:val="778C6D04"/>
    <w:rsid w:val="789B5E7E"/>
    <w:rsid w:val="7A3240FC"/>
    <w:rsid w:val="7DF83F6C"/>
    <w:rsid w:val="7FC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2025-09-10T01:59:00Z</dcterms:created>
  <dc:creator>应急局收文员</dc:creator>
  <cp:lastModifiedBy>应急局收文员</cp:lastModifiedBy>
  <dcterms:modified xsi:type="dcterms:W3CDTF">2025-09-10T01:59:59Z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