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E5232">
      <w:pPr>
        <w:keepNext w:val="0"/>
        <w:keepLines w:val="0"/>
        <w:pageBreakBefore w:val="0"/>
        <w:widowControl/>
        <w:shd w:val="clear" w:color="auto" w:fill="FFFFFF"/>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 </w:t>
      </w:r>
    </w:p>
    <w:p w14:paraId="5A3E433B">
      <w:pPr>
        <w:keepNext w:val="0"/>
        <w:keepLines w:val="0"/>
        <w:pageBreakBefore w:val="0"/>
        <w:widowControl/>
        <w:shd w:val="clear" w:color="auto" w:fill="FFFFFF"/>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0"/>
          <w:sz w:val="24"/>
          <w:szCs w:val="24"/>
          <w:highlight w:val="none"/>
        </w:rPr>
      </w:pPr>
    </w:p>
    <w:p w14:paraId="2345884F">
      <w:pPr>
        <w:keepNext w:val="0"/>
        <w:keepLines w:val="0"/>
        <w:pageBreakBefore w:val="0"/>
        <w:widowControl/>
        <w:shd w:val="clear" w:color="auto" w:fill="FFFFFF"/>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0"/>
          <w:sz w:val="24"/>
          <w:szCs w:val="24"/>
          <w:highlight w:val="none"/>
        </w:rPr>
      </w:pPr>
    </w:p>
    <w:p w14:paraId="29FEB19D">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黑体" w:hAnsi="黑体" w:eastAsia="黑体" w:cs="黑体"/>
          <w:b w:val="0"/>
          <w:bCs w:val="0"/>
          <w:color w:val="auto"/>
          <w:kern w:val="0"/>
          <w:sz w:val="32"/>
          <w:szCs w:val="32"/>
          <w:highlight w:val="none"/>
          <w:lang w:val="en-US" w:eastAsia="zh-CN"/>
        </w:rPr>
      </w:pPr>
    </w:p>
    <w:p w14:paraId="71E1BDC9">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黑体" w:hAnsi="黑体" w:eastAsia="黑体" w:cs="黑体"/>
          <w:b w:val="0"/>
          <w:bCs w:val="0"/>
          <w:color w:val="auto"/>
          <w:kern w:val="0"/>
          <w:sz w:val="32"/>
          <w:szCs w:val="32"/>
          <w:highlight w:val="none"/>
          <w:lang w:val="en-US" w:eastAsia="zh-CN"/>
        </w:rPr>
      </w:pPr>
      <w:r>
        <w:rPr>
          <w:rFonts w:hint="eastAsia" w:ascii="黑体" w:hAnsi="黑体" w:eastAsia="黑体" w:cs="黑体"/>
          <w:b w:val="0"/>
          <w:bCs w:val="0"/>
          <w:color w:val="auto"/>
          <w:kern w:val="0"/>
          <w:sz w:val="32"/>
          <w:szCs w:val="32"/>
          <w:highlight w:val="none"/>
          <w:lang w:val="en-US" w:eastAsia="zh-CN"/>
        </w:rPr>
        <w:t xml:space="preserve">怀远县农业农村局2023年度涡河航道治理经费       </w:t>
      </w:r>
      <w:r>
        <w:rPr>
          <w:rFonts w:hint="eastAsia" w:ascii="黑体" w:hAnsi="黑体" w:eastAsia="黑体" w:cs="黑体"/>
          <w:b w:val="0"/>
          <w:bCs w:val="0"/>
          <w:color w:val="auto"/>
          <w:kern w:val="0"/>
          <w:sz w:val="32"/>
          <w:szCs w:val="32"/>
          <w:highlight w:val="none"/>
        </w:rPr>
        <w:t xml:space="preserve"> </w:t>
      </w:r>
      <w:r>
        <w:rPr>
          <w:rFonts w:hint="eastAsia" w:ascii="黑体" w:hAnsi="黑体" w:eastAsia="黑体" w:cs="黑体"/>
          <w:b w:val="0"/>
          <w:bCs w:val="0"/>
          <w:color w:val="auto"/>
          <w:kern w:val="0"/>
          <w:sz w:val="32"/>
          <w:szCs w:val="32"/>
          <w:highlight w:val="none"/>
          <w:lang w:val="en-US" w:eastAsia="zh-CN"/>
        </w:rPr>
        <w:t xml:space="preserve">              </w:t>
      </w:r>
    </w:p>
    <w:p w14:paraId="1F965A37">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2528" w:firstLineChars="800"/>
        <w:jc w:val="both"/>
        <w:rPr>
          <w:rFonts w:hint="eastAsia" w:ascii="黑体" w:hAnsi="黑体" w:eastAsia="黑体" w:cs="黑体"/>
          <w:b w:val="0"/>
          <w:bCs w:val="0"/>
          <w:color w:val="auto"/>
          <w:kern w:val="0"/>
          <w:sz w:val="32"/>
          <w:szCs w:val="32"/>
          <w:highlight w:val="none"/>
        </w:rPr>
      </w:pPr>
      <w:r>
        <w:rPr>
          <w:rFonts w:hint="eastAsia" w:ascii="黑体" w:hAnsi="黑体" w:eastAsia="黑体" w:cs="黑体"/>
          <w:b w:val="0"/>
          <w:bCs w:val="0"/>
          <w:color w:val="auto"/>
          <w:kern w:val="0"/>
          <w:sz w:val="32"/>
          <w:szCs w:val="32"/>
          <w:highlight w:val="none"/>
        </w:rPr>
        <w:t>项目支出绩效评价报告</w:t>
      </w:r>
    </w:p>
    <w:p w14:paraId="3EA446F6">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黑体" w:hAnsi="黑体" w:eastAsia="黑体" w:cs="黑体"/>
          <w:b w:val="0"/>
          <w:bCs w:val="0"/>
          <w:color w:val="auto"/>
          <w:kern w:val="0"/>
          <w:sz w:val="32"/>
          <w:szCs w:val="32"/>
          <w:highlight w:val="none"/>
        </w:rPr>
      </w:pPr>
      <w:r>
        <w:rPr>
          <w:rFonts w:hint="eastAsia" w:ascii="黑体" w:hAnsi="黑体" w:eastAsia="黑体" w:cs="黑体"/>
          <w:b w:val="0"/>
          <w:bCs w:val="0"/>
          <w:color w:val="auto"/>
          <w:kern w:val="0"/>
          <w:sz w:val="32"/>
          <w:szCs w:val="32"/>
          <w:highlight w:val="none"/>
        </w:rPr>
        <w:t> </w:t>
      </w:r>
    </w:p>
    <w:p w14:paraId="46158583">
      <w:pPr>
        <w:keepNext w:val="0"/>
        <w:keepLines w:val="0"/>
        <w:pageBreakBefore w:val="0"/>
        <w:widowControl/>
        <w:suppressLineNumbers w:val="0"/>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sz w:val="24"/>
          <w:szCs w:val="24"/>
          <w:highlight w:val="none"/>
        </w:rPr>
      </w:pPr>
    </w:p>
    <w:p w14:paraId="1DC5C822">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p>
    <w:p w14:paraId="5CA9D61F">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p>
    <w:p w14:paraId="11E45597">
      <w:pPr>
        <w:keepNext w:val="0"/>
        <w:keepLines w:val="0"/>
        <w:pageBreakBefore w:val="0"/>
        <w:kinsoku/>
        <w:wordWrap/>
        <w:overflowPunct/>
        <w:topLinePunct w:val="0"/>
        <w:autoSpaceDE/>
        <w:autoSpaceDN/>
        <w:bidi w:val="0"/>
        <w:adjustRightInd/>
        <w:snapToGrid/>
        <w:spacing w:line="560" w:lineRule="exact"/>
        <w:ind w:firstLine="1656" w:firstLineChars="600"/>
        <w:rPr>
          <w:rFonts w:hint="eastAsia" w:ascii="楷体_GB2312" w:hAnsi="楷体_GB2312" w:eastAsia="楷体_GB2312" w:cs="楷体_GB2312"/>
          <w:b w:val="0"/>
          <w:bCs w:val="0"/>
          <w:color w:val="auto"/>
          <w:sz w:val="28"/>
          <w:szCs w:val="28"/>
          <w:highlight w:val="none"/>
        </w:rPr>
      </w:pPr>
      <w:r>
        <w:rPr>
          <w:rFonts w:hint="eastAsia" w:ascii="楷体_GB2312" w:hAnsi="楷体_GB2312" w:eastAsia="楷体_GB2312" w:cs="楷体_GB2312"/>
          <w:b w:val="0"/>
          <w:bCs w:val="0"/>
          <w:color w:val="auto"/>
          <w:sz w:val="28"/>
          <w:szCs w:val="28"/>
          <w:highlight w:val="none"/>
        </w:rPr>
        <w:t>项目主管部门：怀远县农业农村局</w:t>
      </w:r>
    </w:p>
    <w:p w14:paraId="5C7E318D">
      <w:pPr>
        <w:keepNext w:val="0"/>
        <w:keepLines w:val="0"/>
        <w:pageBreakBefore w:val="0"/>
        <w:kinsoku/>
        <w:wordWrap/>
        <w:overflowPunct/>
        <w:topLinePunct w:val="0"/>
        <w:autoSpaceDE/>
        <w:autoSpaceDN/>
        <w:bidi w:val="0"/>
        <w:adjustRightInd/>
        <w:snapToGrid/>
        <w:spacing w:line="560" w:lineRule="exact"/>
        <w:ind w:firstLine="1656" w:firstLineChars="600"/>
        <w:rPr>
          <w:rFonts w:hint="eastAsia" w:ascii="楷体_GB2312" w:hAnsi="楷体_GB2312" w:eastAsia="楷体_GB2312" w:cs="楷体_GB2312"/>
          <w:b w:val="0"/>
          <w:bCs w:val="0"/>
          <w:color w:val="auto"/>
          <w:sz w:val="28"/>
          <w:szCs w:val="28"/>
          <w:highlight w:val="none"/>
        </w:rPr>
      </w:pPr>
      <w:r>
        <w:rPr>
          <w:rFonts w:hint="eastAsia" w:ascii="楷体_GB2312" w:hAnsi="楷体_GB2312" w:eastAsia="楷体_GB2312" w:cs="楷体_GB2312"/>
          <w:b w:val="0"/>
          <w:bCs w:val="0"/>
          <w:color w:val="auto"/>
          <w:sz w:val="28"/>
          <w:szCs w:val="28"/>
          <w:highlight w:val="none"/>
        </w:rPr>
        <w:t>项目实施单位：怀远县农业综合行政执法大队</w:t>
      </w:r>
    </w:p>
    <w:p w14:paraId="1BC57A5F">
      <w:pPr>
        <w:keepNext w:val="0"/>
        <w:keepLines w:val="0"/>
        <w:pageBreakBefore w:val="0"/>
        <w:kinsoku/>
        <w:wordWrap/>
        <w:overflowPunct/>
        <w:topLinePunct w:val="0"/>
        <w:autoSpaceDE/>
        <w:autoSpaceDN/>
        <w:bidi w:val="0"/>
        <w:adjustRightInd/>
        <w:snapToGrid/>
        <w:spacing w:line="560" w:lineRule="exact"/>
        <w:ind w:firstLine="1656" w:firstLineChars="600"/>
        <w:rPr>
          <w:rFonts w:hint="eastAsia" w:ascii="楷体_GB2312" w:hAnsi="楷体_GB2312" w:eastAsia="楷体_GB2312" w:cs="楷体_GB2312"/>
          <w:b w:val="0"/>
          <w:bCs w:val="0"/>
          <w:color w:val="auto"/>
          <w:sz w:val="28"/>
          <w:szCs w:val="28"/>
          <w:highlight w:val="none"/>
        </w:rPr>
      </w:pPr>
      <w:r>
        <w:rPr>
          <w:rFonts w:hint="eastAsia" w:ascii="楷体_GB2312" w:hAnsi="楷体_GB2312" w:eastAsia="楷体_GB2312" w:cs="楷体_GB2312"/>
          <w:b w:val="0"/>
          <w:bCs w:val="0"/>
          <w:color w:val="auto"/>
          <w:sz w:val="28"/>
          <w:szCs w:val="28"/>
          <w:highlight w:val="none"/>
        </w:rPr>
        <w:t>委托单位：</w:t>
      </w:r>
      <w:r>
        <w:rPr>
          <w:rFonts w:hint="eastAsia" w:ascii="楷体_GB2312" w:hAnsi="楷体_GB2312" w:eastAsia="楷体_GB2312" w:cs="楷体_GB2312"/>
          <w:b w:val="0"/>
          <w:bCs w:val="0"/>
          <w:color w:val="auto"/>
          <w:sz w:val="28"/>
          <w:szCs w:val="28"/>
          <w:highlight w:val="none"/>
          <w:lang w:val="en-US" w:eastAsia="zh-CN"/>
        </w:rPr>
        <w:t>怀远县</w:t>
      </w:r>
      <w:r>
        <w:rPr>
          <w:rFonts w:hint="eastAsia" w:ascii="楷体_GB2312" w:hAnsi="楷体_GB2312" w:eastAsia="楷体_GB2312" w:cs="楷体_GB2312"/>
          <w:b w:val="0"/>
          <w:bCs w:val="0"/>
          <w:color w:val="auto"/>
          <w:sz w:val="28"/>
          <w:szCs w:val="28"/>
          <w:highlight w:val="none"/>
        </w:rPr>
        <w:t>财政局</w:t>
      </w:r>
    </w:p>
    <w:p w14:paraId="5C9285C1">
      <w:pPr>
        <w:keepNext w:val="0"/>
        <w:keepLines w:val="0"/>
        <w:pageBreakBefore w:val="0"/>
        <w:kinsoku/>
        <w:wordWrap/>
        <w:overflowPunct/>
        <w:topLinePunct w:val="0"/>
        <w:autoSpaceDE/>
        <w:autoSpaceDN/>
        <w:bidi w:val="0"/>
        <w:adjustRightInd/>
        <w:snapToGrid/>
        <w:spacing w:line="560" w:lineRule="exact"/>
        <w:ind w:firstLine="1656" w:firstLineChars="600"/>
        <w:rPr>
          <w:rFonts w:hint="eastAsia" w:ascii="楷体_GB2312" w:hAnsi="楷体_GB2312" w:eastAsia="楷体_GB2312" w:cs="楷体_GB2312"/>
          <w:b w:val="0"/>
          <w:bCs w:val="0"/>
          <w:color w:val="auto"/>
          <w:sz w:val="28"/>
          <w:szCs w:val="28"/>
          <w:highlight w:val="none"/>
          <w:lang w:val="en-US" w:eastAsia="zh-CN"/>
        </w:rPr>
      </w:pPr>
      <w:r>
        <w:rPr>
          <w:rFonts w:hint="eastAsia" w:ascii="楷体_GB2312" w:hAnsi="楷体_GB2312" w:eastAsia="楷体_GB2312" w:cs="楷体_GB2312"/>
          <w:b w:val="0"/>
          <w:bCs w:val="0"/>
          <w:color w:val="auto"/>
          <w:sz w:val="28"/>
          <w:szCs w:val="28"/>
          <w:highlight w:val="none"/>
        </w:rPr>
        <w:t>评价单位：</w:t>
      </w:r>
      <w:r>
        <w:rPr>
          <w:rFonts w:hint="eastAsia" w:ascii="楷体_GB2312" w:hAnsi="楷体_GB2312" w:eastAsia="楷体_GB2312" w:cs="楷体_GB2312"/>
          <w:b w:val="0"/>
          <w:bCs w:val="0"/>
          <w:color w:val="auto"/>
          <w:sz w:val="28"/>
          <w:szCs w:val="28"/>
          <w:highlight w:val="none"/>
          <w:lang w:val="en-US" w:eastAsia="zh-CN"/>
        </w:rPr>
        <w:t>安徽乔峰信息科技有限公司</w:t>
      </w:r>
    </w:p>
    <w:p w14:paraId="53771630">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楷体_GB2312" w:hAnsi="楷体_GB2312" w:eastAsia="楷体_GB2312" w:cs="楷体_GB2312"/>
          <w:b w:val="0"/>
          <w:bCs w:val="0"/>
          <w:color w:val="auto"/>
          <w:kern w:val="0"/>
          <w:sz w:val="28"/>
          <w:szCs w:val="28"/>
          <w:highlight w:val="none"/>
        </w:rPr>
      </w:pPr>
      <w:r>
        <w:rPr>
          <w:rFonts w:hint="eastAsia" w:ascii="楷体_GB2312" w:hAnsi="楷体_GB2312" w:eastAsia="楷体_GB2312" w:cs="楷体_GB2312"/>
          <w:b w:val="0"/>
          <w:bCs w:val="0"/>
          <w:color w:val="auto"/>
          <w:kern w:val="0"/>
          <w:sz w:val="28"/>
          <w:szCs w:val="28"/>
          <w:highlight w:val="none"/>
        </w:rPr>
        <w:t> </w:t>
      </w:r>
    </w:p>
    <w:p w14:paraId="013115C7">
      <w:pPr>
        <w:keepNext w:val="0"/>
        <w:keepLines w:val="0"/>
        <w:pageBreakBefore w:val="0"/>
        <w:kinsoku/>
        <w:wordWrap/>
        <w:overflowPunct/>
        <w:topLinePunct w:val="0"/>
        <w:autoSpaceDE/>
        <w:autoSpaceDN/>
        <w:bidi w:val="0"/>
        <w:adjustRightInd/>
        <w:snapToGrid/>
        <w:spacing w:line="560" w:lineRule="exact"/>
        <w:ind w:firstLine="2760" w:firstLineChars="1000"/>
        <w:rPr>
          <w:rFonts w:hint="eastAsia" w:ascii="楷体_GB2312" w:hAnsi="楷体_GB2312" w:eastAsia="楷体_GB2312" w:cs="楷体_GB2312"/>
          <w:b w:val="0"/>
          <w:bCs w:val="0"/>
          <w:color w:val="auto"/>
          <w:sz w:val="28"/>
          <w:szCs w:val="28"/>
          <w:highlight w:val="none"/>
          <w:lang w:val="en-US" w:eastAsia="zh-CN"/>
        </w:rPr>
      </w:pPr>
      <w:r>
        <w:rPr>
          <w:rFonts w:hint="eastAsia" w:ascii="楷体_GB2312" w:hAnsi="楷体_GB2312" w:eastAsia="楷体_GB2312" w:cs="楷体_GB2312"/>
          <w:b w:val="0"/>
          <w:bCs w:val="0"/>
          <w:color w:val="auto"/>
          <w:sz w:val="28"/>
          <w:szCs w:val="28"/>
          <w:highlight w:val="none"/>
          <w:lang w:val="en-US" w:eastAsia="zh-CN"/>
        </w:rPr>
        <w:t>2024年12月</w:t>
      </w:r>
    </w:p>
    <w:p w14:paraId="26D077F3">
      <w:pPr>
        <w:keepNext w:val="0"/>
        <w:keepLines w:val="0"/>
        <w:pageBreakBefore w:val="0"/>
        <w:kinsoku/>
        <w:wordWrap/>
        <w:overflowPunct/>
        <w:topLinePunct w:val="0"/>
        <w:autoSpaceDE/>
        <w:autoSpaceDN/>
        <w:bidi w:val="0"/>
        <w:adjustRightInd/>
        <w:snapToGrid/>
        <w:spacing w:line="560" w:lineRule="exact"/>
        <w:ind w:firstLine="2360" w:firstLineChars="1000"/>
        <w:rPr>
          <w:rFonts w:hint="eastAsia" w:ascii="仿宋_GB2312" w:hAnsi="仿宋_GB2312" w:eastAsia="仿宋_GB2312" w:cs="仿宋_GB2312"/>
          <w:b w:val="0"/>
          <w:bCs w:val="0"/>
          <w:color w:val="auto"/>
          <w:sz w:val="24"/>
          <w:szCs w:val="24"/>
          <w:highlight w:val="none"/>
          <w:lang w:val="en-US" w:eastAsia="zh-CN"/>
        </w:rPr>
      </w:pPr>
    </w:p>
    <w:p w14:paraId="6D315F61">
      <w:pPr>
        <w:keepNext w:val="0"/>
        <w:keepLines w:val="0"/>
        <w:pageBreakBefore w:val="0"/>
        <w:kinsoku/>
        <w:wordWrap/>
        <w:overflowPunct/>
        <w:topLinePunct w:val="0"/>
        <w:autoSpaceDE/>
        <w:autoSpaceDN/>
        <w:bidi w:val="0"/>
        <w:adjustRightInd/>
        <w:snapToGrid/>
        <w:spacing w:line="560" w:lineRule="exact"/>
        <w:ind w:firstLine="2360" w:firstLineChars="1000"/>
        <w:rPr>
          <w:rFonts w:hint="eastAsia" w:ascii="仿宋_GB2312" w:hAnsi="仿宋_GB2312" w:eastAsia="仿宋_GB2312" w:cs="仿宋_GB2312"/>
          <w:b w:val="0"/>
          <w:bCs w:val="0"/>
          <w:color w:val="auto"/>
          <w:sz w:val="24"/>
          <w:szCs w:val="24"/>
          <w:highlight w:val="none"/>
          <w:lang w:val="en-US" w:eastAsia="zh-CN"/>
        </w:rPr>
      </w:pPr>
    </w:p>
    <w:p w14:paraId="23979868">
      <w:pPr>
        <w:keepNext w:val="0"/>
        <w:keepLines w:val="0"/>
        <w:pageBreakBefore w:val="0"/>
        <w:kinsoku/>
        <w:wordWrap/>
        <w:overflowPunct/>
        <w:topLinePunct w:val="0"/>
        <w:autoSpaceDE/>
        <w:autoSpaceDN/>
        <w:bidi w:val="0"/>
        <w:adjustRightInd/>
        <w:snapToGrid/>
        <w:spacing w:line="560" w:lineRule="exact"/>
        <w:ind w:firstLine="2360" w:firstLineChars="1000"/>
        <w:rPr>
          <w:rFonts w:hint="eastAsia" w:ascii="仿宋_GB2312" w:hAnsi="仿宋_GB2312" w:eastAsia="仿宋_GB2312" w:cs="仿宋_GB2312"/>
          <w:b w:val="0"/>
          <w:bCs w:val="0"/>
          <w:color w:val="auto"/>
          <w:sz w:val="24"/>
          <w:szCs w:val="24"/>
          <w:highlight w:val="none"/>
          <w:lang w:val="en-US" w:eastAsia="zh-CN"/>
        </w:rPr>
      </w:pPr>
    </w:p>
    <w:p w14:paraId="049453F0">
      <w:pPr>
        <w:keepNext w:val="0"/>
        <w:keepLines w:val="0"/>
        <w:pageBreakBefore w:val="0"/>
        <w:kinsoku/>
        <w:wordWrap/>
        <w:overflowPunct/>
        <w:topLinePunct w:val="0"/>
        <w:autoSpaceDE/>
        <w:autoSpaceDN/>
        <w:bidi w:val="0"/>
        <w:adjustRightInd/>
        <w:snapToGrid/>
        <w:spacing w:line="560" w:lineRule="exact"/>
        <w:ind w:firstLine="2360" w:firstLineChars="1000"/>
        <w:rPr>
          <w:rFonts w:hint="eastAsia" w:ascii="仿宋_GB2312" w:hAnsi="仿宋_GB2312" w:eastAsia="仿宋_GB2312" w:cs="仿宋_GB2312"/>
          <w:b w:val="0"/>
          <w:bCs w:val="0"/>
          <w:color w:val="auto"/>
          <w:sz w:val="24"/>
          <w:szCs w:val="24"/>
          <w:highlight w:val="none"/>
          <w:lang w:val="en-US" w:eastAsia="zh-CN"/>
        </w:rPr>
      </w:pPr>
    </w:p>
    <w:p w14:paraId="23B6099A">
      <w:pPr>
        <w:keepNext w:val="0"/>
        <w:keepLines w:val="0"/>
        <w:pageBreakBefore w:val="0"/>
        <w:kinsoku/>
        <w:wordWrap/>
        <w:overflowPunct/>
        <w:topLinePunct w:val="0"/>
        <w:autoSpaceDE/>
        <w:autoSpaceDN/>
        <w:bidi w:val="0"/>
        <w:adjustRightInd/>
        <w:snapToGrid/>
        <w:spacing w:line="560" w:lineRule="exact"/>
        <w:ind w:firstLine="2360" w:firstLineChars="1000"/>
        <w:rPr>
          <w:rFonts w:hint="eastAsia" w:ascii="仿宋_GB2312" w:hAnsi="仿宋_GB2312" w:eastAsia="仿宋_GB2312" w:cs="仿宋_GB2312"/>
          <w:b w:val="0"/>
          <w:bCs w:val="0"/>
          <w:color w:val="auto"/>
          <w:sz w:val="24"/>
          <w:szCs w:val="24"/>
          <w:highlight w:val="none"/>
          <w:lang w:val="en-US" w:eastAsia="zh-CN"/>
        </w:rPr>
      </w:pPr>
    </w:p>
    <w:p w14:paraId="2BF43046">
      <w:pPr>
        <w:keepNext w:val="0"/>
        <w:keepLines w:val="0"/>
        <w:pageBreakBefore w:val="0"/>
        <w:kinsoku/>
        <w:wordWrap/>
        <w:overflowPunct/>
        <w:topLinePunct w:val="0"/>
        <w:autoSpaceDE/>
        <w:autoSpaceDN/>
        <w:bidi w:val="0"/>
        <w:adjustRightInd/>
        <w:snapToGrid/>
        <w:spacing w:line="560" w:lineRule="exact"/>
        <w:ind w:firstLine="2360" w:firstLineChars="1000"/>
        <w:rPr>
          <w:rFonts w:hint="eastAsia" w:ascii="仿宋_GB2312" w:hAnsi="仿宋_GB2312" w:eastAsia="仿宋_GB2312" w:cs="仿宋_GB2312"/>
          <w:b w:val="0"/>
          <w:bCs w:val="0"/>
          <w:color w:val="auto"/>
          <w:sz w:val="24"/>
          <w:szCs w:val="24"/>
          <w:highlight w:val="none"/>
          <w:lang w:val="en-US" w:eastAsia="zh-CN"/>
        </w:rPr>
      </w:pPr>
    </w:p>
    <w:sdt>
      <w:sdtPr>
        <w:rPr>
          <w:rFonts w:hint="eastAsia" w:ascii="仿宋_GB2312" w:hAnsi="仿宋_GB2312" w:eastAsia="仿宋_GB2312" w:cs="仿宋_GB2312"/>
          <w:b w:val="0"/>
          <w:bCs w:val="0"/>
          <w:color w:val="auto"/>
          <w:sz w:val="24"/>
          <w:szCs w:val="24"/>
          <w:highlight w:val="none"/>
        </w:rPr>
        <w:id w:val="147475326"/>
        <w:docPartObj>
          <w:docPartGallery w:val="Table of Contents"/>
          <w:docPartUnique/>
        </w:docPartObj>
      </w:sdtPr>
      <w:sdtEndPr>
        <w:rPr>
          <w:rFonts w:hint="eastAsia" w:ascii="仿宋_GB2312" w:hAnsi="仿宋_GB2312" w:eastAsia="仿宋_GB2312" w:cs="仿宋_GB2312"/>
          <w:b w:val="0"/>
          <w:bCs w:val="0"/>
          <w:color w:val="auto"/>
          <w:sz w:val="24"/>
          <w:szCs w:val="24"/>
          <w:highlight w:val="none"/>
        </w:rPr>
      </w:sdtEndPr>
      <w:sdtContent>
        <w:p w14:paraId="42AB4C1B">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eastAsia" w:ascii="楷体_GB2312" w:hAnsi="楷体_GB2312" w:eastAsia="楷体_GB2312" w:cs="楷体_GB2312"/>
              <w:b/>
              <w:bCs/>
              <w:color w:val="auto"/>
              <w:sz w:val="24"/>
              <w:szCs w:val="24"/>
              <w:highlight w:val="none"/>
            </w:rPr>
          </w:pPr>
          <w:r>
            <w:rPr>
              <w:rFonts w:hint="eastAsia" w:ascii="楷体_GB2312" w:hAnsi="楷体_GB2312" w:eastAsia="楷体_GB2312" w:cs="楷体_GB2312"/>
              <w:b/>
              <w:bCs/>
              <w:color w:val="auto"/>
              <w:sz w:val="32"/>
              <w:szCs w:val="32"/>
              <w:highlight w:val="none"/>
            </w:rPr>
            <w:t>目</w:t>
          </w:r>
          <w:r>
            <w:rPr>
              <w:rFonts w:hint="eastAsia" w:ascii="楷体_GB2312" w:hAnsi="楷体_GB2312" w:eastAsia="楷体_GB2312" w:cs="楷体_GB2312"/>
              <w:b/>
              <w:bCs/>
              <w:color w:val="auto"/>
              <w:sz w:val="32"/>
              <w:szCs w:val="32"/>
              <w:highlight w:val="none"/>
              <w:lang w:val="en-US" w:eastAsia="zh-CN"/>
            </w:rPr>
            <w:t xml:space="preserve">  </w:t>
          </w:r>
          <w:r>
            <w:rPr>
              <w:rFonts w:hint="eastAsia" w:ascii="楷体_GB2312" w:hAnsi="楷体_GB2312" w:eastAsia="楷体_GB2312" w:cs="楷体_GB2312"/>
              <w:b/>
              <w:bCs/>
              <w:color w:val="auto"/>
              <w:sz w:val="32"/>
              <w:szCs w:val="32"/>
              <w:highlight w:val="none"/>
            </w:rPr>
            <w:t>录</w:t>
          </w:r>
        </w:p>
        <w:p w14:paraId="4D829EDE">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TOC \o "1-2" \h \u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"_Toc4018"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绩效评价报告摘要</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1</w:t>
          </w:r>
          <w:r>
            <w:rPr>
              <w:rFonts w:hint="eastAsia" w:ascii="仿宋_GB2312" w:hAnsi="仿宋_GB2312" w:eastAsia="仿宋_GB2312" w:cs="仿宋_GB2312"/>
              <w:b w:val="0"/>
              <w:bCs w:val="0"/>
              <w:color w:val="auto"/>
              <w:kern w:val="2"/>
              <w:sz w:val="24"/>
              <w:szCs w:val="24"/>
              <w:highlight w:val="none"/>
            </w:rPr>
            <w:fldChar w:fldCharType="end"/>
          </w:r>
        </w:p>
        <w:p w14:paraId="74C326FA">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"_Toc26016"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绩效评价报告</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7</w:t>
          </w:r>
          <w:r>
            <w:rPr>
              <w:rFonts w:hint="eastAsia" w:ascii="仿宋_GB2312" w:hAnsi="仿宋_GB2312" w:eastAsia="仿宋_GB2312" w:cs="仿宋_GB2312"/>
              <w:b w:val="0"/>
              <w:bCs w:val="0"/>
              <w:color w:val="auto"/>
              <w:kern w:val="2"/>
              <w:sz w:val="24"/>
              <w:szCs w:val="24"/>
              <w:highlight w:val="none"/>
            </w:rPr>
            <w:fldChar w:fldCharType="end"/>
          </w:r>
        </w:p>
        <w:p w14:paraId="19F45D83">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"_Toc27814"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一、项目基本情况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_Toc27814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7</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0329EA27">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"_Toc3481"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（一）项目概况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_Toc3481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7</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656B4501">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"_Toc32417"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（二）项目绩效目标</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_Toc32417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9</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56DF9E2F">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"_Toc3602"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二、绩效评价工作开展情况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_Toc3602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10</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4233CFA4">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"_Toc23951"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（一）绩效评价目的、对象和范围</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_Toc23951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10</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3B3F3948">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"_Toc17751"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（二）绩效评价原则、评价指标体系、评价方法、评价标准</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_Toc17751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10</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6F077660">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"_Toc23601"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（三）绩效评价工作过程</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1</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3</w:t>
          </w:r>
        </w:p>
        <w:p w14:paraId="376B8245">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"_Toc31295"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三、综合评价情况及评价结论</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1</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4</w:t>
          </w:r>
        </w:p>
        <w:p w14:paraId="2C474CFA">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"_Toc20659"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（一）综合评价情况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1</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4</w:t>
          </w:r>
        </w:p>
        <w:p w14:paraId="3DCE66FD">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"_Toc29228"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（二）评价结论</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1</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4</w:t>
          </w:r>
        </w:p>
        <w:p w14:paraId="0E386E9D">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"_Toc15151"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四、绩效评价指标分析</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1</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4</w:t>
          </w:r>
        </w:p>
        <w:p w14:paraId="6AC790BE">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"_Toc17424"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（一）项目决策情况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1</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4</w:t>
          </w:r>
        </w:p>
        <w:p w14:paraId="795F7201">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"_Toc31012"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（二）项目过程情况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_Toc31012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19</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2AD31DE4">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"_Toc14450"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（三）项目产出情况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_Toc14450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22</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4B14085A">
          <w:pPr>
            <w:pStyle w:val="14"/>
            <w:keepNext w:val="0"/>
            <w:keepLines w:val="0"/>
            <w:pageBreakBefore w:val="0"/>
            <w:tabs>
              <w:tab w:val="right" w:leader="dot" w:pos="8844"/>
            </w:tabs>
            <w:kinsoku/>
            <w:wordWrap/>
            <w:overflowPunct/>
            <w:topLinePunct w:val="0"/>
            <w:autoSpaceDE/>
            <w:autoSpaceDN/>
            <w:bidi w:val="0"/>
            <w:adjustRightInd/>
            <w:snapToGrid/>
            <w:spacing w:line="560" w:lineRule="exact"/>
            <w:ind w:left="632"/>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"_Toc13789"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（四）项目效益情况</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rPr>
            <w:fldChar w:fldCharType="begin"/>
          </w:r>
          <w:r>
            <w:rPr>
              <w:rFonts w:hint="eastAsia" w:ascii="仿宋_GB2312" w:hAnsi="仿宋_GB2312" w:eastAsia="仿宋_GB2312" w:cs="仿宋_GB2312"/>
              <w:b w:val="0"/>
              <w:bCs w:val="0"/>
              <w:color w:val="auto"/>
              <w:kern w:val="2"/>
              <w:sz w:val="24"/>
              <w:szCs w:val="24"/>
              <w:highlight w:val="none"/>
            </w:rPr>
            <w:instrText xml:space="preserve"> PAGEREF _Toc13789 \h </w:instrText>
          </w:r>
          <w:r>
            <w:rPr>
              <w:rFonts w:hint="eastAsia" w:ascii="仿宋_GB2312" w:hAnsi="仿宋_GB2312" w:eastAsia="仿宋_GB2312" w:cs="仿宋_GB2312"/>
              <w:b w:val="0"/>
              <w:bCs w:val="0"/>
              <w:color w:val="auto"/>
              <w:kern w:val="2"/>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25</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rPr>
            <w:fldChar w:fldCharType="end"/>
          </w:r>
        </w:p>
        <w:p w14:paraId="36B30A53">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"_Toc18123"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五、 主要经验及做法</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2</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8</w:t>
          </w:r>
        </w:p>
        <w:p w14:paraId="6EE2CA59">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"_Toc1758"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六、存在问题及原因分析</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2</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9</w:t>
          </w:r>
        </w:p>
        <w:p w14:paraId="5312CF31">
          <w:pPr>
            <w:pStyle w:val="13"/>
            <w:keepNext w:val="0"/>
            <w:keepLines w:val="0"/>
            <w:pageBreakBefore w:val="0"/>
            <w:tabs>
              <w:tab w:val="right" w:leader="dot" w:pos="8844"/>
            </w:tabs>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425" w:num="1"/>
              <w:rtlGutter w:val="0"/>
              <w:docGrid w:type="linesAndChars" w:linePitch="560" w:charSpace="-849"/>
            </w:sectPr>
          </w:pPr>
          <w:r>
            <w:rPr>
              <w:rFonts w:hint="eastAsia" w:ascii="仿宋_GB2312" w:hAnsi="仿宋_GB2312" w:eastAsia="仿宋_GB2312" w:cs="仿宋_GB2312"/>
              <w:b w:val="0"/>
              <w:bCs w:val="0"/>
              <w:color w:val="auto"/>
              <w:sz w:val="24"/>
              <w:szCs w:val="24"/>
              <w:highlight w:val="none"/>
            </w:rPr>
            <w:fldChar w:fldCharType="begin"/>
          </w:r>
          <w:r>
            <w:rPr>
              <w:rFonts w:hint="eastAsia" w:ascii="仿宋_GB2312" w:hAnsi="仿宋_GB2312" w:eastAsia="仿宋_GB2312" w:cs="仿宋_GB2312"/>
              <w:b w:val="0"/>
              <w:bCs w:val="0"/>
              <w:color w:val="auto"/>
              <w:sz w:val="24"/>
              <w:szCs w:val="24"/>
              <w:highlight w:val="none"/>
            </w:rPr>
            <w:instrText xml:space="preserve"> HYPERLINK \l "_Toc703" </w:instrText>
          </w:r>
          <w:r>
            <w:rPr>
              <w:rFonts w:hint="eastAsia" w:ascii="仿宋_GB2312" w:hAnsi="仿宋_GB2312" w:eastAsia="仿宋_GB2312" w:cs="仿宋_GB2312"/>
              <w:b w:val="0"/>
              <w:bCs w:val="0"/>
              <w:color w:val="auto"/>
              <w:sz w:val="24"/>
              <w:szCs w:val="24"/>
              <w:highlight w:val="none"/>
            </w:rPr>
            <w:fldChar w:fldCharType="separate"/>
          </w:r>
          <w:r>
            <w:rPr>
              <w:rFonts w:hint="eastAsia" w:ascii="仿宋_GB2312" w:hAnsi="仿宋_GB2312" w:eastAsia="仿宋_GB2312" w:cs="仿宋_GB2312"/>
              <w:b w:val="0"/>
              <w:bCs w:val="0"/>
              <w:color w:val="auto"/>
              <w:kern w:val="2"/>
              <w:sz w:val="24"/>
              <w:szCs w:val="24"/>
              <w:highlight w:val="none"/>
            </w:rPr>
            <w:t>七、有关建议</w:t>
          </w:r>
          <w:r>
            <w:rPr>
              <w:rFonts w:hint="eastAsia" w:ascii="仿宋_GB2312" w:hAnsi="仿宋_GB2312" w:eastAsia="仿宋_GB2312" w:cs="仿宋_GB2312"/>
              <w:b w:val="0"/>
              <w:bCs w:val="0"/>
              <w:color w:val="auto"/>
              <w:kern w:val="2"/>
              <w:sz w:val="24"/>
              <w:szCs w:val="24"/>
              <w:highlight w:val="none"/>
            </w:rPr>
            <w:tab/>
          </w:r>
          <w:r>
            <w:rPr>
              <w:rFonts w:hint="eastAsia" w:ascii="仿宋_GB2312" w:hAnsi="仿宋_GB2312" w:eastAsia="仿宋_GB2312" w:cs="仿宋_GB2312"/>
              <w:b w:val="0"/>
              <w:bCs w:val="0"/>
              <w:color w:val="auto"/>
              <w:kern w:val="2"/>
              <w:sz w:val="24"/>
              <w:szCs w:val="24"/>
              <w:highlight w:val="none"/>
              <w:lang w:val="en-US" w:eastAsia="zh-CN"/>
            </w:rPr>
            <w:t>2</w:t>
          </w:r>
          <w:r>
            <w:rPr>
              <w:rFonts w:hint="eastAsia" w:ascii="仿宋_GB2312" w:hAnsi="仿宋_GB2312" w:eastAsia="仿宋_GB2312" w:cs="仿宋_GB2312"/>
              <w:b w:val="0"/>
              <w:bCs w:val="0"/>
              <w:color w:val="auto"/>
              <w:kern w:val="2"/>
              <w:sz w:val="24"/>
              <w:szCs w:val="24"/>
              <w:highlight w:val="none"/>
            </w:rPr>
            <w:fldChar w:fldCharType="end"/>
          </w:r>
          <w:r>
            <w:rPr>
              <w:rFonts w:hint="eastAsia" w:ascii="仿宋_GB2312" w:hAnsi="仿宋_GB2312" w:eastAsia="仿宋_GB2312" w:cs="仿宋_GB2312"/>
              <w:b w:val="0"/>
              <w:bCs w:val="0"/>
              <w:color w:val="auto"/>
              <w:kern w:val="2"/>
              <w:sz w:val="24"/>
              <w:szCs w:val="24"/>
              <w:highlight w:val="none"/>
              <w:lang w:val="en-US" w:eastAsia="zh-CN"/>
            </w:rPr>
            <w:t>9</w:t>
          </w:r>
        </w:p>
        <w:p w14:paraId="0DEA38A7">
          <w:pPr>
            <w:keepNext w:val="0"/>
            <w:keepLines w:val="0"/>
            <w:pageBreakBefore w:val="0"/>
            <w:kinsoku/>
            <w:wordWrap/>
            <w:overflowPunct/>
            <w:topLinePunct w:val="0"/>
            <w:autoSpaceDE/>
            <w:autoSpaceDN/>
            <w:bidi w:val="0"/>
            <w:adjustRightInd/>
            <w:snapToGrid/>
            <w:spacing w:line="560" w:lineRule="exact"/>
            <w:ind w:firstLine="2160" w:firstLineChars="900"/>
            <w:jc w:val="left"/>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fldChar w:fldCharType="end"/>
          </w:r>
        </w:p>
      </w:sdtContent>
    </w:sdt>
    <w:p w14:paraId="6C9508BA">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rPr>
          <w:rFonts w:hint="eastAsia" w:ascii="黑体" w:hAnsi="黑体" w:eastAsia="黑体" w:cs="黑体"/>
          <w:b w:val="0"/>
          <w:bCs w:val="0"/>
          <w:color w:val="auto"/>
          <w:kern w:val="0"/>
          <w:sz w:val="32"/>
          <w:szCs w:val="32"/>
          <w:highlight w:val="none"/>
          <w:lang w:val="en-US" w:eastAsia="zh-CN"/>
        </w:rPr>
      </w:pPr>
      <w:r>
        <w:rPr>
          <w:rFonts w:hint="eastAsia" w:ascii="黑体" w:hAnsi="黑体" w:eastAsia="黑体" w:cs="黑体"/>
          <w:b w:val="0"/>
          <w:bCs w:val="0"/>
          <w:color w:val="auto"/>
          <w:kern w:val="0"/>
          <w:sz w:val="32"/>
          <w:szCs w:val="32"/>
          <w:highlight w:val="none"/>
          <w:lang w:val="en-US" w:eastAsia="zh-CN"/>
        </w:rPr>
        <w:t>怀远县农业农村局2023年度涡河航道治理经费</w:t>
      </w:r>
    </w:p>
    <w:p w14:paraId="33C2C447">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黑体" w:hAnsi="黑体" w:eastAsia="黑体" w:cs="黑体"/>
          <w:b w:val="0"/>
          <w:bCs w:val="0"/>
          <w:color w:val="auto"/>
          <w:kern w:val="0"/>
          <w:sz w:val="32"/>
          <w:szCs w:val="32"/>
          <w:highlight w:val="none"/>
        </w:rPr>
      </w:pPr>
      <w:r>
        <w:rPr>
          <w:rFonts w:hint="eastAsia" w:ascii="黑体" w:hAnsi="黑体" w:eastAsia="黑体" w:cs="黑体"/>
          <w:b w:val="0"/>
          <w:bCs w:val="0"/>
          <w:color w:val="auto"/>
          <w:kern w:val="0"/>
          <w:sz w:val="32"/>
          <w:szCs w:val="32"/>
          <w:highlight w:val="none"/>
        </w:rPr>
        <w:t>项目支出绩效评价报告</w:t>
      </w:r>
    </w:p>
    <w:p w14:paraId="2812C7A1">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rPr>
          <w:rFonts w:hint="eastAsia" w:ascii="楷体_GB2312" w:hAnsi="楷体_GB2312" w:eastAsia="楷体_GB2312" w:cs="楷体_GB2312"/>
          <w:b w:val="0"/>
          <w:bCs w:val="0"/>
          <w:color w:val="auto"/>
          <w:kern w:val="0"/>
          <w:sz w:val="32"/>
          <w:szCs w:val="32"/>
          <w:highlight w:val="none"/>
        </w:rPr>
      </w:pPr>
      <w:r>
        <w:rPr>
          <w:rFonts w:hint="eastAsia" w:ascii="楷体_GB2312" w:hAnsi="楷体_GB2312" w:eastAsia="楷体_GB2312" w:cs="楷体_GB2312"/>
          <w:b w:val="0"/>
          <w:bCs w:val="0"/>
          <w:color w:val="auto"/>
          <w:kern w:val="0"/>
          <w:sz w:val="32"/>
          <w:szCs w:val="32"/>
          <w:highlight w:val="none"/>
        </w:rPr>
        <w:t>摘 要</w:t>
      </w:r>
    </w:p>
    <w:p w14:paraId="13695EA2">
      <w:pPr>
        <w:pStyle w:val="2"/>
        <w:keepNext w:val="0"/>
        <w:keepLines w:val="0"/>
        <w:pageBreakBefore w:val="0"/>
        <w:kinsoku/>
        <w:wordWrap/>
        <w:overflowPunct/>
        <w:topLinePunct w:val="0"/>
        <w:autoSpaceDE/>
        <w:autoSpaceDN/>
        <w:bidi w:val="0"/>
        <w:adjustRightInd/>
        <w:snapToGrid/>
        <w:spacing w:after="0" w:line="560" w:lineRule="exact"/>
        <w:ind w:firstLine="480" w:firstLineChars="200"/>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为贯彻落实全面实施预算绩效管理工作的要求，提高财政资金使用效益，根据《中华人民共和国预算法》规定，按照《中共怀远县委、怀远县人民政府关于印发&lt;全面实施预算绩效管理的实施办法&gt;的通知》(怀发(2020) 5 号)、《怀远县财政局关于印发&lt;怀远县县级项目支出绩效单位自评操作规程&gt;和&lt;怀远县县级级项目支出绩效财政评价和部门评价操作规程&gt;的通知》（怀财监〔2021〕1号）等要求，我们对怀远县农业农村局2023年度涡河航道治理经费项目开展绩效评价，现将有关情况报告如下。</w:t>
      </w:r>
    </w:p>
    <w:p w14:paraId="017E8BB2">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bookmarkStart w:id="0" w:name="_Toc11742"/>
      <w:r>
        <w:rPr>
          <w:rFonts w:hint="eastAsia" w:ascii="楷体_GB2312" w:hAnsi="楷体_GB2312" w:eastAsia="楷体_GB2312" w:cs="楷体_GB2312"/>
          <w:b w:val="0"/>
          <w:bCs w:val="0"/>
          <w:color w:val="auto"/>
          <w:sz w:val="30"/>
          <w:szCs w:val="30"/>
          <w:highlight w:val="none"/>
          <w:lang w:val="en-US" w:eastAsia="zh-CN"/>
        </w:rPr>
        <w:t>一</w:t>
      </w:r>
      <w:r>
        <w:rPr>
          <w:rFonts w:hint="eastAsia" w:ascii="楷体_GB2312" w:hAnsi="楷体_GB2312" w:eastAsia="楷体_GB2312" w:cs="楷体_GB2312"/>
          <w:b w:val="0"/>
          <w:bCs w:val="0"/>
          <w:color w:val="auto"/>
          <w:sz w:val="30"/>
          <w:szCs w:val="30"/>
          <w:highlight w:val="none"/>
        </w:rPr>
        <w:t>、项目执行情况</w:t>
      </w:r>
      <w:bookmarkEnd w:id="0"/>
    </w:p>
    <w:p w14:paraId="013C432B">
      <w:pPr>
        <w:keepNext w:val="0"/>
        <w:keepLines w:val="0"/>
        <w:pageBreakBefore w:val="0"/>
        <w:kinsoku/>
        <w:wordWrap/>
        <w:overflowPunct/>
        <w:topLinePunct w:val="0"/>
        <w:autoSpaceDE/>
        <w:autoSpaceDN/>
        <w:bidi w:val="0"/>
        <w:adjustRightInd/>
        <w:snapToGrid/>
        <w:spacing w:line="560" w:lineRule="exact"/>
        <w:ind w:firstLine="480" w:firstLineChars="200"/>
        <w:outlineLvl w:val="1"/>
        <w:rPr>
          <w:rFonts w:hint="eastAsia" w:ascii="仿宋_GB2312" w:hAnsi="仿宋_GB2312" w:eastAsia="仿宋_GB2312" w:cs="仿宋_GB2312"/>
          <w:b w:val="0"/>
          <w:bCs w:val="0"/>
          <w:color w:val="auto"/>
          <w:kern w:val="2"/>
          <w:sz w:val="24"/>
          <w:szCs w:val="24"/>
          <w:highlight w:val="none"/>
          <w:lang w:val="en-US" w:eastAsia="zh-CN" w:bidi="ar-SA"/>
        </w:rPr>
      </w:pPr>
      <w:bookmarkStart w:id="1" w:name="_Toc14687"/>
      <w:r>
        <w:rPr>
          <w:rFonts w:hint="eastAsia" w:ascii="仿宋_GB2312" w:hAnsi="仿宋_GB2312" w:eastAsia="仿宋_GB2312" w:cs="仿宋_GB2312"/>
          <w:b w:val="0"/>
          <w:bCs w:val="0"/>
          <w:color w:val="auto"/>
          <w:kern w:val="2"/>
          <w:sz w:val="24"/>
          <w:szCs w:val="24"/>
          <w:highlight w:val="none"/>
          <w:lang w:val="en-US" w:eastAsia="zh-CN" w:bidi="ar-SA"/>
        </w:rPr>
        <w:t>（一）预算执行情况</w:t>
      </w:r>
      <w:bookmarkEnd w:id="1"/>
    </w:p>
    <w:p w14:paraId="0ABF083E">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firstLineChars="200"/>
        <w:jc w:val="both"/>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怀远县农业农村局2023年度涡河航道治理经费2023年度预算申报264.08万元，用于2023年水生生态监测、减船退渔安置等，实际到位资金243.9万元，实际执行减船退渔安置243.9万元，到位资金全部支付完毕。</w:t>
      </w:r>
    </w:p>
    <w:p w14:paraId="4863DC6C">
      <w:pPr>
        <w:keepNext w:val="0"/>
        <w:keepLines w:val="0"/>
        <w:pageBreakBefore w:val="0"/>
        <w:numPr>
          <w:ilvl w:val="0"/>
          <w:numId w:val="1"/>
        </w:numPr>
        <w:kinsoku/>
        <w:wordWrap/>
        <w:overflowPunct/>
        <w:topLinePunct w:val="0"/>
        <w:autoSpaceDE/>
        <w:autoSpaceDN/>
        <w:bidi w:val="0"/>
        <w:adjustRightInd/>
        <w:snapToGrid/>
        <w:spacing w:line="560" w:lineRule="exact"/>
        <w:ind w:firstLine="480" w:firstLineChars="200"/>
        <w:outlineLvl w:val="1"/>
        <w:rPr>
          <w:rFonts w:hint="eastAsia" w:ascii="仿宋_GB2312" w:hAnsi="仿宋_GB2312" w:eastAsia="仿宋_GB2312" w:cs="仿宋_GB2312"/>
          <w:b w:val="0"/>
          <w:bCs w:val="0"/>
          <w:color w:val="auto"/>
          <w:kern w:val="2"/>
          <w:sz w:val="24"/>
          <w:szCs w:val="24"/>
          <w:highlight w:val="none"/>
          <w:lang w:val="en-US" w:eastAsia="zh-CN" w:bidi="ar-SA"/>
        </w:rPr>
      </w:pPr>
      <w:bookmarkStart w:id="2" w:name="_Toc9155"/>
      <w:r>
        <w:rPr>
          <w:rFonts w:hint="eastAsia" w:ascii="仿宋_GB2312" w:hAnsi="仿宋_GB2312" w:eastAsia="仿宋_GB2312" w:cs="仿宋_GB2312"/>
          <w:b w:val="0"/>
          <w:bCs w:val="0"/>
          <w:color w:val="auto"/>
          <w:kern w:val="2"/>
          <w:sz w:val="24"/>
          <w:szCs w:val="24"/>
          <w:highlight w:val="none"/>
          <w:lang w:val="en-US" w:eastAsia="zh-CN" w:bidi="ar-SA"/>
        </w:rPr>
        <w:t>效益实现情况</w:t>
      </w:r>
      <w:bookmarkEnd w:id="2"/>
    </w:p>
    <w:p w14:paraId="657EFB15">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因切实配合涡河航道(大寺闸至入淮口段)整治工程安全生产工作，保障工程施工的顺利进行，为减少保护区核心区及实验区长期受到涡河航道(大寺闸至入淮口段)整治工程的影响，实行</w:t>
      </w:r>
      <w:r>
        <w:rPr>
          <w:rFonts w:hint="eastAsia" w:ascii="仿宋_GB2312" w:hAnsi="仿宋_GB2312" w:eastAsia="仿宋_GB2312" w:cs="仿宋_GB2312"/>
          <w:b w:val="0"/>
          <w:bCs w:val="0"/>
          <w:color w:val="auto"/>
          <w:kern w:val="0"/>
          <w:sz w:val="24"/>
          <w:szCs w:val="24"/>
          <w:highlight w:val="none"/>
          <w:lang w:val="en-US" w:eastAsia="zh-CN" w:bidi="ar"/>
        </w:rPr>
        <w:t>长江禁捕退捕工作，</w:t>
      </w:r>
      <w:r>
        <w:rPr>
          <w:rFonts w:hint="eastAsia" w:ascii="仿宋_GB2312" w:hAnsi="仿宋_GB2312" w:eastAsia="仿宋_GB2312" w:cs="仿宋_GB2312"/>
          <w:b w:val="0"/>
          <w:bCs w:val="0"/>
          <w:color w:val="auto"/>
          <w:kern w:val="2"/>
          <w:sz w:val="24"/>
          <w:szCs w:val="24"/>
          <w:highlight w:val="none"/>
          <w:lang w:val="en-US" w:eastAsia="zh-CN" w:bidi="ar-SA"/>
        </w:rPr>
        <w:t>极大地缓解保护区内的捕捞压力，包括主要保护对象-鲤、长吻鮠在内的各种渔业生物修养生息的机会，同时加强了淮河荆涂峡鲤、长吻鮠国家级水产种质资源保护区河段以及临近河段的渔业资源管理和鱼类资源繁殖保护，维护了渔民的合法权益，保证了渔区的社会稳定，营造良好的渔业安全生产环境。</w:t>
      </w:r>
    </w:p>
    <w:p w14:paraId="10F8D3A0">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bookmarkStart w:id="3" w:name="_Toc16658"/>
      <w:r>
        <w:rPr>
          <w:rFonts w:hint="eastAsia" w:ascii="楷体_GB2312" w:hAnsi="楷体_GB2312" w:eastAsia="楷体_GB2312" w:cs="楷体_GB2312"/>
          <w:b w:val="0"/>
          <w:bCs w:val="0"/>
          <w:color w:val="auto"/>
          <w:sz w:val="30"/>
          <w:szCs w:val="30"/>
          <w:highlight w:val="none"/>
          <w:lang w:val="en-US" w:eastAsia="zh-CN"/>
        </w:rPr>
        <w:t>二</w:t>
      </w:r>
      <w:r>
        <w:rPr>
          <w:rFonts w:hint="eastAsia" w:ascii="楷体_GB2312" w:hAnsi="楷体_GB2312" w:eastAsia="楷体_GB2312" w:cs="楷体_GB2312"/>
          <w:b w:val="0"/>
          <w:bCs w:val="0"/>
          <w:color w:val="auto"/>
          <w:sz w:val="30"/>
          <w:szCs w:val="30"/>
          <w:highlight w:val="none"/>
        </w:rPr>
        <w:t>、绩效评价工作情况及评价结论</w:t>
      </w:r>
      <w:bookmarkEnd w:id="3"/>
    </w:p>
    <w:p w14:paraId="69E1923C">
      <w:pPr>
        <w:keepNext w:val="0"/>
        <w:keepLines w:val="0"/>
        <w:pageBreakBefore w:val="0"/>
        <w:kinsoku/>
        <w:wordWrap/>
        <w:overflowPunct/>
        <w:topLinePunct w:val="0"/>
        <w:autoSpaceDE/>
        <w:autoSpaceDN/>
        <w:bidi w:val="0"/>
        <w:adjustRightInd/>
        <w:snapToGrid/>
        <w:spacing w:line="560" w:lineRule="exact"/>
        <w:ind w:firstLine="480" w:firstLineChars="200"/>
        <w:outlineLvl w:val="1"/>
        <w:rPr>
          <w:rFonts w:hint="eastAsia" w:ascii="仿宋_GB2312" w:hAnsi="仿宋_GB2312" w:eastAsia="仿宋_GB2312" w:cs="仿宋_GB2312"/>
          <w:b w:val="0"/>
          <w:bCs w:val="0"/>
          <w:color w:val="auto"/>
          <w:kern w:val="2"/>
          <w:sz w:val="24"/>
          <w:szCs w:val="24"/>
          <w:highlight w:val="none"/>
          <w:lang w:val="en-US" w:eastAsia="zh-CN" w:bidi="ar-SA"/>
        </w:rPr>
      </w:pPr>
      <w:bookmarkStart w:id="4" w:name="_Toc2595"/>
      <w:r>
        <w:rPr>
          <w:rFonts w:hint="eastAsia" w:ascii="仿宋_GB2312" w:hAnsi="仿宋_GB2312" w:eastAsia="仿宋_GB2312" w:cs="仿宋_GB2312"/>
          <w:b w:val="0"/>
          <w:bCs w:val="0"/>
          <w:color w:val="auto"/>
          <w:kern w:val="2"/>
          <w:sz w:val="24"/>
          <w:szCs w:val="24"/>
          <w:highlight w:val="none"/>
          <w:lang w:val="en-US" w:eastAsia="zh-CN" w:bidi="ar-SA"/>
        </w:rPr>
        <w:t>（一）评价范围及目的</w:t>
      </w:r>
      <w:bookmarkEnd w:id="4"/>
    </w:p>
    <w:p w14:paraId="05208B1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本次评价的范围是怀远县农业农村局2023年度涡河航道治理经费的完成情况、资金投入和使用情况，</w:t>
      </w:r>
      <w:r>
        <w:rPr>
          <w:rFonts w:hint="eastAsia" w:ascii="仿宋_GB2312" w:hAnsi="仿宋_GB2312" w:eastAsia="仿宋_GB2312" w:cs="仿宋_GB2312"/>
          <w:b w:val="0"/>
          <w:bCs w:val="0"/>
          <w:color w:val="auto"/>
          <w:sz w:val="24"/>
          <w:szCs w:val="24"/>
          <w:highlight w:val="none"/>
          <w:lang w:eastAsia="zh-CN"/>
        </w:rPr>
        <w:t>使用</w:t>
      </w:r>
      <w:r>
        <w:rPr>
          <w:rFonts w:hint="eastAsia" w:ascii="仿宋_GB2312" w:hAnsi="仿宋_GB2312" w:eastAsia="仿宋_GB2312" w:cs="仿宋_GB2312"/>
          <w:b w:val="0"/>
          <w:bCs w:val="0"/>
          <w:color w:val="auto"/>
          <w:sz w:val="24"/>
          <w:szCs w:val="24"/>
          <w:highlight w:val="none"/>
        </w:rPr>
        <w:t>资金产生的绩效情况，评价其绩效目标设定情况，为实现设定的绩效目标所制定的制度、采取的措施等，以及绩效目标最终的实现程度及效果。通过评价，深入了解怀远县农业农村局2023年度涡河航道治理经费的决策、产出、过程和效益方面的详细情况，总结项目资金使用中的主要经验及存在问题，提出有针对性和可操作性的政策建议，不断提高财政资金管理水平和使用效益，为预算安排提供重要依据。</w:t>
      </w:r>
    </w:p>
    <w:p w14:paraId="08E21E02">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5" w:name="_Toc26786"/>
      <w:r>
        <w:rPr>
          <w:rFonts w:hint="eastAsia" w:ascii="仿宋_GB2312" w:hAnsi="仿宋_GB2312" w:eastAsia="仿宋_GB2312" w:cs="仿宋_GB2312"/>
          <w:b w:val="0"/>
          <w:bCs w:val="0"/>
          <w:color w:val="auto"/>
          <w:sz w:val="24"/>
          <w:szCs w:val="24"/>
          <w:highlight w:val="none"/>
        </w:rPr>
        <w:t>（二）评价指标体系</w:t>
      </w:r>
      <w:bookmarkEnd w:id="5"/>
    </w:p>
    <w:p w14:paraId="33C6FCB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本次绩效评价指标体系包括项目决策、项目过程、项目产出、项目效益 4 个一级指标，满分为 100 分。其中：项目决策（</w:t>
      </w:r>
      <w:r>
        <w:rPr>
          <w:rFonts w:hint="eastAsia" w:ascii="仿宋_GB2312" w:hAnsi="仿宋_GB2312" w:eastAsia="仿宋_GB2312" w:cs="仿宋_GB2312"/>
          <w:b w:val="0"/>
          <w:bCs w:val="0"/>
          <w:color w:val="auto"/>
          <w:sz w:val="24"/>
          <w:szCs w:val="24"/>
          <w:highlight w:val="none"/>
          <w:lang w:val="en-US" w:eastAsia="zh-CN"/>
        </w:rPr>
        <w:t>30</w:t>
      </w:r>
      <w:r>
        <w:rPr>
          <w:rFonts w:hint="eastAsia" w:ascii="仿宋_GB2312" w:hAnsi="仿宋_GB2312" w:eastAsia="仿宋_GB2312" w:cs="仿宋_GB2312"/>
          <w:b w:val="0"/>
          <w:bCs w:val="0"/>
          <w:color w:val="auto"/>
          <w:sz w:val="24"/>
          <w:szCs w:val="24"/>
          <w:highlight w:val="none"/>
        </w:rPr>
        <w:t>分）主要评价项目立项、绩效目标、资金投入情况，重点关注项目绩效目标设定情况、预算编制和资金分配情况。项目过程（</w:t>
      </w:r>
      <w:r>
        <w:rPr>
          <w:rFonts w:hint="eastAsia" w:ascii="仿宋_GB2312" w:hAnsi="仿宋_GB2312" w:eastAsia="仿宋_GB2312" w:cs="仿宋_GB2312"/>
          <w:b w:val="0"/>
          <w:bCs w:val="0"/>
          <w:color w:val="auto"/>
          <w:sz w:val="24"/>
          <w:szCs w:val="24"/>
          <w:highlight w:val="none"/>
          <w:lang w:val="en-US" w:eastAsia="zh-CN"/>
        </w:rPr>
        <w:t>30</w:t>
      </w:r>
      <w:r>
        <w:rPr>
          <w:rFonts w:hint="eastAsia" w:ascii="仿宋_GB2312" w:hAnsi="仿宋_GB2312" w:eastAsia="仿宋_GB2312" w:cs="仿宋_GB2312"/>
          <w:b w:val="0"/>
          <w:bCs w:val="0"/>
          <w:color w:val="auto"/>
          <w:sz w:val="24"/>
          <w:szCs w:val="24"/>
          <w:highlight w:val="none"/>
        </w:rPr>
        <w:t>分）资金管理和组织实施情况，其中资金方面重点关注资金支出的合法合规性和绩效自评情况，组织实施重点关注管理制度的健全性和制度执行的有效性情况。项目产出（</w:t>
      </w:r>
      <w:r>
        <w:rPr>
          <w:rFonts w:hint="eastAsia" w:ascii="仿宋_GB2312" w:hAnsi="仿宋_GB2312" w:eastAsia="仿宋_GB2312" w:cs="仿宋_GB2312"/>
          <w:b w:val="0"/>
          <w:bCs w:val="0"/>
          <w:color w:val="auto"/>
          <w:sz w:val="24"/>
          <w:szCs w:val="24"/>
          <w:highlight w:val="none"/>
          <w:lang w:val="en-US" w:eastAsia="zh-CN"/>
        </w:rPr>
        <w:t>20</w:t>
      </w:r>
      <w:r>
        <w:rPr>
          <w:rFonts w:hint="eastAsia" w:ascii="仿宋_GB2312" w:hAnsi="仿宋_GB2312" w:eastAsia="仿宋_GB2312" w:cs="仿宋_GB2312"/>
          <w:b w:val="0"/>
          <w:bCs w:val="0"/>
          <w:color w:val="auto"/>
          <w:sz w:val="24"/>
          <w:szCs w:val="24"/>
          <w:highlight w:val="none"/>
        </w:rPr>
        <w:t>分）主要评价项目在本年度的实际产出数量、产出质量、产出成本等产出完成情况，根据项目申报内容，重点核实产出数量是否达到设定目标、产出质量、产出成本是否符合设定标准。项目效益（</w:t>
      </w:r>
      <w:r>
        <w:rPr>
          <w:rFonts w:hint="eastAsia" w:ascii="仿宋_GB2312" w:hAnsi="仿宋_GB2312" w:eastAsia="仿宋_GB2312" w:cs="仿宋_GB2312"/>
          <w:b w:val="0"/>
          <w:bCs w:val="0"/>
          <w:color w:val="auto"/>
          <w:sz w:val="24"/>
          <w:szCs w:val="24"/>
          <w:highlight w:val="none"/>
          <w:lang w:val="en-US" w:eastAsia="zh-CN"/>
        </w:rPr>
        <w:t>20</w:t>
      </w:r>
      <w:r>
        <w:rPr>
          <w:rFonts w:hint="eastAsia" w:ascii="仿宋_GB2312" w:hAnsi="仿宋_GB2312" w:eastAsia="仿宋_GB2312" w:cs="仿宋_GB2312"/>
          <w:b w:val="0"/>
          <w:bCs w:val="0"/>
          <w:color w:val="auto"/>
          <w:sz w:val="24"/>
          <w:szCs w:val="24"/>
          <w:highlight w:val="none"/>
        </w:rPr>
        <w:t>分）主要评价社会效益、经济效益、生态效益、可持续影响及服务对象满意度情况，重点关注项目在社会发展方面发挥的实际作用情况和社会公众等服务对象的满意度情况。</w:t>
      </w:r>
    </w:p>
    <w:p w14:paraId="6A251D52">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6" w:name="_Toc2560"/>
      <w:r>
        <w:rPr>
          <w:rFonts w:hint="eastAsia" w:ascii="仿宋_GB2312" w:hAnsi="仿宋_GB2312" w:eastAsia="仿宋_GB2312" w:cs="仿宋_GB2312"/>
          <w:b w:val="0"/>
          <w:bCs w:val="0"/>
          <w:color w:val="auto"/>
          <w:sz w:val="24"/>
          <w:szCs w:val="24"/>
          <w:highlight w:val="none"/>
        </w:rPr>
        <w:t>（三）评价方法与实施</w:t>
      </w:r>
      <w:bookmarkEnd w:id="6"/>
    </w:p>
    <w:p w14:paraId="7B71430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本次评价采用现场调研与非现场评价相结合的形式开展。主要采用定性评价和定量评价相结合方法，对定性评价指标采用因素分析法和公众评判法，对定量指标采用成本效益分析法、比较法进行量化打分。总分为100分，评价结果分为优（≥90 分）、良（≥80分、＜90分）、中（≥60分、＜80分）、差（＜60分），以下为具体评价方法：</w:t>
      </w:r>
    </w:p>
    <w:p w14:paraId="4F72B35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1.成本效益分析法，通过将投入与产出、效益进行关联性分析，评价绩效目标实现程度。</w:t>
      </w:r>
    </w:p>
    <w:p w14:paraId="4FA0CD4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2.比较法，通过对绩效目标与实施效果、历史与当期情况的比较，综合分析绩效目标实现程度。</w:t>
      </w:r>
    </w:p>
    <w:p w14:paraId="35ACC11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3.因素分析法，通过综合分析影响绩效目标实现、实施效果的内外因素，评价绩效目标实现程度。</w:t>
      </w:r>
    </w:p>
    <w:p w14:paraId="34DF3CB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4.公众评判法，通过公众问卷及抽样调查等对财政支出效果进行评判，评价绩效目标实现程度。</w:t>
      </w:r>
    </w:p>
    <w:p w14:paraId="326817C2">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7" w:name="_Toc29062"/>
      <w:r>
        <w:rPr>
          <w:rFonts w:hint="eastAsia" w:ascii="仿宋_GB2312" w:hAnsi="仿宋_GB2312" w:eastAsia="仿宋_GB2312" w:cs="仿宋_GB2312"/>
          <w:b w:val="0"/>
          <w:bCs w:val="0"/>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rPr>
        <w:t>四）评价结论</w:t>
      </w:r>
      <w:bookmarkEnd w:id="7"/>
    </w:p>
    <w:p w14:paraId="6E8247C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根据评价指标体系对本项目的绩效进行评价, 怀远县农业农村局2023年度涡河航道治理经费项目综合评价得分</w:t>
      </w:r>
      <w:r>
        <w:rPr>
          <w:rFonts w:hint="eastAsia" w:ascii="仿宋_GB2312" w:hAnsi="仿宋_GB2312" w:eastAsia="仿宋_GB2312" w:cs="仿宋_GB2312"/>
          <w:b w:val="0"/>
          <w:bCs w:val="0"/>
          <w:color w:val="auto"/>
          <w:sz w:val="24"/>
          <w:szCs w:val="24"/>
          <w:highlight w:val="none"/>
          <w:lang w:val="en-US" w:eastAsia="zh-CN"/>
        </w:rPr>
        <w:t>79</w:t>
      </w:r>
      <w:r>
        <w:rPr>
          <w:rFonts w:hint="eastAsia" w:ascii="仿宋_GB2312" w:hAnsi="仿宋_GB2312" w:eastAsia="仿宋_GB2312" w:cs="仿宋_GB2312"/>
          <w:b w:val="0"/>
          <w:bCs w:val="0"/>
          <w:color w:val="auto"/>
          <w:sz w:val="24"/>
          <w:szCs w:val="24"/>
          <w:highlight w:val="none"/>
        </w:rPr>
        <w:t>分，评价等级为“</w:t>
      </w:r>
      <w:r>
        <w:rPr>
          <w:rFonts w:hint="eastAsia" w:ascii="仿宋_GB2312" w:hAnsi="仿宋_GB2312" w:eastAsia="仿宋_GB2312" w:cs="仿宋_GB2312"/>
          <w:b w:val="0"/>
          <w:bCs w:val="0"/>
          <w:color w:val="auto"/>
          <w:sz w:val="24"/>
          <w:szCs w:val="24"/>
          <w:highlight w:val="none"/>
          <w:lang w:val="en-US" w:eastAsia="zh-CN"/>
        </w:rPr>
        <w:t>中</w:t>
      </w:r>
      <w:r>
        <w:rPr>
          <w:rFonts w:hint="eastAsia" w:ascii="仿宋_GB2312" w:hAnsi="仿宋_GB2312" w:eastAsia="仿宋_GB2312" w:cs="仿宋_GB2312"/>
          <w:b w:val="0"/>
          <w:bCs w:val="0"/>
          <w:color w:val="auto"/>
          <w:sz w:val="24"/>
          <w:szCs w:val="24"/>
          <w:highlight w:val="none"/>
        </w:rPr>
        <w:t>”。2023年度涡河航道治理经费项目基本按照计划完成年度工作任务，</w:t>
      </w:r>
      <w:r>
        <w:rPr>
          <w:rFonts w:hint="eastAsia" w:ascii="仿宋_GB2312" w:hAnsi="仿宋_GB2312" w:eastAsia="仿宋_GB2312" w:cs="仿宋_GB2312"/>
          <w:b w:val="0"/>
          <w:bCs w:val="0"/>
          <w:color w:val="auto"/>
          <w:sz w:val="24"/>
          <w:szCs w:val="24"/>
          <w:highlight w:val="none"/>
          <w:lang w:eastAsia="zh-CN"/>
        </w:rPr>
        <w:t>基本</w:t>
      </w:r>
      <w:r>
        <w:rPr>
          <w:rFonts w:hint="eastAsia" w:ascii="仿宋_GB2312" w:hAnsi="仿宋_GB2312" w:eastAsia="仿宋_GB2312" w:cs="仿宋_GB2312"/>
          <w:b w:val="0"/>
          <w:bCs w:val="0"/>
          <w:color w:val="auto"/>
          <w:sz w:val="24"/>
          <w:szCs w:val="24"/>
          <w:highlight w:val="none"/>
        </w:rPr>
        <w:t>实现了年度绩效目标，取得了较好的社会、经济和生态效益，服务对象满意度</w:t>
      </w:r>
      <w:r>
        <w:rPr>
          <w:rFonts w:hint="eastAsia" w:ascii="仿宋_GB2312" w:hAnsi="仿宋_GB2312" w:eastAsia="仿宋_GB2312" w:cs="仿宋_GB2312"/>
          <w:b w:val="0"/>
          <w:bCs w:val="0"/>
          <w:color w:val="auto"/>
          <w:sz w:val="24"/>
          <w:szCs w:val="24"/>
          <w:highlight w:val="none"/>
          <w:lang w:eastAsia="zh-CN"/>
        </w:rPr>
        <w:t>较</w:t>
      </w:r>
      <w:r>
        <w:rPr>
          <w:rFonts w:hint="eastAsia" w:ascii="仿宋_GB2312" w:hAnsi="仿宋_GB2312" w:eastAsia="仿宋_GB2312" w:cs="仿宋_GB2312"/>
          <w:b w:val="0"/>
          <w:bCs w:val="0"/>
          <w:color w:val="auto"/>
          <w:sz w:val="24"/>
          <w:szCs w:val="24"/>
          <w:highlight w:val="none"/>
        </w:rPr>
        <w:t>高。但是，项目还存在绩效指标设定不明确、细化程度不高，</w:t>
      </w:r>
      <w:r>
        <w:rPr>
          <w:rFonts w:hint="eastAsia" w:ascii="仿宋_GB2312" w:hAnsi="仿宋_GB2312" w:eastAsia="仿宋_GB2312" w:cs="仿宋_GB2312"/>
          <w:b w:val="0"/>
          <w:bCs w:val="0"/>
          <w:color w:val="auto"/>
          <w:sz w:val="24"/>
          <w:szCs w:val="24"/>
          <w:highlight w:val="none"/>
          <w:lang w:val="en-US" w:eastAsia="zh-CN"/>
        </w:rPr>
        <w:t>项目支出与预算相关程度不强，完成程度无据考量等</w:t>
      </w:r>
      <w:r>
        <w:rPr>
          <w:rFonts w:hint="eastAsia" w:ascii="仿宋_GB2312" w:hAnsi="仿宋_GB2312" w:eastAsia="仿宋_GB2312" w:cs="仿宋_GB2312"/>
          <w:b w:val="0"/>
          <w:bCs w:val="0"/>
          <w:color w:val="auto"/>
          <w:sz w:val="24"/>
          <w:szCs w:val="24"/>
          <w:highlight w:val="none"/>
        </w:rPr>
        <w:t>问题。</w:t>
      </w:r>
    </w:p>
    <w:p w14:paraId="415021E8">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lang w:val="en-US" w:eastAsia="zh-CN"/>
        </w:rPr>
        <w:t xml:space="preserve"> </w:t>
      </w:r>
      <w:bookmarkStart w:id="8" w:name="_Toc4485"/>
      <w:r>
        <w:rPr>
          <w:rFonts w:hint="eastAsia" w:ascii="楷体_GB2312" w:hAnsi="楷体_GB2312" w:eastAsia="楷体_GB2312" w:cs="楷体_GB2312"/>
          <w:b w:val="0"/>
          <w:bCs w:val="0"/>
          <w:color w:val="auto"/>
          <w:sz w:val="30"/>
          <w:szCs w:val="30"/>
          <w:highlight w:val="none"/>
          <w:lang w:val="en-US" w:eastAsia="zh-CN"/>
        </w:rPr>
        <w:t>三</w:t>
      </w:r>
      <w:r>
        <w:rPr>
          <w:rFonts w:hint="eastAsia" w:ascii="楷体_GB2312" w:hAnsi="楷体_GB2312" w:eastAsia="楷体_GB2312" w:cs="楷体_GB2312"/>
          <w:b w:val="0"/>
          <w:bCs w:val="0"/>
          <w:color w:val="auto"/>
          <w:sz w:val="30"/>
          <w:szCs w:val="30"/>
          <w:highlight w:val="none"/>
        </w:rPr>
        <w:t>、绩效评价指标完成情况</w:t>
      </w:r>
      <w:bookmarkEnd w:id="8"/>
    </w:p>
    <w:p w14:paraId="2F300EF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9" w:name="_Toc16774"/>
      <w:r>
        <w:rPr>
          <w:rFonts w:hint="eastAsia" w:ascii="仿宋_GB2312" w:hAnsi="仿宋_GB2312" w:eastAsia="仿宋_GB2312" w:cs="仿宋_GB2312"/>
          <w:b w:val="0"/>
          <w:bCs w:val="0"/>
          <w:color w:val="auto"/>
          <w:sz w:val="24"/>
          <w:szCs w:val="24"/>
          <w:highlight w:val="none"/>
        </w:rPr>
        <w:t>（一）决策指标分析</w:t>
      </w:r>
      <w:bookmarkEnd w:id="9"/>
    </w:p>
    <w:p w14:paraId="2AEB00A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该指标分值</w:t>
      </w:r>
      <w:r>
        <w:rPr>
          <w:rFonts w:hint="eastAsia" w:ascii="仿宋_GB2312" w:hAnsi="仿宋_GB2312" w:eastAsia="仿宋_GB2312" w:cs="仿宋_GB2312"/>
          <w:b w:val="0"/>
          <w:bCs w:val="0"/>
          <w:color w:val="auto"/>
          <w:sz w:val="24"/>
          <w:szCs w:val="24"/>
          <w:highlight w:val="none"/>
          <w:lang w:val="en-US" w:eastAsia="zh-CN"/>
        </w:rPr>
        <w:t>30</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25</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83.33</w:t>
      </w:r>
      <w:r>
        <w:rPr>
          <w:rFonts w:hint="eastAsia" w:ascii="仿宋_GB2312" w:hAnsi="仿宋_GB2312" w:eastAsia="仿宋_GB2312" w:cs="仿宋_GB2312"/>
          <w:b w:val="0"/>
          <w:bCs w:val="0"/>
          <w:color w:val="auto"/>
          <w:sz w:val="24"/>
          <w:szCs w:val="24"/>
          <w:highlight w:val="none"/>
        </w:rPr>
        <w:t>%。项目立项依据充分，程序规范。项目绩效目标细化分解为具体的绩效指标，但是细化程度不高，部分绩效指标</w:t>
      </w:r>
      <w:r>
        <w:rPr>
          <w:rFonts w:hint="eastAsia" w:ascii="仿宋_GB2312" w:hAnsi="仿宋_GB2312" w:eastAsia="仿宋_GB2312" w:cs="仿宋_GB2312"/>
          <w:b w:val="0"/>
          <w:bCs w:val="0"/>
          <w:color w:val="auto"/>
          <w:sz w:val="24"/>
          <w:szCs w:val="24"/>
          <w:highlight w:val="none"/>
          <w:lang w:eastAsia="zh-CN"/>
        </w:rPr>
        <w:t>与</w:t>
      </w:r>
      <w:r>
        <w:rPr>
          <w:rFonts w:hint="eastAsia" w:ascii="仿宋_GB2312" w:hAnsi="仿宋_GB2312" w:eastAsia="仿宋_GB2312" w:cs="仿宋_GB2312"/>
          <w:b w:val="0"/>
          <w:bCs w:val="0"/>
          <w:color w:val="auto"/>
          <w:sz w:val="24"/>
          <w:szCs w:val="24"/>
          <w:highlight w:val="none"/>
        </w:rPr>
        <w:t>实际相关</w:t>
      </w:r>
      <w:r>
        <w:rPr>
          <w:rFonts w:hint="eastAsia" w:ascii="仿宋_GB2312" w:hAnsi="仿宋_GB2312" w:eastAsia="仿宋_GB2312" w:cs="仿宋_GB2312"/>
          <w:b w:val="0"/>
          <w:bCs w:val="0"/>
          <w:color w:val="auto"/>
          <w:sz w:val="24"/>
          <w:szCs w:val="24"/>
          <w:highlight w:val="none"/>
          <w:lang w:eastAsia="zh-CN"/>
        </w:rPr>
        <w:t>性</w:t>
      </w:r>
      <w:r>
        <w:rPr>
          <w:rFonts w:hint="eastAsia" w:ascii="仿宋_GB2312" w:hAnsi="仿宋_GB2312" w:eastAsia="仿宋_GB2312" w:cs="仿宋_GB2312"/>
          <w:b w:val="0"/>
          <w:bCs w:val="0"/>
          <w:color w:val="auto"/>
          <w:sz w:val="24"/>
          <w:szCs w:val="24"/>
          <w:highlight w:val="none"/>
        </w:rPr>
        <w:t>不够全面、不够明确，</w:t>
      </w:r>
      <w:r>
        <w:rPr>
          <w:rFonts w:hint="eastAsia" w:ascii="仿宋_GB2312" w:hAnsi="仿宋_GB2312" w:eastAsia="仿宋_GB2312" w:cs="仿宋_GB2312"/>
          <w:b w:val="0"/>
          <w:bCs w:val="0"/>
          <w:color w:val="auto"/>
          <w:sz w:val="24"/>
          <w:szCs w:val="24"/>
          <w:highlight w:val="none"/>
          <w:lang w:eastAsia="zh-CN"/>
        </w:rPr>
        <w:t>预算与实际有偏差，</w:t>
      </w:r>
      <w:r>
        <w:rPr>
          <w:rFonts w:hint="eastAsia" w:ascii="仿宋_GB2312" w:hAnsi="仿宋_GB2312" w:eastAsia="仿宋_GB2312" w:cs="仿宋_GB2312"/>
          <w:b w:val="0"/>
          <w:bCs w:val="0"/>
          <w:color w:val="auto"/>
          <w:sz w:val="24"/>
          <w:szCs w:val="24"/>
          <w:highlight w:val="none"/>
        </w:rPr>
        <w:t>部分细化的三级指标与二级指标匹配性不高，质量指标量化不明确。</w:t>
      </w:r>
      <w:bookmarkStart w:id="10" w:name="_Toc1661"/>
    </w:p>
    <w:p w14:paraId="45CE9366">
      <w:pPr>
        <w:keepNext w:val="0"/>
        <w:keepLines w:val="0"/>
        <w:pageBreakBefore w:val="0"/>
        <w:kinsoku/>
        <w:wordWrap/>
        <w:overflowPunct/>
        <w:topLinePunct w:val="0"/>
        <w:autoSpaceDE/>
        <w:autoSpaceDN/>
        <w:bidi w:val="0"/>
        <w:adjustRightInd/>
        <w:snapToGrid/>
        <w:spacing w:line="560" w:lineRule="exact"/>
        <w:ind w:firstLine="240" w:firstLineChars="1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（二）过程指标分析</w:t>
      </w:r>
      <w:bookmarkEnd w:id="10"/>
    </w:p>
    <w:p w14:paraId="62073B1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该指标分值</w:t>
      </w:r>
      <w:r>
        <w:rPr>
          <w:rFonts w:hint="eastAsia" w:ascii="仿宋_GB2312" w:hAnsi="仿宋_GB2312" w:eastAsia="仿宋_GB2312" w:cs="仿宋_GB2312"/>
          <w:b w:val="0"/>
          <w:bCs w:val="0"/>
          <w:color w:val="auto"/>
          <w:sz w:val="24"/>
          <w:szCs w:val="24"/>
          <w:highlight w:val="none"/>
          <w:lang w:val="en-US" w:eastAsia="zh-CN"/>
        </w:rPr>
        <w:t>30</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20</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66.67</w:t>
      </w:r>
      <w:r>
        <w:rPr>
          <w:rFonts w:hint="eastAsia" w:ascii="仿宋_GB2312" w:hAnsi="仿宋_GB2312" w:eastAsia="仿宋_GB2312" w:cs="仿宋_GB2312"/>
          <w:b w:val="0"/>
          <w:bCs w:val="0"/>
          <w:color w:val="auto"/>
          <w:sz w:val="24"/>
          <w:szCs w:val="24"/>
          <w:highlight w:val="none"/>
        </w:rPr>
        <w:t>%。项目资金拨付</w:t>
      </w:r>
      <w:r>
        <w:rPr>
          <w:rFonts w:hint="eastAsia" w:ascii="仿宋_GB2312" w:hAnsi="仿宋_GB2312" w:eastAsia="仿宋_GB2312" w:cs="仿宋_GB2312"/>
          <w:b w:val="0"/>
          <w:bCs w:val="0"/>
          <w:color w:val="auto"/>
          <w:sz w:val="24"/>
          <w:szCs w:val="24"/>
          <w:highlight w:val="none"/>
          <w:lang w:eastAsia="zh-CN"/>
        </w:rPr>
        <w:t>不完全，有偏差</w:t>
      </w:r>
      <w:r>
        <w:rPr>
          <w:rFonts w:hint="eastAsia" w:ascii="仿宋_GB2312" w:hAnsi="仿宋_GB2312" w:eastAsia="仿宋_GB2312" w:cs="仿宋_GB2312"/>
          <w:b w:val="0"/>
          <w:bCs w:val="0"/>
          <w:color w:val="auto"/>
          <w:sz w:val="24"/>
          <w:szCs w:val="24"/>
          <w:highlight w:val="none"/>
        </w:rPr>
        <w:t>，资金拨付具有完整的审批程序，资金使用合规，项目建立了财务及业务管理制度，相关制度基本得到有效执行。但是绩效自评内容不够完整，数据填写不够规范，自评结论</w:t>
      </w:r>
      <w:r>
        <w:rPr>
          <w:rFonts w:hint="eastAsia" w:ascii="仿宋_GB2312" w:hAnsi="仿宋_GB2312" w:eastAsia="仿宋_GB2312" w:cs="仿宋_GB2312"/>
          <w:b w:val="0"/>
          <w:bCs w:val="0"/>
          <w:color w:val="auto"/>
          <w:sz w:val="24"/>
          <w:szCs w:val="24"/>
          <w:highlight w:val="none"/>
          <w:lang w:val="en-US" w:eastAsia="zh-CN"/>
        </w:rPr>
        <w:t>有些地方</w:t>
      </w:r>
      <w:r>
        <w:rPr>
          <w:rFonts w:hint="eastAsia" w:ascii="仿宋_GB2312" w:hAnsi="仿宋_GB2312" w:eastAsia="仿宋_GB2312" w:cs="仿宋_GB2312"/>
          <w:b w:val="0"/>
          <w:bCs w:val="0"/>
          <w:color w:val="auto"/>
          <w:sz w:val="24"/>
          <w:szCs w:val="24"/>
          <w:highlight w:val="none"/>
        </w:rPr>
        <w:t>不真实，</w:t>
      </w:r>
      <w:bookmarkStart w:id="11" w:name="_Hlk80221096"/>
      <w:r>
        <w:rPr>
          <w:rFonts w:hint="eastAsia" w:ascii="仿宋_GB2312" w:hAnsi="仿宋_GB2312" w:eastAsia="仿宋_GB2312" w:cs="仿宋_GB2312"/>
          <w:b w:val="0"/>
          <w:bCs w:val="0"/>
          <w:color w:val="auto"/>
          <w:sz w:val="24"/>
          <w:szCs w:val="24"/>
          <w:highlight w:val="none"/>
        </w:rPr>
        <w:t>未能真实反映项目执行情况</w:t>
      </w:r>
      <w:bookmarkEnd w:id="11"/>
      <w:r>
        <w:rPr>
          <w:rFonts w:hint="eastAsia" w:ascii="仿宋_GB2312" w:hAnsi="仿宋_GB2312" w:eastAsia="仿宋_GB2312" w:cs="仿宋_GB2312"/>
          <w:b w:val="0"/>
          <w:bCs w:val="0"/>
          <w:color w:val="auto"/>
          <w:sz w:val="24"/>
          <w:szCs w:val="24"/>
          <w:highlight w:val="none"/>
        </w:rPr>
        <w:t>。</w:t>
      </w:r>
    </w:p>
    <w:p w14:paraId="569EC75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12" w:name="_Toc27095"/>
      <w:r>
        <w:rPr>
          <w:rFonts w:hint="eastAsia" w:ascii="仿宋_GB2312" w:hAnsi="仿宋_GB2312" w:eastAsia="仿宋_GB2312" w:cs="仿宋_GB2312"/>
          <w:b w:val="0"/>
          <w:bCs w:val="0"/>
          <w:color w:val="auto"/>
          <w:sz w:val="24"/>
          <w:szCs w:val="24"/>
          <w:highlight w:val="none"/>
        </w:rPr>
        <w:t>（三）产出指标分析</w:t>
      </w:r>
      <w:bookmarkEnd w:id="12"/>
    </w:p>
    <w:p w14:paraId="75B8AAA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rPr>
        <w:t>该指标分值</w:t>
      </w:r>
      <w:r>
        <w:rPr>
          <w:rFonts w:hint="eastAsia" w:ascii="仿宋_GB2312" w:hAnsi="仿宋_GB2312" w:eastAsia="仿宋_GB2312" w:cs="仿宋_GB2312"/>
          <w:b w:val="0"/>
          <w:bCs w:val="0"/>
          <w:color w:val="auto"/>
          <w:sz w:val="24"/>
          <w:szCs w:val="24"/>
          <w:highlight w:val="none"/>
          <w:lang w:val="en-US" w:eastAsia="zh-CN"/>
        </w:rPr>
        <w:t>20</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16</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80</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sz w:val="24"/>
          <w:szCs w:val="24"/>
          <w:highlight w:val="none"/>
          <w:lang w:eastAsia="zh-CN"/>
        </w:rPr>
        <w:t>一项</w:t>
      </w:r>
      <w:r>
        <w:rPr>
          <w:rFonts w:hint="eastAsia" w:ascii="仿宋_GB2312" w:hAnsi="仿宋_GB2312" w:eastAsia="仿宋_GB2312" w:cs="仿宋_GB2312"/>
          <w:b w:val="0"/>
          <w:bCs w:val="0"/>
          <w:color w:val="auto"/>
          <w:sz w:val="24"/>
          <w:szCs w:val="24"/>
          <w:highlight w:val="none"/>
        </w:rPr>
        <w:t>任务</w:t>
      </w:r>
      <w:r>
        <w:rPr>
          <w:rFonts w:hint="eastAsia" w:ascii="仿宋_GB2312" w:hAnsi="仿宋_GB2312" w:eastAsia="仿宋_GB2312" w:cs="仿宋_GB2312"/>
          <w:b w:val="0"/>
          <w:bCs w:val="0"/>
          <w:color w:val="auto"/>
          <w:sz w:val="24"/>
          <w:szCs w:val="24"/>
          <w:highlight w:val="none"/>
          <w:lang w:eastAsia="zh-CN"/>
        </w:rPr>
        <w:t>没能及时</w:t>
      </w:r>
      <w:r>
        <w:rPr>
          <w:rFonts w:hint="eastAsia" w:ascii="仿宋_GB2312" w:hAnsi="仿宋_GB2312" w:eastAsia="仿宋_GB2312" w:cs="仿宋_GB2312"/>
          <w:b w:val="0"/>
          <w:bCs w:val="0"/>
          <w:color w:val="auto"/>
          <w:sz w:val="24"/>
          <w:szCs w:val="24"/>
          <w:highlight w:val="none"/>
        </w:rPr>
        <w:t>完成</w:t>
      </w:r>
      <w:r>
        <w:rPr>
          <w:rFonts w:hint="eastAsia" w:ascii="仿宋_GB2312" w:hAnsi="仿宋_GB2312" w:eastAsia="仿宋_GB2312" w:cs="仿宋_GB2312"/>
          <w:b w:val="0"/>
          <w:bCs w:val="0"/>
          <w:color w:val="auto"/>
          <w:sz w:val="24"/>
          <w:szCs w:val="24"/>
          <w:highlight w:val="none"/>
          <w:lang w:eastAsia="zh-CN"/>
        </w:rPr>
        <w:t>，一项任务有超支</w:t>
      </w:r>
      <w:r>
        <w:rPr>
          <w:rFonts w:hint="eastAsia" w:ascii="仿宋_GB2312" w:hAnsi="仿宋_GB2312" w:eastAsia="仿宋_GB2312" w:cs="仿宋_GB2312"/>
          <w:b w:val="0"/>
          <w:bCs w:val="0"/>
          <w:color w:val="auto"/>
          <w:sz w:val="24"/>
          <w:szCs w:val="24"/>
          <w:highlight w:val="none"/>
          <w:lang w:val="en-US" w:eastAsia="zh-CN"/>
        </w:rPr>
        <w:t>.</w:t>
      </w:r>
    </w:p>
    <w:p w14:paraId="7266889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13" w:name="_Toc21880"/>
      <w:r>
        <w:rPr>
          <w:rFonts w:hint="eastAsia" w:ascii="仿宋_GB2312" w:hAnsi="仿宋_GB2312" w:eastAsia="仿宋_GB2312" w:cs="仿宋_GB2312"/>
          <w:b w:val="0"/>
          <w:bCs w:val="0"/>
          <w:color w:val="auto"/>
          <w:sz w:val="24"/>
          <w:szCs w:val="24"/>
          <w:highlight w:val="none"/>
        </w:rPr>
        <w:t>（四）效益指标分析</w:t>
      </w:r>
      <w:bookmarkEnd w:id="13"/>
    </w:p>
    <w:p w14:paraId="711B1949">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该指标分值</w:t>
      </w:r>
      <w:r>
        <w:rPr>
          <w:rFonts w:hint="eastAsia" w:ascii="仿宋_GB2312" w:hAnsi="仿宋_GB2312" w:eastAsia="仿宋_GB2312" w:cs="仿宋_GB2312"/>
          <w:b w:val="0"/>
          <w:bCs w:val="0"/>
          <w:color w:val="auto"/>
          <w:sz w:val="24"/>
          <w:szCs w:val="24"/>
          <w:highlight w:val="none"/>
          <w:lang w:val="en-US" w:eastAsia="zh-CN"/>
        </w:rPr>
        <w:t>20</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18</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90</w:t>
      </w:r>
      <w:r>
        <w:rPr>
          <w:rFonts w:hint="eastAsia" w:ascii="仿宋_GB2312" w:hAnsi="仿宋_GB2312" w:eastAsia="仿宋_GB2312" w:cs="仿宋_GB2312"/>
          <w:b w:val="0"/>
          <w:bCs w:val="0"/>
          <w:color w:val="auto"/>
          <w:sz w:val="24"/>
          <w:szCs w:val="24"/>
          <w:highlight w:val="none"/>
        </w:rPr>
        <w:t>%。通过涡河航道治理</w:t>
      </w:r>
      <w:r>
        <w:rPr>
          <w:rFonts w:hint="eastAsia" w:ascii="仿宋_GB2312" w:hAnsi="仿宋_GB2312" w:eastAsia="仿宋_GB2312" w:cs="仿宋_GB2312"/>
          <w:b w:val="0"/>
          <w:bCs w:val="0"/>
          <w:color w:val="auto"/>
          <w:sz w:val="24"/>
          <w:szCs w:val="24"/>
          <w:highlight w:val="none"/>
          <w:lang w:val="en-US" w:eastAsia="zh-CN"/>
        </w:rPr>
        <w:t>工程的建设</w:t>
      </w:r>
      <w:r>
        <w:rPr>
          <w:rFonts w:hint="eastAsia" w:ascii="仿宋_GB2312" w:hAnsi="仿宋_GB2312" w:eastAsia="仿宋_GB2312" w:cs="仿宋_GB2312"/>
          <w:b w:val="0"/>
          <w:bCs w:val="0"/>
          <w:color w:val="auto"/>
          <w:sz w:val="24"/>
          <w:szCs w:val="24"/>
          <w:highlight w:val="none"/>
        </w:rPr>
        <w:t>，减船退渔项目的实施有助于保护水资源，对鲤、长吻鮠等国家级水产种质资源保护</w:t>
      </w:r>
      <w:r>
        <w:rPr>
          <w:rFonts w:hint="eastAsia" w:ascii="仿宋_GB2312" w:hAnsi="仿宋_GB2312" w:eastAsia="仿宋_GB2312" w:cs="仿宋_GB2312"/>
          <w:b w:val="0"/>
          <w:bCs w:val="0"/>
          <w:color w:val="auto"/>
          <w:sz w:val="24"/>
          <w:szCs w:val="24"/>
          <w:highlight w:val="none"/>
          <w:lang w:eastAsia="zh-CN"/>
        </w:rPr>
        <w:t>，渔业资源得到有效恢复及水产资源的可持续增长；同时减船退渔安置社会保障举措维护了渔</w:t>
      </w:r>
      <w:r>
        <w:rPr>
          <w:rFonts w:hint="eastAsia" w:ascii="仿宋_GB2312" w:hAnsi="仿宋_GB2312" w:eastAsia="仿宋_GB2312" w:cs="仿宋_GB2312"/>
          <w:b w:val="0"/>
          <w:bCs w:val="0"/>
          <w:color w:val="auto"/>
          <w:sz w:val="24"/>
          <w:szCs w:val="24"/>
          <w:highlight w:val="none"/>
        </w:rPr>
        <w:t>民合法权益</w:t>
      </w:r>
      <w:r>
        <w:rPr>
          <w:rFonts w:hint="eastAsia" w:ascii="仿宋_GB2312" w:hAnsi="仿宋_GB2312" w:eastAsia="仿宋_GB2312" w:cs="仿宋_GB2312"/>
          <w:b w:val="0"/>
          <w:bCs w:val="0"/>
          <w:color w:val="auto"/>
          <w:sz w:val="24"/>
          <w:szCs w:val="24"/>
          <w:highlight w:val="none"/>
          <w:lang w:eastAsia="zh-CN"/>
        </w:rPr>
        <w:t>，利于渔区的稳定发展，</w:t>
      </w:r>
      <w:r>
        <w:rPr>
          <w:rFonts w:hint="eastAsia" w:ascii="仿宋_GB2312" w:hAnsi="仿宋_GB2312" w:eastAsia="仿宋_GB2312" w:cs="仿宋_GB2312"/>
          <w:b w:val="0"/>
          <w:bCs w:val="0"/>
          <w:color w:val="auto"/>
          <w:sz w:val="24"/>
          <w:szCs w:val="24"/>
          <w:highlight w:val="none"/>
          <w:lang w:val="en-US" w:eastAsia="zh-CN"/>
        </w:rPr>
        <w:t>以实现既定的经济效益</w:t>
      </w:r>
      <w:r>
        <w:rPr>
          <w:rFonts w:hint="eastAsia" w:ascii="仿宋_GB2312" w:hAnsi="仿宋_GB2312" w:eastAsia="仿宋_GB2312" w:cs="仿宋_GB2312"/>
          <w:b w:val="0"/>
          <w:bCs w:val="0"/>
          <w:color w:val="auto"/>
          <w:sz w:val="24"/>
          <w:szCs w:val="24"/>
          <w:highlight w:val="none"/>
          <w:lang w:eastAsia="zh-CN"/>
        </w:rPr>
        <w:t>和社会效益。</w:t>
      </w:r>
    </w:p>
    <w:p w14:paraId="30841F71">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bookmarkStart w:id="14" w:name="_Toc3128"/>
      <w:r>
        <w:rPr>
          <w:rFonts w:hint="eastAsia" w:ascii="楷体_GB2312" w:hAnsi="楷体_GB2312" w:eastAsia="楷体_GB2312" w:cs="楷体_GB2312"/>
          <w:b w:val="0"/>
          <w:bCs w:val="0"/>
          <w:color w:val="auto"/>
          <w:sz w:val="30"/>
          <w:szCs w:val="30"/>
          <w:highlight w:val="none"/>
          <w:lang w:val="en-US" w:eastAsia="zh-CN"/>
        </w:rPr>
        <w:t>四</w:t>
      </w:r>
      <w:r>
        <w:rPr>
          <w:rFonts w:hint="eastAsia" w:ascii="楷体_GB2312" w:hAnsi="楷体_GB2312" w:eastAsia="楷体_GB2312" w:cs="楷体_GB2312"/>
          <w:b w:val="0"/>
          <w:bCs w:val="0"/>
          <w:color w:val="auto"/>
          <w:sz w:val="30"/>
          <w:szCs w:val="30"/>
          <w:highlight w:val="none"/>
        </w:rPr>
        <w:t>、主要经验及做法</w:t>
      </w:r>
      <w:bookmarkEnd w:id="14"/>
    </w:p>
    <w:p w14:paraId="44D7A83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主经验及落实做法如下：</w:t>
      </w:r>
    </w:p>
    <w:p w14:paraId="38E01F9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（一）明确项目目标与责任，克服麻痹思想，强化责任落实；</w:t>
      </w:r>
    </w:p>
    <w:p w14:paraId="7C2D5EC0">
      <w:pPr>
        <w:keepNext w:val="0"/>
        <w:keepLines w:val="0"/>
        <w:pageBreakBefore w:val="0"/>
        <w:numPr>
          <w:ilvl w:val="0"/>
          <w:numId w:val="0"/>
        </w:numPr>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（二）加强资金管理与使用，实施精细化管理，提升堤防质量；</w:t>
      </w:r>
    </w:p>
    <w:p w14:paraId="0C5B77D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（三）强化项目管理与执行，注重思想教育，增强群众意识；</w:t>
      </w:r>
    </w:p>
    <w:p w14:paraId="101701D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（四）强化目标设定与实际，注重理论与实际相结合，执行到位；</w:t>
      </w:r>
    </w:p>
    <w:p w14:paraId="6AC758A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（五）加强监督与评估，建立联动机制，形成工作合力。</w:t>
      </w:r>
    </w:p>
    <w:p w14:paraId="173772FE">
      <w:pPr>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这些经验和做法为怀远县</w:t>
      </w:r>
      <w:r>
        <w:rPr>
          <w:rFonts w:hint="eastAsia" w:ascii="仿宋_GB2312" w:hAnsi="仿宋_GB2312" w:eastAsia="仿宋_GB2312" w:cs="仿宋_GB2312"/>
          <w:b w:val="0"/>
          <w:bCs w:val="0"/>
          <w:color w:val="auto"/>
          <w:sz w:val="24"/>
          <w:szCs w:val="24"/>
          <w:highlight w:val="none"/>
        </w:rPr>
        <w:t>涡河航道治理</w:t>
      </w:r>
      <w:r>
        <w:rPr>
          <w:rFonts w:hint="eastAsia" w:ascii="仿宋_GB2312" w:hAnsi="仿宋_GB2312" w:eastAsia="仿宋_GB2312" w:cs="仿宋_GB2312"/>
          <w:b w:val="0"/>
          <w:bCs w:val="0"/>
          <w:color w:val="auto"/>
          <w:sz w:val="24"/>
          <w:szCs w:val="24"/>
          <w:highlight w:val="none"/>
          <w:lang w:val="en-US" w:eastAsia="zh-CN"/>
        </w:rPr>
        <w:t>工程的顺利开展提供了有力保障。</w:t>
      </w:r>
    </w:p>
    <w:p w14:paraId="1B26F910">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bookmarkStart w:id="15" w:name="_Toc2815"/>
      <w:r>
        <w:rPr>
          <w:rFonts w:hint="eastAsia" w:ascii="楷体_GB2312" w:hAnsi="楷体_GB2312" w:eastAsia="楷体_GB2312" w:cs="楷体_GB2312"/>
          <w:b w:val="0"/>
          <w:bCs w:val="0"/>
          <w:color w:val="auto"/>
          <w:sz w:val="30"/>
          <w:szCs w:val="30"/>
          <w:highlight w:val="none"/>
          <w:lang w:val="en-US" w:eastAsia="zh-CN"/>
        </w:rPr>
        <w:t>五</w:t>
      </w:r>
      <w:r>
        <w:rPr>
          <w:rFonts w:hint="eastAsia" w:ascii="楷体_GB2312" w:hAnsi="楷体_GB2312" w:eastAsia="楷体_GB2312" w:cs="楷体_GB2312"/>
          <w:b w:val="0"/>
          <w:bCs w:val="0"/>
          <w:color w:val="auto"/>
          <w:sz w:val="30"/>
          <w:szCs w:val="30"/>
          <w:highlight w:val="none"/>
        </w:rPr>
        <w:t>、存在问题及原因分析</w:t>
      </w:r>
      <w:bookmarkEnd w:id="15"/>
    </w:p>
    <w:p w14:paraId="3AEB5F2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一是绩效目标设置较为简单，需要进一步明确项目指标设置。缺少效益指标。不能细化量化考核实际效果；</w:t>
      </w:r>
    </w:p>
    <w:p w14:paraId="5F798B0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二是资金分配与监管问题，在预算执行中才发现预算与执行不到位，资金监管不到位。</w:t>
      </w:r>
    </w:p>
    <w:p w14:paraId="1581881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三是项目管理与执行问题，没发现在平时工作中有提出管理需求，也没有对项目在执行中发挥监督作用。</w:t>
      </w:r>
    </w:p>
    <w:p w14:paraId="469E6DE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四是项目绩效目标合理性，主要问题在于从执行情况看项目实施没有经过详细科学论证，而且预算编制科学性不高；</w:t>
      </w:r>
    </w:p>
    <w:p w14:paraId="1CE1CD0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五是专项预算分配经验尚欠充足经验，不能按照年初部门预算100%标准执行，影响资金时效发挥；</w:t>
      </w:r>
    </w:p>
    <w:p w14:paraId="7B84F65D">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bookmarkStart w:id="16" w:name="_Toc13766"/>
      <w:r>
        <w:rPr>
          <w:rFonts w:hint="eastAsia" w:ascii="楷体_GB2312" w:hAnsi="楷体_GB2312" w:eastAsia="楷体_GB2312" w:cs="楷体_GB2312"/>
          <w:b w:val="0"/>
          <w:bCs w:val="0"/>
          <w:color w:val="auto"/>
          <w:sz w:val="30"/>
          <w:szCs w:val="30"/>
          <w:highlight w:val="none"/>
          <w:lang w:val="en-US" w:eastAsia="zh-CN"/>
        </w:rPr>
        <w:t>六</w:t>
      </w:r>
      <w:r>
        <w:rPr>
          <w:rFonts w:hint="eastAsia" w:ascii="楷体_GB2312" w:hAnsi="楷体_GB2312" w:eastAsia="楷体_GB2312" w:cs="楷体_GB2312"/>
          <w:b w:val="0"/>
          <w:bCs w:val="0"/>
          <w:color w:val="auto"/>
          <w:sz w:val="30"/>
          <w:szCs w:val="30"/>
          <w:highlight w:val="none"/>
        </w:rPr>
        <w:t>、有关建议</w:t>
      </w:r>
      <w:bookmarkEnd w:id="16"/>
    </w:p>
    <w:p w14:paraId="40D8EC44">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为进一步提高资金使用效益，针对存在的问题，提出如下建议：</w:t>
      </w:r>
    </w:p>
    <w:p w14:paraId="1203B6C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一是完善绩效目标编制，细化绩效指标值；在编制绩效目标时，</w:t>
      </w:r>
      <w:r>
        <w:rPr>
          <w:rFonts w:hint="eastAsia" w:ascii="仿宋_GB2312" w:hAnsi="仿宋_GB2312" w:eastAsia="仿宋_GB2312" w:cs="仿宋_GB2312"/>
          <w:b w:val="0"/>
          <w:bCs w:val="0"/>
          <w:color w:val="auto"/>
          <w:sz w:val="24"/>
          <w:szCs w:val="24"/>
          <w:highlight w:val="none"/>
        </w:rPr>
        <w:t>怀远县农业农村局</w:t>
      </w:r>
      <w:r>
        <w:rPr>
          <w:rFonts w:hint="eastAsia" w:ascii="仿宋_GB2312" w:hAnsi="仿宋_GB2312" w:eastAsia="仿宋_GB2312" w:cs="仿宋_GB2312"/>
          <w:b w:val="0"/>
          <w:bCs w:val="0"/>
          <w:color w:val="auto"/>
          <w:sz w:val="24"/>
          <w:szCs w:val="24"/>
          <w:highlight w:val="none"/>
          <w:lang w:val="en-US" w:eastAsia="zh-CN"/>
        </w:rPr>
        <w:t>应加强财务部门与项目实施部门之间的信息沟通，共同参与绩效目标编制，根据项目的实际情况、工作计划等合理设置绩效目标，细化量化指标值，便于项目绩效管理。</w:t>
      </w:r>
    </w:p>
    <w:p w14:paraId="1C32903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二是加强业务条线管理，做好资金分配与监管，要落实资金使用方向，确保资金使用在预算项目中。</w:t>
      </w:r>
    </w:p>
    <w:p w14:paraId="50F068B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三是强化内部流程制度的制定与落实。根据项目申请到项目落实及后期的管理要制定一个具体的管理办法，完善财务制度，保证专款专用，不挪用项目资金。</w:t>
      </w:r>
    </w:p>
    <w:p w14:paraId="7A27528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四是严格落实会议精神确保涡阳航道治理工程顺利完成，实现目标。</w:t>
      </w:r>
    </w:p>
    <w:p w14:paraId="61C32A51">
      <w:pPr>
        <w:pStyle w:val="4"/>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p>
    <w:p w14:paraId="76E9A286">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kern w:val="0"/>
          <w:sz w:val="24"/>
          <w:szCs w:val="24"/>
          <w:highlight w:val="none"/>
          <w:lang w:val="en-US" w:eastAsia="zh-CN"/>
        </w:rPr>
      </w:pPr>
    </w:p>
    <w:p w14:paraId="37849ACB">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kern w:val="0"/>
          <w:sz w:val="24"/>
          <w:szCs w:val="24"/>
          <w:highlight w:val="none"/>
          <w:lang w:val="en-US" w:eastAsia="zh-CN"/>
        </w:rPr>
      </w:pPr>
    </w:p>
    <w:p w14:paraId="6A892347">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lang w:val="en-US" w:eastAsia="zh-CN"/>
        </w:rPr>
      </w:pPr>
    </w:p>
    <w:p w14:paraId="32E8A9AF">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rPr>
          <w:rFonts w:hint="eastAsia" w:ascii="仿宋_GB2312" w:hAnsi="仿宋_GB2312" w:eastAsia="仿宋_GB2312" w:cs="仿宋_GB2312"/>
          <w:b w:val="0"/>
          <w:bCs w:val="0"/>
          <w:color w:val="auto"/>
          <w:kern w:val="0"/>
          <w:sz w:val="24"/>
          <w:szCs w:val="24"/>
          <w:highlight w:val="none"/>
        </w:rPr>
      </w:pPr>
    </w:p>
    <w:p w14:paraId="23354D98">
      <w:pPr>
        <w:keepNext w:val="0"/>
        <w:keepLines w:val="0"/>
        <w:pageBreakBefore w:val="0"/>
        <w:widowControl/>
        <w:suppressLineNumbers w:val="0"/>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sz w:val="24"/>
          <w:szCs w:val="24"/>
          <w:highlight w:val="none"/>
        </w:rPr>
      </w:pPr>
    </w:p>
    <w:p w14:paraId="51BD81F1">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18940B6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6CCC7336">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38D96C1E">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12E8EF3E">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075708C1">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2FEFB578">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1417A74E">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074E957E">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4A90E49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70DF01D7">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5ECB8FFF">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1AABEE78">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42858D08">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00"/>
        <w:rPr>
          <w:rFonts w:hint="eastAsia" w:ascii="仿宋_GB2312" w:hAnsi="仿宋_GB2312" w:eastAsia="仿宋_GB2312" w:cs="仿宋_GB2312"/>
          <w:b w:val="0"/>
          <w:bCs w:val="0"/>
          <w:color w:val="auto"/>
          <w:kern w:val="0"/>
          <w:sz w:val="24"/>
          <w:szCs w:val="24"/>
          <w:highlight w:val="none"/>
        </w:rPr>
      </w:pPr>
    </w:p>
    <w:p w14:paraId="61424DAB">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黑体" w:hAnsi="黑体" w:eastAsia="黑体" w:cs="黑体"/>
          <w:b w:val="0"/>
          <w:bCs w:val="0"/>
          <w:color w:val="auto"/>
          <w:kern w:val="0"/>
          <w:sz w:val="32"/>
          <w:szCs w:val="32"/>
          <w:highlight w:val="none"/>
          <w:lang w:val="en-US" w:eastAsia="zh-CN"/>
        </w:rPr>
      </w:pPr>
      <w:bookmarkStart w:id="17" w:name="_Toc27814"/>
      <w:r>
        <w:rPr>
          <w:rFonts w:hint="eastAsia" w:ascii="黑体" w:hAnsi="黑体" w:eastAsia="黑体" w:cs="黑体"/>
          <w:b w:val="0"/>
          <w:bCs w:val="0"/>
          <w:color w:val="auto"/>
          <w:kern w:val="0"/>
          <w:sz w:val="32"/>
          <w:szCs w:val="32"/>
          <w:highlight w:val="none"/>
          <w:lang w:val="en-US" w:eastAsia="zh-CN"/>
        </w:rPr>
        <w:t>怀远县农业农村局2023年度涡河航道治理经费</w:t>
      </w:r>
    </w:p>
    <w:p w14:paraId="31D8BA9B">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rPr>
          <w:rFonts w:hint="eastAsia" w:ascii="黑体" w:hAnsi="黑体" w:eastAsia="黑体" w:cs="黑体"/>
          <w:b w:val="0"/>
          <w:bCs w:val="0"/>
          <w:color w:val="auto"/>
          <w:kern w:val="0"/>
          <w:sz w:val="32"/>
          <w:szCs w:val="32"/>
          <w:highlight w:val="none"/>
        </w:rPr>
      </w:pPr>
      <w:r>
        <w:rPr>
          <w:rFonts w:hint="eastAsia" w:ascii="黑体" w:hAnsi="黑体" w:eastAsia="黑体" w:cs="黑体"/>
          <w:b w:val="0"/>
          <w:bCs w:val="0"/>
          <w:color w:val="auto"/>
          <w:kern w:val="0"/>
          <w:sz w:val="32"/>
          <w:szCs w:val="32"/>
          <w:highlight w:val="none"/>
        </w:rPr>
        <w:t>项目绩效评价报告</w:t>
      </w:r>
    </w:p>
    <w:p w14:paraId="38B35E59">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rPr>
        <w:t>一、项目基本情况</w:t>
      </w:r>
      <w:bookmarkEnd w:id="17"/>
    </w:p>
    <w:p w14:paraId="50FC991C">
      <w:pPr>
        <w:keepNext w:val="0"/>
        <w:keepLines w:val="0"/>
        <w:pageBreakBefore w:val="0"/>
        <w:kinsoku/>
        <w:wordWrap/>
        <w:overflowPunct/>
        <w:topLinePunct w:val="0"/>
        <w:autoSpaceDE/>
        <w:autoSpaceDN/>
        <w:bidi w:val="0"/>
        <w:adjustRightInd/>
        <w:snapToGrid/>
        <w:spacing w:line="560" w:lineRule="exact"/>
        <w:ind w:firstLine="480" w:firstLineChars="200"/>
        <w:outlineLvl w:val="1"/>
        <w:rPr>
          <w:rFonts w:hint="eastAsia" w:ascii="仿宋_GB2312" w:hAnsi="仿宋_GB2312" w:eastAsia="仿宋_GB2312" w:cs="仿宋_GB2312"/>
          <w:b w:val="0"/>
          <w:bCs w:val="0"/>
          <w:color w:val="auto"/>
          <w:sz w:val="24"/>
          <w:szCs w:val="24"/>
          <w:highlight w:val="none"/>
        </w:rPr>
      </w:pPr>
      <w:bookmarkStart w:id="18" w:name="_Toc3481"/>
      <w:r>
        <w:rPr>
          <w:rFonts w:hint="eastAsia" w:ascii="仿宋_GB2312" w:hAnsi="仿宋_GB2312" w:eastAsia="仿宋_GB2312" w:cs="仿宋_GB2312"/>
          <w:b w:val="0"/>
          <w:bCs w:val="0"/>
          <w:color w:val="auto"/>
          <w:sz w:val="24"/>
          <w:szCs w:val="24"/>
          <w:highlight w:val="none"/>
        </w:rPr>
        <w:t>（一）项目概况</w:t>
      </w:r>
      <w:bookmarkEnd w:id="18"/>
    </w:p>
    <w:p w14:paraId="6D0AC985">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1.项目背景</w:t>
      </w:r>
    </w:p>
    <w:p w14:paraId="2710C565">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随着腹地经济的快速发展，工业化和城镇化进程加快，急需提升涡河航道等级。安徽省人民政府“关于贯彻国家依托黄金水道推动长江经济带发展战略的实施意见”明确提出实施涡河等支流航道升级改造，逐步建成干支衔接、协调发展的高等级航道网。据国家发改委、交通部印发的《全国内河航道与港口布局规划》(2006～2020)、安徽省人民政府皖政办[2006]37号文批准的《安徽省内河航运发展规划》(2005)，涡河为安徽省五条重要的地区航道之一，规划等级为Ⅳ级，自2019-2023年涡河航道治理运行期，保护区核心区及实验区将长期受到涡河航道(大寺闸至入淮口段)整治工程的影响。为响应《涡河航道(大寺闸至入淮口段)整治工程对淮河荆涂峡鲤、长吻鮠国家级水产种质资源保护区影响专题报告》对生态补偿措施的要求，保护区管理部门“怀远县渔政管理站”拟组织开展淮河荆涂峡鲤、长吻鮠国家级水产种质资源保护区人工增殖放流、人工鱼巢建设、渔业资源环境监测及综合评估、渔民转产安置及施工期和运行期渔政管理工作，尽量减轻工程建设及运行对保护区生态环境的负面影响。</w:t>
      </w:r>
    </w:p>
    <w:p w14:paraId="3E65B6D1">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2.项目主要内容及实施情况</w:t>
      </w:r>
    </w:p>
    <w:p w14:paraId="52572AC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（1）项目主要内容</w:t>
      </w:r>
    </w:p>
    <w:p w14:paraId="2B1A2430">
      <w:pPr>
        <w:keepNext w:val="0"/>
        <w:keepLines w:val="0"/>
        <w:pageBreakBefore w:val="0"/>
        <w:kinsoku/>
        <w:wordWrap/>
        <w:overflowPunct/>
        <w:topLinePunct w:val="0"/>
        <w:autoSpaceDE/>
        <w:autoSpaceDN/>
        <w:bidi w:val="0"/>
        <w:adjustRightInd/>
        <w:snapToGrid/>
        <w:spacing w:line="560" w:lineRule="exact"/>
        <w:ind w:left="239" w:leftChars="114"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怀远县农业农村局绩效目标申请渔民减船退渔安置社会保障资金243.14万元，渔业资源环境监测20.94万元，共计264.08万元，怀远县财政局怀财预〔2023]2 号文件于2023年1月11日同意《关于2023年度县级部门预算的批复》，项目十六:涡河航道治理 264.08万元。保护区的影响生态补偿项目资金264.08万元，具体用于2023 年水生生态监测、减船退渔安置等。</w:t>
      </w:r>
    </w:p>
    <w:p w14:paraId="1554920D">
      <w:pPr>
        <w:keepNext w:val="0"/>
        <w:keepLines w:val="0"/>
        <w:pageBreakBefore w:val="0"/>
        <w:kinsoku/>
        <w:wordWrap/>
        <w:overflowPunct/>
        <w:topLinePunct w:val="0"/>
        <w:autoSpaceDE/>
        <w:autoSpaceDN/>
        <w:bidi w:val="0"/>
        <w:adjustRightInd/>
        <w:snapToGrid/>
        <w:spacing w:line="560" w:lineRule="exact"/>
        <w:ind w:left="239" w:leftChars="114"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文件要求：严格预算执行，硬化预算约束。各部门、各单位要严格按照批复的预算科目、项目、数额执行，不得随意调整预算，不得截留、挪用、改变项目或资金用途。对预算执行中因政策变化确需调整的项目，要严格按照法定程序，报财政部门批准。对批复后项目支出预算，不得安排用于本级机关的工作经费或业务费等。要严格执行政府采购预算，不得随意调整采购项目；科学安排支出计划，提高预算执行效率。各部门、各单位要按照县财政部门批复的预算，结合单位年度工作，科学合理地安排支出计划，加快资金拨付进度，提高资金使用效率。</w:t>
      </w:r>
    </w:p>
    <w:p w14:paraId="4E68B844">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（2）项目实施情况</w:t>
      </w:r>
    </w:p>
    <w:p w14:paraId="131071B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涡河航道治理</w:t>
      </w:r>
      <w:r>
        <w:rPr>
          <w:rFonts w:hint="eastAsia" w:ascii="仿宋_GB2312" w:hAnsi="仿宋_GB2312" w:eastAsia="仿宋_GB2312" w:cs="仿宋_GB2312"/>
          <w:b w:val="0"/>
          <w:bCs w:val="0"/>
          <w:color w:val="auto"/>
          <w:sz w:val="24"/>
          <w:szCs w:val="24"/>
          <w:highlight w:val="none"/>
          <w:lang w:eastAsia="zh-CN"/>
        </w:rPr>
        <w:t>综合</w:t>
      </w:r>
      <w:r>
        <w:rPr>
          <w:rFonts w:hint="eastAsia" w:ascii="仿宋_GB2312" w:hAnsi="仿宋_GB2312" w:eastAsia="仿宋_GB2312" w:cs="仿宋_GB2312"/>
          <w:b w:val="0"/>
          <w:bCs w:val="0"/>
          <w:color w:val="auto"/>
          <w:sz w:val="24"/>
          <w:szCs w:val="24"/>
          <w:highlight w:val="none"/>
        </w:rPr>
        <w:t>项目</w:t>
      </w:r>
      <w:r>
        <w:rPr>
          <w:rFonts w:hint="eastAsia" w:ascii="仿宋_GB2312" w:hAnsi="仿宋_GB2312" w:eastAsia="仿宋_GB2312" w:cs="仿宋_GB2312"/>
          <w:b w:val="0"/>
          <w:bCs w:val="0"/>
          <w:color w:val="auto"/>
          <w:sz w:val="24"/>
          <w:szCs w:val="24"/>
          <w:highlight w:val="none"/>
          <w:lang w:eastAsia="zh-CN"/>
        </w:rPr>
        <w:t>是</w:t>
      </w:r>
      <w:r>
        <w:rPr>
          <w:rFonts w:hint="eastAsia" w:ascii="仿宋_GB2312" w:hAnsi="仿宋_GB2312" w:eastAsia="仿宋_GB2312" w:cs="仿宋_GB2312"/>
          <w:b w:val="0"/>
          <w:bCs w:val="0"/>
          <w:color w:val="auto"/>
          <w:sz w:val="24"/>
          <w:szCs w:val="24"/>
          <w:highlight w:val="none"/>
          <w:lang w:val="en-US" w:eastAsia="zh-CN"/>
        </w:rPr>
        <w:t>2018年立项，项目实施期是2019-2023年，</w:t>
      </w:r>
      <w:r>
        <w:rPr>
          <w:rFonts w:hint="eastAsia" w:ascii="仿宋_GB2312" w:hAnsi="仿宋_GB2312" w:eastAsia="仿宋_GB2312" w:cs="仿宋_GB2312"/>
          <w:b w:val="0"/>
          <w:bCs w:val="0"/>
          <w:color w:val="auto"/>
          <w:sz w:val="24"/>
          <w:szCs w:val="24"/>
          <w:highlight w:val="none"/>
          <w:u w:val="none"/>
          <w:lang w:val="en-US" w:eastAsia="zh-CN"/>
        </w:rPr>
        <w:t>本项目是</w:t>
      </w:r>
      <w:r>
        <w:rPr>
          <w:rFonts w:hint="eastAsia" w:ascii="仿宋_GB2312" w:hAnsi="仿宋_GB2312" w:eastAsia="仿宋_GB2312" w:cs="仿宋_GB2312"/>
          <w:b w:val="0"/>
          <w:bCs w:val="0"/>
          <w:color w:val="auto"/>
          <w:sz w:val="24"/>
          <w:szCs w:val="24"/>
          <w:highlight w:val="none"/>
          <w:u w:val="none"/>
        </w:rPr>
        <w:t>涡河航道治理</w:t>
      </w:r>
      <w:r>
        <w:rPr>
          <w:rFonts w:hint="eastAsia" w:ascii="仿宋_GB2312" w:hAnsi="仿宋_GB2312" w:eastAsia="仿宋_GB2312" w:cs="仿宋_GB2312"/>
          <w:b w:val="0"/>
          <w:bCs w:val="0"/>
          <w:color w:val="auto"/>
          <w:sz w:val="24"/>
          <w:szCs w:val="24"/>
          <w:highlight w:val="none"/>
          <w:u w:val="none"/>
          <w:lang w:val="en-US" w:eastAsia="zh-CN"/>
        </w:rPr>
        <w:t>生态补偿资金主要是用于水资源监测和减船退渔安置，</w:t>
      </w:r>
      <w:r>
        <w:rPr>
          <w:rFonts w:hint="eastAsia" w:ascii="仿宋_GB2312" w:hAnsi="仿宋_GB2312" w:eastAsia="仿宋_GB2312" w:cs="仿宋_GB2312"/>
          <w:b w:val="0"/>
          <w:bCs w:val="0"/>
          <w:color w:val="auto"/>
          <w:sz w:val="24"/>
          <w:szCs w:val="24"/>
          <w:highlight w:val="none"/>
        </w:rPr>
        <w:t>怀远县农业综合行政执法大队是该项目的主要实施主体。</w:t>
      </w:r>
    </w:p>
    <w:p w14:paraId="2532D57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3.资金投入和使用情况</w:t>
      </w:r>
    </w:p>
    <w:p w14:paraId="300FB2D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2023年度怀远县</w:t>
      </w:r>
      <w:r>
        <w:rPr>
          <w:rFonts w:hint="eastAsia" w:ascii="仿宋_GB2312" w:hAnsi="仿宋_GB2312" w:eastAsia="仿宋_GB2312" w:cs="仿宋_GB2312"/>
          <w:b w:val="0"/>
          <w:bCs w:val="0"/>
          <w:color w:val="auto"/>
          <w:sz w:val="24"/>
          <w:szCs w:val="24"/>
          <w:highlight w:val="none"/>
        </w:rPr>
        <w:t>涡河航道治理</w:t>
      </w:r>
      <w:r>
        <w:rPr>
          <w:rFonts w:hint="eastAsia" w:ascii="仿宋_GB2312" w:hAnsi="仿宋_GB2312" w:eastAsia="仿宋_GB2312" w:cs="仿宋_GB2312"/>
          <w:b w:val="0"/>
          <w:bCs w:val="0"/>
          <w:color w:val="auto"/>
          <w:sz w:val="24"/>
          <w:szCs w:val="24"/>
          <w:highlight w:val="none"/>
          <w:lang w:val="en-US" w:eastAsia="zh-CN"/>
        </w:rPr>
        <w:t>经费预算申报264.08万元，实际到位资金243.9万元，实际发放243.9万元。</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渔民减船退渔安置社会保障资金超支0.76万元，渔业资源环境监测资金没使用，节约20.94万元，</w:t>
      </w:r>
      <w:r>
        <w:rPr>
          <w:rFonts w:hint="eastAsia" w:ascii="仿宋_GB2312" w:hAnsi="仿宋_GB2312" w:eastAsia="仿宋_GB2312" w:cs="仿宋_GB2312"/>
          <w:b w:val="0"/>
          <w:bCs w:val="0"/>
          <w:color w:val="auto"/>
          <w:sz w:val="24"/>
          <w:szCs w:val="24"/>
          <w:highlight w:val="none"/>
          <w:lang w:val="en-US" w:eastAsia="zh-CN"/>
        </w:rPr>
        <w:t>具体使用情况如下：</w:t>
      </w:r>
    </w:p>
    <w:tbl>
      <w:tblPr>
        <w:tblStyle w:val="10"/>
        <w:tblW w:w="89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7"/>
        <w:gridCol w:w="2216"/>
        <w:gridCol w:w="1280"/>
        <w:gridCol w:w="1270"/>
        <w:gridCol w:w="1765"/>
        <w:gridCol w:w="1717"/>
      </w:tblGrid>
      <w:tr w14:paraId="7228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955" w:type="dxa"/>
            <w:gridSpan w:val="6"/>
            <w:tcBorders>
              <w:top w:val="nil"/>
              <w:left w:val="nil"/>
              <w:bottom w:val="nil"/>
              <w:right w:val="nil"/>
            </w:tcBorders>
            <w:shd w:val="clear" w:color="auto" w:fill="auto"/>
            <w:noWrap/>
            <w:vAlign w:val="center"/>
          </w:tcPr>
          <w:p w14:paraId="490C1071">
            <w:pPr>
              <w:keepNext w:val="0"/>
              <w:keepLines w:val="0"/>
              <w:pageBreakBefore w:val="0"/>
              <w:kinsoku/>
              <w:wordWrap/>
              <w:overflowPunct/>
              <w:topLinePunct w:val="0"/>
              <w:autoSpaceDE/>
              <w:autoSpaceDN/>
              <w:bidi w:val="0"/>
              <w:adjustRightInd/>
              <w:snapToGrid/>
              <w:spacing w:line="560" w:lineRule="exact"/>
              <w:ind w:firstLine="1920" w:firstLineChars="8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2023年度怀远县</w:t>
            </w:r>
            <w:r>
              <w:rPr>
                <w:rFonts w:hint="eastAsia" w:ascii="仿宋_GB2312" w:hAnsi="仿宋_GB2312" w:eastAsia="仿宋_GB2312" w:cs="仿宋_GB2312"/>
                <w:b w:val="0"/>
                <w:bCs w:val="0"/>
                <w:color w:val="auto"/>
                <w:sz w:val="24"/>
                <w:szCs w:val="24"/>
                <w:highlight w:val="none"/>
              </w:rPr>
              <w:t>涡河航道治理</w:t>
            </w:r>
            <w:r>
              <w:rPr>
                <w:rFonts w:hint="eastAsia" w:ascii="仿宋_GB2312" w:hAnsi="仿宋_GB2312" w:eastAsia="仿宋_GB2312" w:cs="仿宋_GB2312"/>
                <w:b w:val="0"/>
                <w:bCs w:val="0"/>
                <w:color w:val="auto"/>
                <w:sz w:val="24"/>
                <w:szCs w:val="24"/>
                <w:highlight w:val="none"/>
                <w:lang w:val="en-US" w:eastAsia="zh-CN"/>
              </w:rPr>
              <w:t>经费支出明细表</w:t>
            </w:r>
          </w:p>
        </w:tc>
      </w:tr>
      <w:tr w14:paraId="11D4D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07" w:type="dxa"/>
            <w:tcBorders>
              <w:top w:val="nil"/>
              <w:left w:val="nil"/>
              <w:bottom w:val="nil"/>
              <w:right w:val="nil"/>
            </w:tcBorders>
            <w:shd w:val="clear" w:color="auto" w:fill="auto"/>
            <w:noWrap/>
            <w:vAlign w:val="center"/>
          </w:tcPr>
          <w:p w14:paraId="532B760A">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p>
        </w:tc>
        <w:tc>
          <w:tcPr>
            <w:tcW w:w="2216" w:type="dxa"/>
            <w:tcBorders>
              <w:top w:val="nil"/>
              <w:left w:val="nil"/>
              <w:bottom w:val="nil"/>
              <w:right w:val="nil"/>
            </w:tcBorders>
            <w:shd w:val="clear" w:color="auto" w:fill="auto"/>
            <w:noWrap/>
            <w:vAlign w:val="center"/>
          </w:tcPr>
          <w:p w14:paraId="1DC403E2">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p>
        </w:tc>
        <w:tc>
          <w:tcPr>
            <w:tcW w:w="1280" w:type="dxa"/>
            <w:tcBorders>
              <w:top w:val="nil"/>
              <w:left w:val="nil"/>
              <w:bottom w:val="nil"/>
              <w:right w:val="nil"/>
            </w:tcBorders>
            <w:shd w:val="clear" w:color="auto" w:fill="auto"/>
            <w:noWrap/>
            <w:vAlign w:val="center"/>
          </w:tcPr>
          <w:p w14:paraId="5D86D67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p>
        </w:tc>
        <w:tc>
          <w:tcPr>
            <w:tcW w:w="4752" w:type="dxa"/>
            <w:gridSpan w:val="3"/>
            <w:tcBorders>
              <w:top w:val="nil"/>
              <w:left w:val="nil"/>
              <w:bottom w:val="nil"/>
              <w:right w:val="nil"/>
            </w:tcBorders>
            <w:shd w:val="clear" w:color="auto" w:fill="auto"/>
            <w:noWrap/>
            <w:vAlign w:val="center"/>
          </w:tcPr>
          <w:p w14:paraId="195E751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 xml:space="preserve">                        单位：万元</w:t>
            </w:r>
          </w:p>
        </w:tc>
      </w:tr>
      <w:tr w14:paraId="161CA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9B0A9">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序号</w:t>
            </w:r>
          </w:p>
        </w:tc>
        <w:tc>
          <w:tcPr>
            <w:tcW w:w="2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D9988">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项目内容</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4A4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预算金额</w:t>
            </w:r>
          </w:p>
        </w:tc>
        <w:tc>
          <w:tcPr>
            <w:tcW w:w="127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FCBE3A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实际到位金额</w:t>
            </w:r>
          </w:p>
        </w:tc>
        <w:tc>
          <w:tcPr>
            <w:tcW w:w="1765" w:type="dxa"/>
            <w:tcBorders>
              <w:top w:val="single" w:color="000000" w:sz="4" w:space="0"/>
              <w:left w:val="single" w:color="auto" w:sz="4" w:space="0"/>
              <w:bottom w:val="single" w:color="000000" w:sz="4" w:space="0"/>
              <w:right w:val="single" w:color="auto" w:sz="4" w:space="0"/>
            </w:tcBorders>
            <w:shd w:val="clear" w:color="auto" w:fill="auto"/>
            <w:noWrap/>
            <w:vAlign w:val="center"/>
          </w:tcPr>
          <w:p w14:paraId="39C94F9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实际支付金额</w:t>
            </w:r>
          </w:p>
        </w:tc>
        <w:tc>
          <w:tcPr>
            <w:tcW w:w="171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56BD4F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预算与实际差异</w:t>
            </w:r>
          </w:p>
        </w:tc>
      </w:tr>
      <w:tr w14:paraId="6EFA6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3FD18">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1</w:t>
            </w:r>
          </w:p>
        </w:tc>
        <w:tc>
          <w:tcPr>
            <w:tcW w:w="2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B450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渔民减船退渔安置社会保障资金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2931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243.14</w:t>
            </w:r>
          </w:p>
        </w:tc>
        <w:tc>
          <w:tcPr>
            <w:tcW w:w="127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671DFD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243.9</w:t>
            </w:r>
          </w:p>
        </w:tc>
        <w:tc>
          <w:tcPr>
            <w:tcW w:w="1765" w:type="dxa"/>
            <w:tcBorders>
              <w:top w:val="single" w:color="000000" w:sz="4" w:space="0"/>
              <w:left w:val="single" w:color="auto" w:sz="4" w:space="0"/>
              <w:bottom w:val="single" w:color="000000" w:sz="4" w:space="0"/>
              <w:right w:val="single" w:color="auto" w:sz="4" w:space="0"/>
            </w:tcBorders>
            <w:shd w:val="clear" w:color="auto" w:fill="auto"/>
            <w:noWrap/>
            <w:vAlign w:val="center"/>
          </w:tcPr>
          <w:p w14:paraId="78FB9A3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243.9</w:t>
            </w:r>
          </w:p>
        </w:tc>
        <w:tc>
          <w:tcPr>
            <w:tcW w:w="171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F318F6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0.76</w:t>
            </w:r>
          </w:p>
        </w:tc>
      </w:tr>
      <w:tr w14:paraId="55511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7E31">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2</w:t>
            </w:r>
          </w:p>
        </w:tc>
        <w:tc>
          <w:tcPr>
            <w:tcW w:w="2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98D7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渔业资源环境监测</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1CB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20.94</w:t>
            </w:r>
          </w:p>
        </w:tc>
        <w:tc>
          <w:tcPr>
            <w:tcW w:w="127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0F7ECE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0</w:t>
            </w:r>
          </w:p>
        </w:tc>
        <w:tc>
          <w:tcPr>
            <w:tcW w:w="1765" w:type="dxa"/>
            <w:tcBorders>
              <w:top w:val="single" w:color="000000" w:sz="4" w:space="0"/>
              <w:left w:val="single" w:color="auto" w:sz="4" w:space="0"/>
              <w:bottom w:val="single" w:color="000000" w:sz="4" w:space="0"/>
              <w:right w:val="single" w:color="auto" w:sz="4" w:space="0"/>
            </w:tcBorders>
            <w:shd w:val="clear" w:color="auto" w:fill="auto"/>
            <w:noWrap/>
            <w:vAlign w:val="center"/>
          </w:tcPr>
          <w:p w14:paraId="657D1E3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0</w:t>
            </w:r>
          </w:p>
        </w:tc>
        <w:tc>
          <w:tcPr>
            <w:tcW w:w="171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832F0B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-20.94</w:t>
            </w:r>
          </w:p>
        </w:tc>
      </w:tr>
      <w:tr w14:paraId="3C58D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F5AB2">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3</w:t>
            </w:r>
          </w:p>
        </w:tc>
        <w:tc>
          <w:tcPr>
            <w:tcW w:w="2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E90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合计</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6AE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264.08</w:t>
            </w:r>
          </w:p>
        </w:tc>
        <w:tc>
          <w:tcPr>
            <w:tcW w:w="127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7D2A76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243.9</w:t>
            </w:r>
          </w:p>
        </w:tc>
        <w:tc>
          <w:tcPr>
            <w:tcW w:w="1765" w:type="dxa"/>
            <w:tcBorders>
              <w:top w:val="single" w:color="000000" w:sz="4" w:space="0"/>
              <w:left w:val="single" w:color="auto" w:sz="4" w:space="0"/>
              <w:bottom w:val="single" w:color="000000" w:sz="4" w:space="0"/>
              <w:right w:val="single" w:color="auto" w:sz="4" w:space="0"/>
            </w:tcBorders>
            <w:shd w:val="clear" w:color="auto" w:fill="auto"/>
            <w:noWrap/>
            <w:vAlign w:val="center"/>
          </w:tcPr>
          <w:p w14:paraId="30D0A32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243.9</w:t>
            </w:r>
          </w:p>
        </w:tc>
        <w:tc>
          <w:tcPr>
            <w:tcW w:w="171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9146EB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b w:val="0"/>
                <w:bCs w:val="0"/>
                <w:i w:val="0"/>
                <w:iCs w:val="0"/>
                <w:color w:val="auto"/>
                <w:kern w:val="2"/>
                <w:sz w:val="24"/>
                <w:szCs w:val="24"/>
                <w:highlight w:val="none"/>
                <w:u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-20.18</w:t>
            </w:r>
          </w:p>
        </w:tc>
      </w:tr>
    </w:tbl>
    <w:p w14:paraId="2AC4109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19" w:name="_Toc32417"/>
      <w:r>
        <w:rPr>
          <w:rFonts w:hint="eastAsia" w:ascii="仿宋_GB2312" w:hAnsi="仿宋_GB2312" w:eastAsia="仿宋_GB2312" w:cs="仿宋_GB2312"/>
          <w:b w:val="0"/>
          <w:bCs w:val="0"/>
          <w:color w:val="auto"/>
          <w:sz w:val="24"/>
          <w:szCs w:val="24"/>
          <w:highlight w:val="none"/>
        </w:rPr>
        <w:t>（二）项目绩效目标</w:t>
      </w:r>
      <w:bookmarkEnd w:id="19"/>
    </w:p>
    <w:p w14:paraId="608FA401">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1.总体目标</w:t>
      </w:r>
    </w:p>
    <w:p w14:paraId="5C3BAD9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涡河航道治理项目是从2019年至2023年5年连续项目。项目</w:t>
      </w:r>
      <w:r>
        <w:rPr>
          <w:rFonts w:hint="eastAsia" w:ascii="仿宋_GB2312" w:hAnsi="仿宋_GB2312" w:eastAsia="仿宋_GB2312" w:cs="仿宋_GB2312"/>
          <w:b w:val="0"/>
          <w:bCs w:val="0"/>
          <w:color w:val="auto"/>
          <w:sz w:val="24"/>
          <w:szCs w:val="24"/>
          <w:highlight w:val="none"/>
        </w:rPr>
        <w:t>进入运行期后，保护区核心区及实验区淮河荆涂峡鲤、长吻鮠国家级水产种质资源保护区将长期受到涡河航道(大寺闸至入淮口段)整治工程的影响。</w:t>
      </w:r>
      <w:r>
        <w:rPr>
          <w:rFonts w:hint="eastAsia" w:ascii="仿宋_GB2312" w:hAnsi="仿宋_GB2312" w:eastAsia="仿宋_GB2312" w:cs="仿宋_GB2312"/>
          <w:b w:val="0"/>
          <w:bCs w:val="0"/>
          <w:color w:val="auto"/>
          <w:sz w:val="24"/>
          <w:szCs w:val="24"/>
          <w:highlight w:val="none"/>
          <w:lang w:val="en-US" w:eastAsia="zh-CN"/>
        </w:rPr>
        <w:t>根据河荆涂峡鲤、长吻鮠国家级水产种质资源保护区的现状及资源增长的潜力，依据《农业部关于推动落实长江流域水生生物保护区全面禁捕工作的意见》（农长渔发[2017]1号）等相关文件指示，实行保护区全面禁止捕捞工作，</w:t>
      </w:r>
      <w:r>
        <w:rPr>
          <w:rFonts w:hint="eastAsia" w:ascii="仿宋_GB2312" w:hAnsi="仿宋_GB2312" w:eastAsia="仿宋_GB2312" w:cs="仿宋_GB2312"/>
          <w:b w:val="0"/>
          <w:bCs w:val="0"/>
          <w:color w:val="auto"/>
          <w:sz w:val="24"/>
          <w:szCs w:val="24"/>
          <w:highlight w:val="none"/>
        </w:rPr>
        <w:t>保护区全面禁捕工作机制，将极大地缓解保护内的捕捞压力，给包括主要保护对象-鲤、长吻鮠在内的各种渔业生物修养生息的机会</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为了保护鱼类资源，渔民减船退渔会对渔民造成一定损失。通过财政资金提供渔民减船退渔安置社会保障，</w:t>
      </w:r>
      <w:r>
        <w:rPr>
          <w:rFonts w:hint="eastAsia" w:ascii="仿宋_GB2312" w:hAnsi="仿宋_GB2312" w:eastAsia="仿宋_GB2312" w:cs="仿宋_GB2312"/>
          <w:b w:val="0"/>
          <w:bCs w:val="0"/>
          <w:color w:val="auto"/>
          <w:sz w:val="24"/>
          <w:szCs w:val="24"/>
          <w:highlight w:val="none"/>
        </w:rPr>
        <w:t>维护渔民的合法权益，保证渔区的社会稳定，营造良好的渔业安全生产环境。</w:t>
      </w:r>
    </w:p>
    <w:p w14:paraId="673E86F5">
      <w:pPr>
        <w:pStyle w:val="15"/>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渔业资源环境监测</w:t>
      </w:r>
      <w:r>
        <w:rPr>
          <w:rFonts w:hint="eastAsia" w:ascii="仿宋_GB2312" w:hAnsi="仿宋_GB2312" w:eastAsia="仿宋_GB2312" w:cs="仿宋_GB2312"/>
          <w:b w:val="0"/>
          <w:bCs w:val="0"/>
          <w:color w:val="auto"/>
          <w:sz w:val="24"/>
          <w:szCs w:val="24"/>
          <w:highlight w:val="none"/>
          <w:lang w:eastAsia="zh-CN"/>
        </w:rPr>
        <w:t>是</w:t>
      </w:r>
      <w:r>
        <w:rPr>
          <w:rFonts w:hint="eastAsia" w:ascii="仿宋_GB2312" w:hAnsi="仿宋_GB2312" w:eastAsia="仿宋_GB2312" w:cs="仿宋_GB2312"/>
          <w:b w:val="0"/>
          <w:bCs w:val="0"/>
          <w:color w:val="auto"/>
          <w:sz w:val="24"/>
          <w:szCs w:val="24"/>
          <w:highlight w:val="none"/>
        </w:rPr>
        <w:t>为及时了解工程施工及运营引起的生态环境变化和发展趋势，掌握工程建设前后相关水域生态环境变化的时空规律，预测不良趋势并及时发布预警，综合分析调查数据，重点掌握在涡河航道(大寺闸至入淮口段)整治工程稳定运行后，工程影响水域内水体理化指标、水生生物资源和渔业资源等技术指标在工程建设及运行前后的变动情况，从而全面、科学、客观、系统的评估涡河航道(大寺闸至入淮口段)整治工程建设及运行对淮河荆涂峡鲤、长吻鮠国家级水产种质资源保护区水生生态的影响。</w:t>
      </w:r>
    </w:p>
    <w:p w14:paraId="1FF121D6">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lang w:val="en-US" w:eastAsia="zh-CN"/>
        </w:rPr>
        <w:t xml:space="preserve"> </w:t>
      </w:r>
      <w:bookmarkStart w:id="20" w:name="_Toc3602"/>
      <w:r>
        <w:rPr>
          <w:rFonts w:hint="eastAsia" w:ascii="楷体_GB2312" w:hAnsi="楷体_GB2312" w:eastAsia="楷体_GB2312" w:cs="楷体_GB2312"/>
          <w:b w:val="0"/>
          <w:bCs w:val="0"/>
          <w:color w:val="auto"/>
          <w:sz w:val="30"/>
          <w:szCs w:val="30"/>
          <w:highlight w:val="none"/>
        </w:rPr>
        <w:t>二、绩效评价工作开展情况</w:t>
      </w:r>
      <w:bookmarkEnd w:id="20"/>
    </w:p>
    <w:p w14:paraId="32A53CB5">
      <w:pPr>
        <w:keepNext w:val="0"/>
        <w:keepLines w:val="0"/>
        <w:pageBreakBefore w:val="0"/>
        <w:kinsoku/>
        <w:wordWrap/>
        <w:overflowPunct/>
        <w:topLinePunct w:val="0"/>
        <w:autoSpaceDE/>
        <w:autoSpaceDN/>
        <w:bidi w:val="0"/>
        <w:adjustRightInd/>
        <w:snapToGrid/>
        <w:spacing w:line="560" w:lineRule="exact"/>
        <w:ind w:firstLine="480" w:firstLineChars="200"/>
        <w:outlineLvl w:val="1"/>
        <w:rPr>
          <w:rFonts w:hint="eastAsia" w:ascii="仿宋_GB2312" w:hAnsi="仿宋_GB2312" w:eastAsia="仿宋_GB2312" w:cs="仿宋_GB2312"/>
          <w:b w:val="0"/>
          <w:bCs w:val="0"/>
          <w:color w:val="auto"/>
          <w:sz w:val="24"/>
          <w:szCs w:val="24"/>
          <w:highlight w:val="none"/>
        </w:rPr>
      </w:pPr>
      <w:bookmarkStart w:id="21" w:name="_Toc23951"/>
      <w:r>
        <w:rPr>
          <w:rFonts w:hint="eastAsia" w:ascii="仿宋_GB2312" w:hAnsi="仿宋_GB2312" w:eastAsia="仿宋_GB2312" w:cs="仿宋_GB2312"/>
          <w:b w:val="0"/>
          <w:bCs w:val="0"/>
          <w:color w:val="auto"/>
          <w:sz w:val="24"/>
          <w:szCs w:val="24"/>
          <w:highlight w:val="none"/>
        </w:rPr>
        <w:t>（一）</w:t>
      </w:r>
      <w:bookmarkStart w:id="22" w:name="_Hlk79591799"/>
      <w:r>
        <w:rPr>
          <w:rFonts w:hint="eastAsia" w:ascii="仿宋_GB2312" w:hAnsi="仿宋_GB2312" w:eastAsia="仿宋_GB2312" w:cs="仿宋_GB2312"/>
          <w:b w:val="0"/>
          <w:bCs w:val="0"/>
          <w:color w:val="auto"/>
          <w:sz w:val="24"/>
          <w:szCs w:val="24"/>
          <w:highlight w:val="none"/>
        </w:rPr>
        <w:t>绩效评价</w:t>
      </w:r>
      <w:bookmarkEnd w:id="22"/>
      <w:r>
        <w:rPr>
          <w:rFonts w:hint="eastAsia" w:ascii="仿宋_GB2312" w:hAnsi="仿宋_GB2312" w:eastAsia="仿宋_GB2312" w:cs="仿宋_GB2312"/>
          <w:b w:val="0"/>
          <w:bCs w:val="0"/>
          <w:color w:val="auto"/>
          <w:sz w:val="24"/>
          <w:szCs w:val="24"/>
          <w:highlight w:val="none"/>
        </w:rPr>
        <w:t>目的、对象和范围</w:t>
      </w:r>
      <w:bookmarkEnd w:id="21"/>
    </w:p>
    <w:p w14:paraId="20EA7FE4">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val="0"/>
          <w:bCs w:val="0"/>
          <w:color w:val="auto"/>
          <w:sz w:val="24"/>
          <w:szCs w:val="24"/>
          <w:highlight w:val="none"/>
        </w:rPr>
        <w:t>1.绩效评价目的。财政支出绩效评价是</w:t>
      </w:r>
      <w:r>
        <w:rPr>
          <w:rFonts w:hint="eastAsia" w:ascii="仿宋_GB2312" w:hAnsi="仿宋_GB2312" w:eastAsia="仿宋_GB2312" w:cs="仿宋_GB2312"/>
          <w:b w:val="0"/>
          <w:bCs w:val="0"/>
          <w:color w:val="auto"/>
          <w:sz w:val="24"/>
          <w:szCs w:val="24"/>
          <w:highlight w:val="none"/>
          <w:lang w:eastAsia="zh-CN"/>
        </w:rPr>
        <w:t>提升治理能力、</w:t>
      </w:r>
      <w:r>
        <w:rPr>
          <w:rFonts w:hint="eastAsia" w:ascii="仿宋_GB2312" w:hAnsi="仿宋_GB2312" w:eastAsia="仿宋_GB2312" w:cs="仿宋_GB2312"/>
          <w:b w:val="0"/>
          <w:bCs w:val="0"/>
          <w:color w:val="auto"/>
          <w:sz w:val="24"/>
          <w:szCs w:val="24"/>
          <w:highlight w:val="none"/>
        </w:rPr>
        <w:t>提高服务质量、提升公共支出有效手段。通过评价，深入了解</w:t>
      </w:r>
      <w:r>
        <w:rPr>
          <w:rFonts w:hint="eastAsia" w:ascii="仿宋_GB2312" w:hAnsi="仿宋_GB2312" w:eastAsia="仿宋_GB2312" w:cs="仿宋_GB2312"/>
          <w:b w:val="0"/>
          <w:bCs w:val="0"/>
          <w:color w:val="auto"/>
          <w:sz w:val="24"/>
          <w:szCs w:val="24"/>
          <w:highlight w:val="none"/>
          <w:lang w:val="en-US" w:eastAsia="zh-CN"/>
        </w:rPr>
        <w:t>2023年度县涡河航道治理经费支出</w:t>
      </w:r>
      <w:r>
        <w:rPr>
          <w:rFonts w:hint="eastAsia" w:ascii="仿宋_GB2312" w:hAnsi="仿宋_GB2312" w:eastAsia="仿宋_GB2312" w:cs="仿宋_GB2312"/>
          <w:b w:val="0"/>
          <w:bCs w:val="0"/>
          <w:color w:val="auto"/>
          <w:sz w:val="24"/>
          <w:szCs w:val="24"/>
          <w:highlight w:val="none"/>
        </w:rPr>
        <w:t>的决策、产出、过程和效益方面的详细情况，总结项目资金使用中的主要经验及存在问题，提出有针对性和可操作性的政策建议，不断提高财政资金管理水平和使用效益，为预算安排提供重要依据。</w:t>
      </w:r>
    </w:p>
    <w:p w14:paraId="3B77C01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2.绩效评价对象。</w:t>
      </w:r>
      <w:r>
        <w:rPr>
          <w:rFonts w:hint="eastAsia" w:ascii="仿宋_GB2312" w:hAnsi="仿宋_GB2312" w:eastAsia="仿宋_GB2312" w:cs="仿宋_GB2312"/>
          <w:b w:val="0"/>
          <w:bCs w:val="0"/>
          <w:color w:val="auto"/>
          <w:sz w:val="24"/>
          <w:szCs w:val="24"/>
          <w:highlight w:val="none"/>
          <w:lang w:val="en-US" w:eastAsia="zh-CN"/>
        </w:rPr>
        <w:t>2023年度县涡河航道治理经费项目支出</w:t>
      </w:r>
      <w:r>
        <w:rPr>
          <w:rFonts w:hint="eastAsia" w:ascii="仿宋_GB2312" w:hAnsi="仿宋_GB2312" w:eastAsia="仿宋_GB2312" w:cs="仿宋_GB2312"/>
          <w:b w:val="0"/>
          <w:bCs w:val="0"/>
          <w:color w:val="auto"/>
          <w:sz w:val="24"/>
          <w:szCs w:val="24"/>
          <w:highlight w:val="none"/>
        </w:rPr>
        <w:t>。</w:t>
      </w:r>
    </w:p>
    <w:p w14:paraId="1B2F9FF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3.绩效评价范围。本次评价的范围是</w:t>
      </w:r>
      <w:r>
        <w:rPr>
          <w:rFonts w:hint="eastAsia" w:ascii="仿宋_GB2312" w:hAnsi="仿宋_GB2312" w:eastAsia="仿宋_GB2312" w:cs="仿宋_GB2312"/>
          <w:b w:val="0"/>
          <w:bCs w:val="0"/>
          <w:color w:val="auto"/>
          <w:sz w:val="24"/>
          <w:szCs w:val="24"/>
          <w:highlight w:val="none"/>
          <w:lang w:val="en-US" w:eastAsia="zh-CN"/>
        </w:rPr>
        <w:t>2023年度涡河航道治理经费项目支出</w:t>
      </w:r>
      <w:r>
        <w:rPr>
          <w:rFonts w:hint="eastAsia" w:ascii="仿宋_GB2312" w:hAnsi="仿宋_GB2312" w:eastAsia="仿宋_GB2312" w:cs="仿宋_GB2312"/>
          <w:b w:val="0"/>
          <w:bCs w:val="0"/>
          <w:color w:val="auto"/>
          <w:sz w:val="24"/>
          <w:szCs w:val="24"/>
          <w:highlight w:val="none"/>
        </w:rPr>
        <w:t>，评价其绩效目标设定情况，资金投入和使用情况，为实现设定的绩效目标所制定的制度、采取的措施等，以及绩效目标最终的实现程度及效果。</w:t>
      </w:r>
    </w:p>
    <w:p w14:paraId="058E580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bookmarkStart w:id="23" w:name="_Toc17751"/>
      <w:r>
        <w:rPr>
          <w:rFonts w:hint="eastAsia" w:ascii="仿宋_GB2312" w:hAnsi="仿宋_GB2312" w:eastAsia="仿宋_GB2312" w:cs="仿宋_GB2312"/>
          <w:b w:val="0"/>
          <w:bCs w:val="0"/>
          <w:color w:val="auto"/>
          <w:sz w:val="24"/>
          <w:szCs w:val="24"/>
          <w:highlight w:val="none"/>
        </w:rPr>
        <w:t>（二）绩效评价原则、评价指标体系、评价方法、评价标准</w:t>
      </w:r>
      <w:bookmarkEnd w:id="23"/>
    </w:p>
    <w:p w14:paraId="1F38E37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1、评价原则</w:t>
      </w:r>
    </w:p>
    <w:p w14:paraId="3BA06CF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科学规范原则。绩效评价应当严格执行规定的程序，按照科学可行的要求，采用定量与定性分析相结合的方法。</w:t>
      </w:r>
    </w:p>
    <w:p w14:paraId="52F7104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公正公开原则。绩效评价应当符合真实、客观、公正的要求，依法公开并接受监督。</w:t>
      </w:r>
    </w:p>
    <w:p w14:paraId="0A56B56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分级分类原则。绩效评价由各级财政部门、各预算部门根据评价对象的特点分类组织实施。</w:t>
      </w:r>
    </w:p>
    <w:p w14:paraId="7DCB2A7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绩效相关原则。绩效评价应当针对具体支出及其产出绩效进行，评价结果应当清晰反映支出和产出绩效之间的紧密对应关系。</w:t>
      </w:r>
    </w:p>
    <w:p w14:paraId="145B4C1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2、绩效评价指标体系</w:t>
      </w:r>
    </w:p>
    <w:p w14:paraId="0B283F8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价指标体系分别从项目决策、项目过程、项目产出、项目效益四个方面对其财政支出进行评价，指标分值设计遵循了以结果为导向原则，注重产出和效益，适度关注决策、过程管理。本次绩效评价的指标分值设计，在此基础上对二、三级指标进行细分，根据二、三级指标与绩效目标的匹配性、在指标中的重要性、以及对一级指标的影响程度来合理确定评价指标的分值比例结构。</w:t>
      </w:r>
    </w:p>
    <w:p w14:paraId="5545BCB4">
      <w:pPr>
        <w:keepNext w:val="0"/>
        <w:keepLines w:val="0"/>
        <w:pageBreakBefore w:val="0"/>
        <w:kinsoku/>
        <w:wordWrap/>
        <w:overflowPunct/>
        <w:topLinePunct w:val="0"/>
        <w:autoSpaceDE/>
        <w:autoSpaceDN/>
        <w:bidi w:val="0"/>
        <w:adjustRightInd/>
        <w:snapToGrid/>
        <w:spacing w:line="560" w:lineRule="exact"/>
        <w:ind w:left="210" w:leftChars="100"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2023年度县涡河航道治理经费项目支出</w:t>
      </w:r>
      <w:r>
        <w:rPr>
          <w:rFonts w:hint="eastAsia" w:ascii="仿宋_GB2312" w:hAnsi="仿宋_GB2312" w:eastAsia="仿宋_GB2312" w:cs="仿宋_GB2312"/>
          <w:b w:val="0"/>
          <w:bCs w:val="0"/>
          <w:color w:val="auto"/>
          <w:sz w:val="24"/>
          <w:szCs w:val="24"/>
          <w:highlight w:val="none"/>
        </w:rPr>
        <w:t>评价指标体系包括4项一级指标，14项二级指标，23项三级指标，满分为100分。具体如下：</w:t>
      </w:r>
    </w:p>
    <w:tbl>
      <w:tblPr>
        <w:tblStyle w:val="10"/>
        <w:tblW w:w="8255" w:type="dxa"/>
        <w:tblInd w:w="93" w:type="dxa"/>
        <w:tblLayout w:type="autofit"/>
        <w:tblCellMar>
          <w:top w:w="0" w:type="dxa"/>
          <w:left w:w="108" w:type="dxa"/>
          <w:bottom w:w="0" w:type="dxa"/>
          <w:right w:w="108" w:type="dxa"/>
        </w:tblCellMar>
      </w:tblPr>
      <w:tblGrid>
        <w:gridCol w:w="1205"/>
        <w:gridCol w:w="955"/>
        <w:gridCol w:w="1333"/>
        <w:gridCol w:w="827"/>
        <w:gridCol w:w="3054"/>
        <w:gridCol w:w="881"/>
      </w:tblGrid>
      <w:tr w14:paraId="68512B30">
        <w:tblPrEx>
          <w:tblCellMar>
            <w:top w:w="0" w:type="dxa"/>
            <w:left w:w="108" w:type="dxa"/>
            <w:bottom w:w="0" w:type="dxa"/>
            <w:right w:w="108" w:type="dxa"/>
          </w:tblCellMar>
        </w:tblPrEx>
        <w:trPr>
          <w:trHeight w:val="270" w:hRule="atLeast"/>
        </w:trPr>
        <w:tc>
          <w:tcPr>
            <w:tcW w:w="8255" w:type="dxa"/>
            <w:gridSpan w:val="6"/>
            <w:tcBorders>
              <w:top w:val="nil"/>
              <w:left w:val="nil"/>
              <w:bottom w:val="nil"/>
              <w:right w:val="nil"/>
            </w:tcBorders>
            <w:shd w:val="clear" w:color="auto" w:fill="auto"/>
            <w:noWrap/>
            <w:vAlign w:val="center"/>
          </w:tcPr>
          <w:p w14:paraId="21A7E93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绩效评价指标体系</w:t>
            </w:r>
          </w:p>
        </w:tc>
      </w:tr>
      <w:tr w14:paraId="234825A2">
        <w:tblPrEx>
          <w:tblCellMar>
            <w:top w:w="0" w:type="dxa"/>
            <w:left w:w="108" w:type="dxa"/>
            <w:bottom w:w="0" w:type="dxa"/>
            <w:right w:w="108" w:type="dxa"/>
          </w:tblCellMar>
        </w:tblPrEx>
        <w:trPr>
          <w:trHeight w:val="270" w:hRule="atLeast"/>
        </w:trPr>
        <w:tc>
          <w:tcPr>
            <w:tcW w:w="1205" w:type="dxa"/>
            <w:tcBorders>
              <w:top w:val="double" w:color="000000" w:sz="4" w:space="0"/>
              <w:left w:val="nil"/>
              <w:bottom w:val="single" w:color="000000" w:sz="8" w:space="0"/>
              <w:right w:val="single" w:color="000000" w:sz="8" w:space="0"/>
            </w:tcBorders>
            <w:shd w:val="clear" w:color="auto" w:fill="auto"/>
          </w:tcPr>
          <w:p w14:paraId="37C7F6D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一级指标</w:t>
            </w:r>
          </w:p>
        </w:tc>
        <w:tc>
          <w:tcPr>
            <w:tcW w:w="955" w:type="dxa"/>
            <w:tcBorders>
              <w:top w:val="double" w:color="000000" w:sz="4" w:space="0"/>
              <w:left w:val="single" w:color="000000" w:sz="8" w:space="0"/>
              <w:bottom w:val="single" w:color="000000" w:sz="8" w:space="0"/>
              <w:right w:val="single" w:color="000000" w:sz="8" w:space="0"/>
            </w:tcBorders>
            <w:shd w:val="clear" w:color="auto" w:fill="auto"/>
          </w:tcPr>
          <w:p w14:paraId="162D28D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分值</w:t>
            </w:r>
          </w:p>
        </w:tc>
        <w:tc>
          <w:tcPr>
            <w:tcW w:w="1333" w:type="dxa"/>
            <w:tcBorders>
              <w:top w:val="double" w:color="000000" w:sz="4" w:space="0"/>
              <w:left w:val="single" w:color="000000" w:sz="8" w:space="0"/>
              <w:bottom w:val="single" w:color="000000" w:sz="8" w:space="0"/>
              <w:right w:val="single" w:color="000000" w:sz="8" w:space="0"/>
            </w:tcBorders>
            <w:shd w:val="clear" w:color="auto" w:fill="auto"/>
          </w:tcPr>
          <w:p w14:paraId="172C0CB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二级指标</w:t>
            </w:r>
          </w:p>
        </w:tc>
        <w:tc>
          <w:tcPr>
            <w:tcW w:w="827" w:type="dxa"/>
            <w:tcBorders>
              <w:top w:val="double" w:color="000000" w:sz="4" w:space="0"/>
              <w:left w:val="single" w:color="000000" w:sz="8" w:space="0"/>
              <w:bottom w:val="single" w:color="000000" w:sz="8" w:space="0"/>
              <w:right w:val="single" w:color="000000" w:sz="8" w:space="0"/>
            </w:tcBorders>
            <w:shd w:val="clear" w:color="auto" w:fill="auto"/>
            <w:vAlign w:val="center"/>
          </w:tcPr>
          <w:p w14:paraId="1875AEC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分值</w:t>
            </w:r>
          </w:p>
        </w:tc>
        <w:tc>
          <w:tcPr>
            <w:tcW w:w="3054" w:type="dxa"/>
            <w:tcBorders>
              <w:top w:val="double" w:color="000000" w:sz="4" w:space="0"/>
              <w:left w:val="single" w:color="000000" w:sz="8" w:space="0"/>
              <w:bottom w:val="single" w:color="000000" w:sz="8" w:space="0"/>
              <w:right w:val="single" w:color="000000" w:sz="8" w:space="0"/>
            </w:tcBorders>
            <w:shd w:val="clear" w:color="auto" w:fill="auto"/>
            <w:vAlign w:val="center"/>
          </w:tcPr>
          <w:p w14:paraId="50B0525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三级指标</w:t>
            </w:r>
          </w:p>
        </w:tc>
        <w:tc>
          <w:tcPr>
            <w:tcW w:w="881" w:type="dxa"/>
            <w:tcBorders>
              <w:top w:val="double" w:color="000000" w:sz="4" w:space="0"/>
              <w:left w:val="single" w:color="000000" w:sz="8" w:space="0"/>
              <w:bottom w:val="single" w:color="000000" w:sz="8" w:space="0"/>
              <w:right w:val="nil"/>
            </w:tcBorders>
            <w:shd w:val="clear" w:color="auto" w:fill="auto"/>
          </w:tcPr>
          <w:p w14:paraId="1A649AD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分值</w:t>
            </w:r>
          </w:p>
        </w:tc>
      </w:tr>
      <w:tr w14:paraId="7103F1F2">
        <w:tblPrEx>
          <w:tblCellMar>
            <w:top w:w="0" w:type="dxa"/>
            <w:left w:w="108" w:type="dxa"/>
            <w:bottom w:w="0" w:type="dxa"/>
            <w:right w:w="108" w:type="dxa"/>
          </w:tblCellMar>
        </w:tblPrEx>
        <w:trPr>
          <w:trHeight w:val="45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4BA5D86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决策</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0EF3122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30</w:t>
            </w: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6607914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项目立项</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42BA962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10</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E152A2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立项依据充分性</w:t>
            </w:r>
          </w:p>
        </w:tc>
        <w:tc>
          <w:tcPr>
            <w:tcW w:w="881" w:type="dxa"/>
            <w:tcBorders>
              <w:top w:val="nil"/>
              <w:left w:val="single" w:color="000000" w:sz="8" w:space="0"/>
              <w:bottom w:val="single" w:color="000000" w:sz="8" w:space="0"/>
              <w:right w:val="nil"/>
            </w:tcBorders>
            <w:shd w:val="clear" w:color="auto" w:fill="auto"/>
            <w:vAlign w:val="center"/>
          </w:tcPr>
          <w:p w14:paraId="6A1E5CC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p>
        </w:tc>
      </w:tr>
      <w:tr w14:paraId="71D6516F">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14AE542">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776B0DA6">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0D0FEAD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33295E7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702BD05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立项程序规范性</w:t>
            </w:r>
          </w:p>
        </w:tc>
        <w:tc>
          <w:tcPr>
            <w:tcW w:w="881" w:type="dxa"/>
            <w:tcBorders>
              <w:top w:val="nil"/>
              <w:left w:val="single" w:color="000000" w:sz="8" w:space="0"/>
              <w:bottom w:val="single" w:color="000000" w:sz="8" w:space="0"/>
              <w:right w:val="nil"/>
            </w:tcBorders>
            <w:shd w:val="clear" w:color="auto" w:fill="auto"/>
            <w:vAlign w:val="center"/>
          </w:tcPr>
          <w:p w14:paraId="389218E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p>
        </w:tc>
      </w:tr>
      <w:tr w14:paraId="28658820">
        <w:tblPrEx>
          <w:tblCellMar>
            <w:top w:w="0" w:type="dxa"/>
            <w:left w:w="108" w:type="dxa"/>
            <w:bottom w:w="0" w:type="dxa"/>
            <w:right w:w="108" w:type="dxa"/>
          </w:tblCellMar>
        </w:tblPrEx>
        <w:trPr>
          <w:trHeight w:val="45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879F45A">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2AAEB668">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07B1E62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绩效目标</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3D0955F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10</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23D2A59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绩效目标合理性</w:t>
            </w:r>
          </w:p>
        </w:tc>
        <w:tc>
          <w:tcPr>
            <w:tcW w:w="881" w:type="dxa"/>
            <w:tcBorders>
              <w:top w:val="nil"/>
              <w:left w:val="single" w:color="000000" w:sz="8" w:space="0"/>
              <w:bottom w:val="single" w:color="000000" w:sz="8" w:space="0"/>
              <w:right w:val="nil"/>
            </w:tcBorders>
            <w:shd w:val="clear" w:color="auto" w:fill="auto"/>
            <w:vAlign w:val="center"/>
          </w:tcPr>
          <w:p w14:paraId="676EC41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375C5944">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F14F5AA">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7D5CB02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16254E2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72D2399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23A4E2F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绩效指标明确性</w:t>
            </w:r>
          </w:p>
        </w:tc>
        <w:tc>
          <w:tcPr>
            <w:tcW w:w="881" w:type="dxa"/>
            <w:tcBorders>
              <w:top w:val="nil"/>
              <w:left w:val="single" w:color="000000" w:sz="8" w:space="0"/>
              <w:bottom w:val="single" w:color="000000" w:sz="8" w:space="0"/>
              <w:right w:val="nil"/>
            </w:tcBorders>
            <w:shd w:val="clear" w:color="auto" w:fill="auto"/>
            <w:vAlign w:val="center"/>
          </w:tcPr>
          <w:p w14:paraId="37A3636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p>
        </w:tc>
      </w:tr>
      <w:tr w14:paraId="36A44D74">
        <w:tblPrEx>
          <w:tblCellMar>
            <w:top w:w="0" w:type="dxa"/>
            <w:left w:w="108" w:type="dxa"/>
            <w:bottom w:w="0" w:type="dxa"/>
            <w:right w:w="108" w:type="dxa"/>
          </w:tblCellMar>
        </w:tblPrEx>
        <w:trPr>
          <w:trHeight w:val="45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46E58EF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614F5FD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33BCA11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资金投入</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640F418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10</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0E8FE38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预算编制科学性</w:t>
            </w:r>
          </w:p>
        </w:tc>
        <w:tc>
          <w:tcPr>
            <w:tcW w:w="881" w:type="dxa"/>
            <w:tcBorders>
              <w:top w:val="nil"/>
              <w:left w:val="single" w:color="000000" w:sz="8" w:space="0"/>
              <w:bottom w:val="single" w:color="000000" w:sz="8" w:space="0"/>
              <w:right w:val="nil"/>
            </w:tcBorders>
            <w:shd w:val="clear" w:color="auto" w:fill="auto"/>
            <w:vAlign w:val="center"/>
          </w:tcPr>
          <w:p w14:paraId="2553845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7125135B">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1F3A67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181F19E9">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3B3A9856">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415EBC0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7C6788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资金分配合理性</w:t>
            </w:r>
          </w:p>
        </w:tc>
        <w:tc>
          <w:tcPr>
            <w:tcW w:w="881" w:type="dxa"/>
            <w:tcBorders>
              <w:top w:val="nil"/>
              <w:left w:val="single" w:color="000000" w:sz="8" w:space="0"/>
              <w:bottom w:val="single" w:color="000000" w:sz="8" w:space="0"/>
              <w:right w:val="nil"/>
            </w:tcBorders>
            <w:shd w:val="clear" w:color="auto" w:fill="auto"/>
            <w:vAlign w:val="center"/>
          </w:tcPr>
          <w:p w14:paraId="043FB18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34989F5D">
        <w:tblPrEx>
          <w:tblCellMar>
            <w:top w:w="0" w:type="dxa"/>
            <w:left w:w="108" w:type="dxa"/>
            <w:bottom w:w="0" w:type="dxa"/>
            <w:right w:w="108" w:type="dxa"/>
          </w:tblCellMar>
        </w:tblPrEx>
        <w:trPr>
          <w:trHeight w:val="30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02F0FFA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过程</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46100D5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30</w:t>
            </w: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2BA6D6F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资金管理</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79B32E0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26</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48DC90C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资金到位率</w:t>
            </w:r>
          </w:p>
        </w:tc>
        <w:tc>
          <w:tcPr>
            <w:tcW w:w="881" w:type="dxa"/>
            <w:tcBorders>
              <w:top w:val="nil"/>
              <w:left w:val="single" w:color="000000" w:sz="8" w:space="0"/>
              <w:bottom w:val="single" w:color="000000" w:sz="8" w:space="0"/>
              <w:right w:val="nil"/>
            </w:tcBorders>
            <w:shd w:val="clear" w:color="auto" w:fill="auto"/>
            <w:vAlign w:val="center"/>
          </w:tcPr>
          <w:p w14:paraId="68B8C2A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w:t>
            </w:r>
          </w:p>
        </w:tc>
      </w:tr>
      <w:tr w14:paraId="1BB7154F">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3F29FB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06502E6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6DBF49D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663DF83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B92B67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资金拨付及时性</w:t>
            </w:r>
          </w:p>
        </w:tc>
        <w:tc>
          <w:tcPr>
            <w:tcW w:w="881" w:type="dxa"/>
            <w:tcBorders>
              <w:top w:val="nil"/>
              <w:left w:val="single" w:color="000000" w:sz="8" w:space="0"/>
              <w:bottom w:val="single" w:color="000000" w:sz="8" w:space="0"/>
              <w:right w:val="nil"/>
            </w:tcBorders>
            <w:shd w:val="clear" w:color="auto" w:fill="auto"/>
            <w:vAlign w:val="center"/>
          </w:tcPr>
          <w:p w14:paraId="71674B8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w:t>
            </w:r>
          </w:p>
        </w:tc>
      </w:tr>
      <w:tr w14:paraId="729A4C79">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0F482A8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1B6FB39D">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4DF11F9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13449D2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5C4B1D0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预算执行率</w:t>
            </w:r>
          </w:p>
        </w:tc>
        <w:tc>
          <w:tcPr>
            <w:tcW w:w="881" w:type="dxa"/>
            <w:tcBorders>
              <w:top w:val="nil"/>
              <w:left w:val="single" w:color="000000" w:sz="8" w:space="0"/>
              <w:bottom w:val="single" w:color="000000" w:sz="8" w:space="0"/>
              <w:right w:val="nil"/>
            </w:tcBorders>
            <w:shd w:val="clear" w:color="auto" w:fill="auto"/>
            <w:vAlign w:val="center"/>
          </w:tcPr>
          <w:p w14:paraId="6AD9F8C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0CB04171">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DA038A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05176FC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6A97C2C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6F9EF41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171C362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资金使用合规性</w:t>
            </w:r>
          </w:p>
        </w:tc>
        <w:tc>
          <w:tcPr>
            <w:tcW w:w="881" w:type="dxa"/>
            <w:tcBorders>
              <w:top w:val="nil"/>
              <w:left w:val="single" w:color="000000" w:sz="8" w:space="0"/>
              <w:bottom w:val="single" w:color="000000" w:sz="8" w:space="0"/>
              <w:right w:val="nil"/>
            </w:tcBorders>
            <w:shd w:val="clear" w:color="auto" w:fill="auto"/>
            <w:vAlign w:val="center"/>
          </w:tcPr>
          <w:p w14:paraId="7DC3087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2B2CD66F">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52B03E4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0CFD719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54ABBCD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59BE2B3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434640A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绩效自评内容准确完整性</w:t>
            </w:r>
          </w:p>
        </w:tc>
        <w:tc>
          <w:tcPr>
            <w:tcW w:w="881" w:type="dxa"/>
            <w:tcBorders>
              <w:top w:val="nil"/>
              <w:left w:val="single" w:color="000000" w:sz="8" w:space="0"/>
              <w:bottom w:val="single" w:color="000000" w:sz="8" w:space="0"/>
              <w:right w:val="nil"/>
            </w:tcBorders>
            <w:shd w:val="clear" w:color="auto" w:fill="auto"/>
            <w:vAlign w:val="center"/>
          </w:tcPr>
          <w:p w14:paraId="4235B33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61954DD5">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457CDB4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3E4BE8B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36F4BF7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6A464EE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721AA5F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绩效自评结论真实性</w:t>
            </w:r>
          </w:p>
        </w:tc>
        <w:tc>
          <w:tcPr>
            <w:tcW w:w="881" w:type="dxa"/>
            <w:tcBorders>
              <w:top w:val="nil"/>
              <w:left w:val="single" w:color="000000" w:sz="8" w:space="0"/>
              <w:bottom w:val="single" w:color="000000" w:sz="8" w:space="0"/>
              <w:right w:val="nil"/>
            </w:tcBorders>
            <w:shd w:val="clear" w:color="auto" w:fill="auto"/>
            <w:vAlign w:val="center"/>
          </w:tcPr>
          <w:p w14:paraId="6B2A626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00567CB0">
        <w:tblPrEx>
          <w:tblCellMar>
            <w:top w:w="0" w:type="dxa"/>
            <w:left w:w="108" w:type="dxa"/>
            <w:bottom w:w="0" w:type="dxa"/>
            <w:right w:w="108" w:type="dxa"/>
          </w:tblCellMar>
        </w:tblPrEx>
        <w:trPr>
          <w:trHeight w:val="45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4A0293B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2E6F731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6527489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组织实施</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22ECACD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7B9439F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管理制度健全性</w:t>
            </w:r>
          </w:p>
        </w:tc>
        <w:tc>
          <w:tcPr>
            <w:tcW w:w="881" w:type="dxa"/>
            <w:tcBorders>
              <w:top w:val="nil"/>
              <w:left w:val="single" w:color="000000" w:sz="8" w:space="0"/>
              <w:bottom w:val="single" w:color="000000" w:sz="8" w:space="0"/>
              <w:right w:val="nil"/>
            </w:tcBorders>
            <w:shd w:val="clear" w:color="auto" w:fill="auto"/>
            <w:vAlign w:val="center"/>
          </w:tcPr>
          <w:p w14:paraId="6CA8439D">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092A8037">
        <w:tblPrEx>
          <w:tblCellMar>
            <w:top w:w="0" w:type="dxa"/>
            <w:left w:w="108" w:type="dxa"/>
            <w:bottom w:w="0" w:type="dxa"/>
            <w:right w:w="108" w:type="dxa"/>
          </w:tblCellMar>
        </w:tblPrEx>
        <w:trPr>
          <w:trHeight w:val="32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38139FF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365C2BB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20</w:t>
            </w: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736FABE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产出数量</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6FF82E8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3CA28FE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项目全覆盖数</w:t>
            </w:r>
          </w:p>
        </w:tc>
        <w:tc>
          <w:tcPr>
            <w:tcW w:w="881" w:type="dxa"/>
            <w:tcBorders>
              <w:top w:val="nil"/>
              <w:left w:val="single" w:color="000000" w:sz="8" w:space="0"/>
              <w:bottom w:val="single" w:color="000000" w:sz="8" w:space="0"/>
              <w:right w:val="nil"/>
            </w:tcBorders>
            <w:shd w:val="clear" w:color="auto" w:fill="auto"/>
            <w:vAlign w:val="center"/>
          </w:tcPr>
          <w:p w14:paraId="2AB2EF2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w:t>
            </w:r>
          </w:p>
        </w:tc>
      </w:tr>
      <w:tr w14:paraId="542F83FB">
        <w:tblPrEx>
          <w:tblCellMar>
            <w:top w:w="0" w:type="dxa"/>
            <w:left w:w="108" w:type="dxa"/>
            <w:bottom w:w="0" w:type="dxa"/>
            <w:right w:w="108" w:type="dxa"/>
          </w:tblCellMar>
        </w:tblPrEx>
        <w:trPr>
          <w:trHeight w:val="9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5E3A085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4458347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8125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产出质量</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6766F5F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w:t>
            </w:r>
          </w:p>
        </w:tc>
        <w:tc>
          <w:tcPr>
            <w:tcW w:w="3054" w:type="dxa"/>
            <w:tcBorders>
              <w:top w:val="nil"/>
              <w:left w:val="single" w:color="000000" w:sz="8" w:space="0"/>
              <w:bottom w:val="single" w:color="000000" w:sz="8" w:space="0"/>
              <w:right w:val="single" w:color="000000" w:sz="8" w:space="0"/>
            </w:tcBorders>
            <w:shd w:val="clear" w:color="auto" w:fill="auto"/>
            <w:vAlign w:val="top"/>
          </w:tcPr>
          <w:p w14:paraId="273F335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项目完成质量情况</w:t>
            </w:r>
          </w:p>
        </w:tc>
        <w:tc>
          <w:tcPr>
            <w:tcW w:w="881" w:type="dxa"/>
            <w:tcBorders>
              <w:top w:val="nil"/>
              <w:left w:val="single" w:color="000000" w:sz="8" w:space="0"/>
              <w:bottom w:val="single" w:color="000000" w:sz="8" w:space="0"/>
              <w:right w:val="nil"/>
            </w:tcBorders>
            <w:shd w:val="clear" w:color="auto" w:fill="auto"/>
            <w:vAlign w:val="center"/>
          </w:tcPr>
          <w:p w14:paraId="5C5B262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w:t>
            </w:r>
          </w:p>
        </w:tc>
      </w:tr>
      <w:tr w14:paraId="0C14ADC3">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6AA1F8D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2256D65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F2FD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产出时效</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518E08B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FEB204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项目资金发放及时</w:t>
            </w:r>
          </w:p>
        </w:tc>
        <w:tc>
          <w:tcPr>
            <w:tcW w:w="881" w:type="dxa"/>
            <w:tcBorders>
              <w:top w:val="nil"/>
              <w:left w:val="single" w:color="000000" w:sz="8" w:space="0"/>
              <w:bottom w:val="single" w:color="000000" w:sz="8" w:space="0"/>
              <w:right w:val="nil"/>
            </w:tcBorders>
            <w:shd w:val="clear" w:color="auto" w:fill="auto"/>
            <w:vAlign w:val="center"/>
          </w:tcPr>
          <w:p w14:paraId="5F22729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p>
        </w:tc>
      </w:tr>
      <w:tr w14:paraId="3D0507BA">
        <w:tblPrEx>
          <w:tblCellMar>
            <w:top w:w="0" w:type="dxa"/>
            <w:left w:w="108" w:type="dxa"/>
            <w:bottom w:w="0" w:type="dxa"/>
            <w:right w:w="108" w:type="dxa"/>
          </w:tblCellMar>
        </w:tblPrEx>
        <w:trPr>
          <w:trHeight w:val="9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13ED100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39D5616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2DB76F3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产出成本</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32E5E4D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22A4E2B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预算控制率</w:t>
            </w:r>
          </w:p>
        </w:tc>
        <w:tc>
          <w:tcPr>
            <w:tcW w:w="881" w:type="dxa"/>
            <w:tcBorders>
              <w:top w:val="nil"/>
              <w:left w:val="single" w:color="000000" w:sz="8" w:space="0"/>
              <w:bottom w:val="single" w:color="000000" w:sz="8" w:space="0"/>
              <w:right w:val="nil"/>
            </w:tcBorders>
            <w:shd w:val="clear" w:color="auto" w:fill="auto"/>
            <w:vAlign w:val="center"/>
          </w:tcPr>
          <w:p w14:paraId="2CB0585D">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148DE847">
        <w:tblPrEx>
          <w:tblCellMar>
            <w:top w:w="0" w:type="dxa"/>
            <w:left w:w="108" w:type="dxa"/>
            <w:bottom w:w="0" w:type="dxa"/>
            <w:right w:w="108" w:type="dxa"/>
          </w:tblCellMar>
        </w:tblPrEx>
        <w:trPr>
          <w:trHeight w:val="46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167C502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效益</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2AF86D7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20</w:t>
            </w: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035FDF7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社会效益</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02A0228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3AB5CFD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渔民维稳控制，提高社会治理能力、促进社会和谐</w:t>
            </w:r>
          </w:p>
        </w:tc>
        <w:tc>
          <w:tcPr>
            <w:tcW w:w="881" w:type="dxa"/>
            <w:tcBorders>
              <w:top w:val="nil"/>
              <w:left w:val="single" w:color="000000" w:sz="8" w:space="0"/>
              <w:bottom w:val="single" w:color="000000" w:sz="8" w:space="0"/>
              <w:right w:val="nil"/>
            </w:tcBorders>
            <w:shd w:val="clear" w:color="auto" w:fill="auto"/>
            <w:vAlign w:val="center"/>
          </w:tcPr>
          <w:p w14:paraId="00B7B03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357F5226">
        <w:tblPrEx>
          <w:tblCellMar>
            <w:top w:w="0" w:type="dxa"/>
            <w:left w:w="108" w:type="dxa"/>
            <w:bottom w:w="0" w:type="dxa"/>
            <w:right w:w="108" w:type="dxa"/>
          </w:tblCellMar>
        </w:tblPrEx>
        <w:trPr>
          <w:trHeight w:val="46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6DC239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525F00B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09D07C9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经济效益</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157BBAC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103D1E9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维护渔民合法权益和国民经济的促进作用</w:t>
            </w:r>
          </w:p>
        </w:tc>
        <w:tc>
          <w:tcPr>
            <w:tcW w:w="881" w:type="dxa"/>
            <w:tcBorders>
              <w:top w:val="nil"/>
              <w:left w:val="single" w:color="000000" w:sz="8" w:space="0"/>
              <w:bottom w:val="single" w:color="000000" w:sz="8" w:space="0"/>
              <w:right w:val="nil"/>
            </w:tcBorders>
            <w:shd w:val="clear" w:color="auto" w:fill="auto"/>
            <w:vAlign w:val="center"/>
          </w:tcPr>
          <w:p w14:paraId="4CDA70A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21C5B305">
        <w:tblPrEx>
          <w:tblCellMar>
            <w:top w:w="0" w:type="dxa"/>
            <w:left w:w="108" w:type="dxa"/>
            <w:bottom w:w="0" w:type="dxa"/>
            <w:right w:w="108" w:type="dxa"/>
          </w:tblCellMar>
        </w:tblPrEx>
        <w:trPr>
          <w:trHeight w:val="46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7488A1C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7A33FC49">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6B19F5E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生态效益</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299E4AD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340EBF8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 xml:space="preserve">涡河航道治理 </w:t>
            </w:r>
          </w:p>
        </w:tc>
        <w:tc>
          <w:tcPr>
            <w:tcW w:w="881" w:type="dxa"/>
            <w:tcBorders>
              <w:top w:val="nil"/>
              <w:left w:val="single" w:color="000000" w:sz="8" w:space="0"/>
              <w:bottom w:val="single" w:color="000000" w:sz="8" w:space="0"/>
              <w:right w:val="nil"/>
            </w:tcBorders>
            <w:shd w:val="clear" w:color="auto" w:fill="auto"/>
            <w:vAlign w:val="center"/>
          </w:tcPr>
          <w:p w14:paraId="76B0310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35D30C6C">
        <w:tblPrEx>
          <w:tblCellMar>
            <w:top w:w="0" w:type="dxa"/>
            <w:left w:w="108" w:type="dxa"/>
            <w:bottom w:w="0" w:type="dxa"/>
            <w:right w:w="108" w:type="dxa"/>
          </w:tblCellMar>
        </w:tblPrEx>
        <w:trPr>
          <w:trHeight w:val="80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5698485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4A6D5FF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2115ACAD">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可持续影响</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4924C84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0F1C1FF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渔民的合法权益和河道的可持续发展</w:t>
            </w:r>
          </w:p>
        </w:tc>
        <w:tc>
          <w:tcPr>
            <w:tcW w:w="881" w:type="dxa"/>
            <w:tcBorders>
              <w:top w:val="nil"/>
              <w:left w:val="single" w:color="000000" w:sz="8" w:space="0"/>
              <w:bottom w:val="single" w:color="000000" w:sz="8" w:space="0"/>
              <w:right w:val="nil"/>
            </w:tcBorders>
            <w:shd w:val="clear" w:color="auto" w:fill="auto"/>
            <w:vAlign w:val="center"/>
          </w:tcPr>
          <w:p w14:paraId="15ABA63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30343CC4">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98C064A">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47875DB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34697ED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满意度</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0DC49B5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478D97B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服务对象满意度</w:t>
            </w:r>
          </w:p>
        </w:tc>
        <w:tc>
          <w:tcPr>
            <w:tcW w:w="881" w:type="dxa"/>
            <w:tcBorders>
              <w:top w:val="nil"/>
              <w:left w:val="single" w:color="000000" w:sz="8" w:space="0"/>
              <w:bottom w:val="single" w:color="000000" w:sz="8" w:space="0"/>
              <w:right w:val="nil"/>
            </w:tcBorders>
            <w:shd w:val="clear" w:color="auto" w:fill="auto"/>
            <w:vAlign w:val="center"/>
          </w:tcPr>
          <w:p w14:paraId="529A65E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29952CFA">
        <w:tblPrEx>
          <w:tblCellMar>
            <w:top w:w="0" w:type="dxa"/>
            <w:left w:w="108" w:type="dxa"/>
            <w:bottom w:w="0" w:type="dxa"/>
            <w:right w:w="108" w:type="dxa"/>
          </w:tblCellMar>
        </w:tblPrEx>
        <w:trPr>
          <w:trHeight w:val="270" w:hRule="atLeast"/>
        </w:trPr>
        <w:tc>
          <w:tcPr>
            <w:tcW w:w="1205" w:type="dxa"/>
            <w:tcBorders>
              <w:top w:val="nil"/>
              <w:left w:val="nil"/>
              <w:bottom w:val="double" w:color="000000" w:sz="4" w:space="0"/>
              <w:right w:val="single" w:color="000000" w:sz="8" w:space="0"/>
            </w:tcBorders>
            <w:shd w:val="clear" w:color="auto" w:fill="auto"/>
            <w:vAlign w:val="center"/>
          </w:tcPr>
          <w:p w14:paraId="3C74E3E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合计</w:t>
            </w:r>
          </w:p>
        </w:tc>
        <w:tc>
          <w:tcPr>
            <w:tcW w:w="955" w:type="dxa"/>
            <w:tcBorders>
              <w:top w:val="nil"/>
              <w:left w:val="single" w:color="000000" w:sz="8" w:space="0"/>
              <w:bottom w:val="double" w:color="000000" w:sz="4" w:space="0"/>
              <w:right w:val="single" w:color="000000" w:sz="8" w:space="0"/>
            </w:tcBorders>
            <w:shd w:val="clear" w:color="auto" w:fill="auto"/>
            <w:vAlign w:val="center"/>
          </w:tcPr>
          <w:p w14:paraId="69E0C99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100</w:t>
            </w:r>
          </w:p>
        </w:tc>
        <w:tc>
          <w:tcPr>
            <w:tcW w:w="1333" w:type="dxa"/>
            <w:tcBorders>
              <w:top w:val="nil"/>
              <w:left w:val="single" w:color="000000" w:sz="8" w:space="0"/>
              <w:bottom w:val="double" w:color="000000" w:sz="4" w:space="0"/>
              <w:right w:val="single" w:color="000000" w:sz="8" w:space="0"/>
            </w:tcBorders>
            <w:shd w:val="clear" w:color="auto" w:fill="auto"/>
            <w:vAlign w:val="center"/>
          </w:tcPr>
          <w:p w14:paraId="3241452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rPr>
            </w:pPr>
          </w:p>
        </w:tc>
        <w:tc>
          <w:tcPr>
            <w:tcW w:w="827" w:type="dxa"/>
            <w:tcBorders>
              <w:top w:val="nil"/>
              <w:left w:val="single" w:color="000000" w:sz="8" w:space="0"/>
              <w:bottom w:val="double" w:color="000000" w:sz="4" w:space="0"/>
              <w:right w:val="single" w:color="000000" w:sz="8" w:space="0"/>
            </w:tcBorders>
            <w:shd w:val="clear" w:color="auto" w:fill="auto"/>
            <w:vAlign w:val="center"/>
          </w:tcPr>
          <w:p w14:paraId="1D5E8C4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100</w:t>
            </w:r>
          </w:p>
        </w:tc>
        <w:tc>
          <w:tcPr>
            <w:tcW w:w="3054" w:type="dxa"/>
            <w:tcBorders>
              <w:top w:val="nil"/>
              <w:left w:val="single" w:color="000000" w:sz="8" w:space="0"/>
              <w:bottom w:val="double" w:color="000000" w:sz="4" w:space="0"/>
              <w:right w:val="single" w:color="000000" w:sz="8" w:space="0"/>
            </w:tcBorders>
            <w:shd w:val="clear" w:color="auto" w:fill="auto"/>
            <w:vAlign w:val="center"/>
          </w:tcPr>
          <w:p w14:paraId="12A8BBB6">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p>
        </w:tc>
        <w:tc>
          <w:tcPr>
            <w:tcW w:w="881" w:type="dxa"/>
            <w:tcBorders>
              <w:top w:val="nil"/>
              <w:left w:val="single" w:color="000000" w:sz="8" w:space="0"/>
              <w:bottom w:val="double" w:color="000000" w:sz="4" w:space="0"/>
              <w:right w:val="nil"/>
            </w:tcBorders>
            <w:shd w:val="clear" w:color="auto" w:fill="auto"/>
            <w:vAlign w:val="center"/>
          </w:tcPr>
          <w:p w14:paraId="31E8D80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79</w:t>
            </w:r>
          </w:p>
        </w:tc>
      </w:tr>
    </w:tbl>
    <w:p w14:paraId="76CEE12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3、评价方法</w:t>
      </w:r>
    </w:p>
    <w:p w14:paraId="7BE4040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本次绩效评价主要采用比较法、因素分析法等。</w:t>
      </w:r>
    </w:p>
    <w:p w14:paraId="3B16CE3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比较法：通过对绩效目标与实施效果比较，指标制定上定量与定性相结合，优先定量，综合分析绩效目标实现程度。</w:t>
      </w:r>
    </w:p>
    <w:p w14:paraId="6D1AC2D9">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因素分析法：通过综合分析影响绩效目标实现、实施效果的内外因素，评价绩效目标实现程度。</w:t>
      </w:r>
    </w:p>
    <w:p w14:paraId="019D9E3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公众评判法通过专家评估、公众问卷及抽样调査等对专项资金效果、服务对象满意度、</w:t>
      </w:r>
      <w:r>
        <w:rPr>
          <w:rFonts w:hint="eastAsia" w:ascii="仿宋_GB2312" w:hAnsi="仿宋_GB2312" w:eastAsia="仿宋_GB2312" w:cs="仿宋_GB2312"/>
          <w:b w:val="0"/>
          <w:bCs w:val="0"/>
          <w:color w:val="auto"/>
          <w:sz w:val="24"/>
          <w:szCs w:val="24"/>
          <w:highlight w:val="none"/>
          <w:lang w:val="en-US" w:eastAsia="zh-CN"/>
        </w:rPr>
        <w:t>生态</w:t>
      </w:r>
      <w:r>
        <w:rPr>
          <w:rFonts w:hint="eastAsia" w:ascii="仿宋_GB2312" w:hAnsi="仿宋_GB2312" w:eastAsia="仿宋_GB2312" w:cs="仿宋_GB2312"/>
          <w:b w:val="0"/>
          <w:bCs w:val="0"/>
          <w:color w:val="auto"/>
          <w:sz w:val="24"/>
          <w:szCs w:val="24"/>
          <w:highlight w:val="none"/>
        </w:rPr>
        <w:t>效益及可持续性等方面进行评判，评价绩效目标实现程度。</w:t>
      </w:r>
    </w:p>
    <w:p w14:paraId="54C9770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4、评价标准</w:t>
      </w:r>
    </w:p>
    <w:p w14:paraId="37C1E30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本次绩效评价采用计划标准。</w:t>
      </w:r>
    </w:p>
    <w:p w14:paraId="42E3838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5、评价等级</w:t>
      </w:r>
    </w:p>
    <w:p w14:paraId="3376804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绩效评价结果采取评分和评级相结合的方式，本项目具体分值和等级的设定：总分设置为100分，等级划分为四档： 90(含）-100 分为优、80 (含）- 90分为良、 60(含）-80分为中、 60分以下为差。</w:t>
      </w:r>
    </w:p>
    <w:p w14:paraId="4DAE5CB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（三）绩效评价工作过程</w:t>
      </w:r>
    </w:p>
    <w:p w14:paraId="5831808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1.了解项目概况</w:t>
      </w:r>
    </w:p>
    <w:p w14:paraId="5BFCBB0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评价工作组与项目实施单位及相关人员初步沟通项目背景、预算申请及批复、绩效目标、目前的开展进度。</w:t>
      </w:r>
    </w:p>
    <w:p w14:paraId="23A7E6A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2.制定评价实施方案</w:t>
      </w:r>
    </w:p>
    <w:p w14:paraId="22862254">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评价小组从目标要求、工作内容、方式方法、时间进度及工作步骤等方面做出具体明确的计划，为绩效评价工作的组织实施提供指引。</w:t>
      </w:r>
    </w:p>
    <w:p w14:paraId="2BC8C54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3.基础数据采集，设定绩效评价指标体系</w:t>
      </w:r>
    </w:p>
    <w:p w14:paraId="4942368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查阅项目申报书及申报年度预算的相关资料、项目相关文件、财务凭证附件、项目执行情况报告、项目年度工作总结等资料，询问项目实施跟进的相关人员，查看项目工作台账、支出财务明细账、项目资金到位凭证、项目预算调整文件、相关管理制度等。结合项目具体情况，设计绩效评价指标体系，征求被评价单位意见，确定项目绩效评价指标体系。</w:t>
      </w:r>
    </w:p>
    <w:p w14:paraId="130C01A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4.资料数据分析</w:t>
      </w:r>
    </w:p>
    <w:p w14:paraId="6FE741A2">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价工作组成员将收集到的资料进行分类汇总，对照工作方案和绩效评价指标体系，核实资料的准确性、完整性以及相关性，并在现场与相关项目责任人进行充分沟通、查阅文件、形成工作底稿，并结合绩效评价体系中对应指标进行初步评分。</w:t>
      </w:r>
    </w:p>
    <w:p w14:paraId="79D590E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5.数据汇总撰写报告</w:t>
      </w:r>
    </w:p>
    <w:p w14:paraId="45BDAFA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根据绩效评价的原理和规范，对采集的数据进行处理、分析和评分，并得出评价结论撰写报告。</w:t>
      </w:r>
    </w:p>
    <w:p w14:paraId="34915BF0">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rPr>
        <w:t>三、综合评价情况及评价结论</w:t>
      </w:r>
    </w:p>
    <w:p w14:paraId="4E961AB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（一）综合评价情况</w:t>
      </w:r>
    </w:p>
    <w:p w14:paraId="63732F7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项目组通过对项目决策、过程、产出、效益进行评价，认为</w:t>
      </w:r>
      <w:r>
        <w:rPr>
          <w:rFonts w:hint="eastAsia" w:ascii="仿宋_GB2312" w:hAnsi="仿宋_GB2312" w:eastAsia="仿宋_GB2312" w:cs="仿宋_GB2312"/>
          <w:b w:val="0"/>
          <w:bCs w:val="0"/>
          <w:color w:val="auto"/>
          <w:sz w:val="24"/>
          <w:szCs w:val="24"/>
          <w:highlight w:val="none"/>
          <w:lang w:val="en-US" w:eastAsia="zh-CN"/>
        </w:rPr>
        <w:t>2023年度县涡河航道治理经费项目支出</w:t>
      </w:r>
      <w:r>
        <w:rPr>
          <w:rFonts w:hint="eastAsia" w:ascii="仿宋_GB2312" w:hAnsi="仿宋_GB2312" w:eastAsia="仿宋_GB2312" w:cs="仿宋_GB2312"/>
          <w:b w:val="0"/>
          <w:bCs w:val="0"/>
          <w:color w:val="auto"/>
          <w:sz w:val="24"/>
          <w:szCs w:val="24"/>
          <w:highlight w:val="none"/>
        </w:rPr>
        <w:t>立项依据充分，立项程序规范，绩效目标设置合理，资金到位及时、使用合规，管理制度健全，基本得到有效执行，项目产出完成情况良好，取得了较好的社会、经济和生态效益，服务对象满意度高。</w:t>
      </w:r>
    </w:p>
    <w:p w14:paraId="19026E4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（二）评价结论</w:t>
      </w:r>
    </w:p>
    <w:tbl>
      <w:tblPr>
        <w:tblStyle w:val="10"/>
        <w:tblpPr w:leftFromText="180" w:rightFromText="180" w:vertAnchor="text" w:horzAnchor="page" w:tblpX="2022" w:tblpY="1089"/>
        <w:tblOverlap w:val="never"/>
        <w:tblW w:w="8520" w:type="dxa"/>
        <w:tblInd w:w="0" w:type="dxa"/>
        <w:tblLayout w:type="autofit"/>
        <w:tblCellMar>
          <w:top w:w="0" w:type="dxa"/>
          <w:left w:w="0" w:type="dxa"/>
          <w:bottom w:w="0" w:type="dxa"/>
          <w:right w:w="0" w:type="dxa"/>
        </w:tblCellMar>
      </w:tblPr>
      <w:tblGrid>
        <w:gridCol w:w="1385"/>
        <w:gridCol w:w="1282"/>
        <w:gridCol w:w="1543"/>
        <w:gridCol w:w="1626"/>
        <w:gridCol w:w="1220"/>
        <w:gridCol w:w="1464"/>
      </w:tblGrid>
      <w:tr w14:paraId="4219018A">
        <w:tblPrEx>
          <w:tblCellMar>
            <w:top w:w="0" w:type="dxa"/>
            <w:left w:w="0" w:type="dxa"/>
            <w:bottom w:w="0" w:type="dxa"/>
            <w:right w:w="0" w:type="dxa"/>
          </w:tblCellMar>
        </w:tblPrEx>
        <w:trPr>
          <w:trHeight w:val="560" w:hRule="atLeast"/>
        </w:trPr>
        <w:tc>
          <w:tcPr>
            <w:tcW w:w="138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667E209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rPr>
              <w:t>评价指标</w:t>
            </w:r>
          </w:p>
        </w:tc>
        <w:tc>
          <w:tcPr>
            <w:tcW w:w="128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2A3448E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权重</w:t>
            </w:r>
          </w:p>
        </w:tc>
        <w:tc>
          <w:tcPr>
            <w:tcW w:w="154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020F68BC">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评级分值</w:t>
            </w:r>
          </w:p>
        </w:tc>
        <w:tc>
          <w:tcPr>
            <w:tcW w:w="1626"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094BF01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本项目得分</w:t>
            </w:r>
          </w:p>
        </w:tc>
        <w:tc>
          <w:tcPr>
            <w:tcW w:w="122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3032F9D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得分率</w:t>
            </w:r>
          </w:p>
        </w:tc>
        <w:tc>
          <w:tcPr>
            <w:tcW w:w="146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5960946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绩效评价</w:t>
            </w:r>
          </w:p>
        </w:tc>
      </w:tr>
      <w:tr w14:paraId="627F64B7">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6D13757">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决策</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299A79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112F6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F3EB64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rPr>
              <w:t>25</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D96D96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83.33%</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C7498D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合规可行</w:t>
            </w:r>
          </w:p>
        </w:tc>
      </w:tr>
      <w:tr w14:paraId="2DA83CA2">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4CD2BD6">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过程</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154079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E68911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C5C8080">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rPr>
              <w:t>20</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1848D03">
            <w:pPr>
              <w:keepNext w:val="0"/>
              <w:keepLines w:val="0"/>
              <w:pageBreakBefore w:val="0"/>
              <w:widowControl/>
              <w:kinsoku/>
              <w:wordWrap/>
              <w:overflowPunct/>
              <w:topLinePunct w:val="0"/>
              <w:autoSpaceDE/>
              <w:autoSpaceDN/>
              <w:bidi w:val="0"/>
              <w:adjustRightInd/>
              <w:snapToGrid/>
              <w:spacing w:line="560" w:lineRule="exact"/>
              <w:ind w:firstLine="240" w:firstLineChars="100"/>
              <w:jc w:val="both"/>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66.67%</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234F5D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管理一般</w:t>
            </w:r>
          </w:p>
        </w:tc>
      </w:tr>
      <w:tr w14:paraId="63358C5C">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5D4D8FB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产出</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2253C50">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C640D9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2C8B19C">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rPr>
              <w:t>16</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A10E1E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80%</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2550CE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产出一般</w:t>
            </w:r>
          </w:p>
        </w:tc>
      </w:tr>
      <w:tr w14:paraId="0BAA0E94">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604018F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效益</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D7D43C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66A204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8DE346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rPr>
              <w:t>18</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C87F94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90%</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B0FEAE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效果优</w:t>
            </w:r>
          </w:p>
        </w:tc>
      </w:tr>
      <w:tr w14:paraId="47A557BB">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61C24B3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合计</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C53E00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100%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5B0855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100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1797C3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rPr>
              <w:t>79</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E8C299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79%</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61E3E1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中</w:t>
            </w:r>
          </w:p>
        </w:tc>
      </w:tr>
    </w:tbl>
    <w:p w14:paraId="3E6C6514">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根据评价指标体系对本项目的绩效进行评价，本项目综合评价得分</w:t>
      </w:r>
      <w:r>
        <w:rPr>
          <w:rFonts w:hint="eastAsia" w:ascii="仿宋_GB2312" w:hAnsi="仿宋_GB2312" w:eastAsia="仿宋_GB2312" w:cs="仿宋_GB2312"/>
          <w:b w:val="0"/>
          <w:bCs w:val="0"/>
          <w:color w:val="auto"/>
          <w:sz w:val="24"/>
          <w:szCs w:val="24"/>
          <w:highlight w:val="none"/>
          <w:lang w:val="en-US" w:eastAsia="zh-CN"/>
        </w:rPr>
        <w:t>79</w:t>
      </w:r>
      <w:r>
        <w:rPr>
          <w:rFonts w:hint="eastAsia" w:ascii="仿宋_GB2312" w:hAnsi="仿宋_GB2312" w:eastAsia="仿宋_GB2312" w:cs="仿宋_GB2312"/>
          <w:b w:val="0"/>
          <w:bCs w:val="0"/>
          <w:color w:val="auto"/>
          <w:sz w:val="24"/>
          <w:szCs w:val="24"/>
          <w:highlight w:val="none"/>
        </w:rPr>
        <w:t>分，</w:t>
      </w:r>
      <w:r>
        <w:rPr>
          <w:rFonts w:hint="eastAsia" w:ascii="仿宋_GB2312" w:hAnsi="仿宋_GB2312" w:eastAsia="仿宋_GB2312" w:cs="仿宋_GB2312"/>
          <w:b w:val="0"/>
          <w:bCs w:val="0"/>
          <w:color w:val="auto"/>
          <w:sz w:val="24"/>
          <w:szCs w:val="24"/>
          <w:highlight w:val="none"/>
          <w:lang w:val="en-US" w:eastAsia="zh-CN"/>
        </w:rPr>
        <w:t>评价等级为“中”。</w:t>
      </w:r>
    </w:p>
    <w:p w14:paraId="75693700">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rPr>
        <w:t>四、绩效评价指标分析</w:t>
      </w:r>
    </w:p>
    <w:p w14:paraId="11662CE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（一）项目决策情况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满分30分，实得25分</w:t>
      </w:r>
      <w:r>
        <w:rPr>
          <w:rFonts w:hint="eastAsia" w:ascii="仿宋_GB2312" w:hAnsi="仿宋_GB2312" w:eastAsia="仿宋_GB2312" w:cs="仿宋_GB2312"/>
          <w:b w:val="0"/>
          <w:bCs w:val="0"/>
          <w:color w:val="auto"/>
          <w:sz w:val="24"/>
          <w:szCs w:val="24"/>
          <w:highlight w:val="none"/>
          <w:lang w:eastAsia="zh-CN"/>
        </w:rPr>
        <w:t>）</w:t>
      </w:r>
    </w:p>
    <w:p w14:paraId="26D4BF3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决策的评价指标包括项目立项、绩效目标、资金投入三项二级指标，共涉及项目立项充分性、立项程序规范性、绩效目标合理性、绩效指标明确性、预算编制科学性、资金分配合理性6个三级指标。“项目决策”总分</w:t>
      </w:r>
      <w:r>
        <w:rPr>
          <w:rFonts w:hint="eastAsia" w:ascii="仿宋_GB2312" w:hAnsi="仿宋_GB2312" w:eastAsia="仿宋_GB2312" w:cs="仿宋_GB2312"/>
          <w:b w:val="0"/>
          <w:bCs w:val="0"/>
          <w:color w:val="auto"/>
          <w:sz w:val="24"/>
          <w:szCs w:val="24"/>
          <w:highlight w:val="none"/>
          <w:lang w:val="en-US" w:eastAsia="zh-CN"/>
        </w:rPr>
        <w:t>30</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25</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83.33</w:t>
      </w:r>
      <w:r>
        <w:rPr>
          <w:rFonts w:hint="eastAsia" w:ascii="仿宋_GB2312" w:hAnsi="仿宋_GB2312" w:eastAsia="仿宋_GB2312" w:cs="仿宋_GB2312"/>
          <w:b w:val="0"/>
          <w:bCs w:val="0"/>
          <w:color w:val="auto"/>
          <w:sz w:val="24"/>
          <w:szCs w:val="24"/>
          <w:highlight w:val="none"/>
        </w:rPr>
        <w:t>%。主要问题在于设定的</w:t>
      </w:r>
      <w:r>
        <w:rPr>
          <w:rFonts w:hint="eastAsia" w:ascii="仿宋_GB2312" w:hAnsi="仿宋_GB2312" w:eastAsia="仿宋_GB2312" w:cs="仿宋_GB2312"/>
          <w:b w:val="0"/>
          <w:bCs w:val="0"/>
          <w:color w:val="auto"/>
          <w:sz w:val="24"/>
          <w:szCs w:val="24"/>
          <w:highlight w:val="none"/>
          <w:lang w:eastAsia="zh-CN"/>
        </w:rPr>
        <w:t>部分</w:t>
      </w:r>
      <w:r>
        <w:rPr>
          <w:rFonts w:hint="eastAsia" w:ascii="仿宋_GB2312" w:hAnsi="仿宋_GB2312" w:eastAsia="仿宋_GB2312" w:cs="仿宋_GB2312"/>
          <w:b w:val="0"/>
          <w:bCs w:val="0"/>
          <w:color w:val="auto"/>
          <w:sz w:val="24"/>
          <w:szCs w:val="24"/>
          <w:highlight w:val="none"/>
        </w:rPr>
        <w:t>绩效目标较为简单、笼统，未根据项目实际对产出和效益进行量化、细化，多数为泛化的定性指标，评价依据不清，标准不明确，缺少科学合理的衡量标准：</w:t>
      </w:r>
    </w:p>
    <w:p w14:paraId="372E9E3A">
      <w:pPr>
        <w:pStyle w:val="4"/>
        <w:keepNext w:val="0"/>
        <w:keepLines w:val="0"/>
        <w:pageBreakBefore w:val="0"/>
        <w:kinsoku/>
        <w:wordWrap/>
        <w:overflowPunct/>
        <w:topLinePunct w:val="0"/>
        <w:autoSpaceDE/>
        <w:autoSpaceDN/>
        <w:bidi w:val="0"/>
        <w:adjustRightInd/>
        <w:snapToGrid/>
        <w:spacing w:line="560" w:lineRule="exact"/>
        <w:ind w:firstLine="2160" w:firstLineChars="900"/>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决策类指标评分情况</w:t>
      </w:r>
    </w:p>
    <w:tbl>
      <w:tblPr>
        <w:tblStyle w:val="10"/>
        <w:tblW w:w="5099" w:type="pct"/>
        <w:jc w:val="center"/>
        <w:tblLayout w:type="autofit"/>
        <w:tblCellMar>
          <w:top w:w="0" w:type="dxa"/>
          <w:left w:w="0" w:type="dxa"/>
          <w:bottom w:w="0" w:type="dxa"/>
          <w:right w:w="0" w:type="dxa"/>
        </w:tblCellMar>
      </w:tblPr>
      <w:tblGrid>
        <w:gridCol w:w="770"/>
        <w:gridCol w:w="878"/>
        <w:gridCol w:w="1283"/>
        <w:gridCol w:w="3024"/>
        <w:gridCol w:w="2539"/>
        <w:gridCol w:w="745"/>
      </w:tblGrid>
      <w:tr w14:paraId="357C846F">
        <w:tblPrEx>
          <w:tblCellMar>
            <w:top w:w="0" w:type="dxa"/>
            <w:left w:w="0" w:type="dxa"/>
            <w:bottom w:w="0" w:type="dxa"/>
            <w:right w:w="0" w:type="dxa"/>
          </w:tblCellMar>
        </w:tblPrEx>
        <w:trPr>
          <w:trHeight w:val="692" w:hRule="atLeast"/>
          <w:jc w:val="center"/>
        </w:trPr>
        <w:tc>
          <w:tcPr>
            <w:tcW w:w="417"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3708B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一级指标</w:t>
            </w:r>
          </w:p>
        </w:tc>
        <w:tc>
          <w:tcPr>
            <w:tcW w:w="475"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02086D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二级指标</w:t>
            </w:r>
          </w:p>
        </w:tc>
        <w:tc>
          <w:tcPr>
            <w:tcW w:w="694"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F71E477">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三级指标</w:t>
            </w:r>
          </w:p>
        </w:tc>
        <w:tc>
          <w:tcPr>
            <w:tcW w:w="1636"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96E4C7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指标内容</w:t>
            </w:r>
          </w:p>
        </w:tc>
        <w:tc>
          <w:tcPr>
            <w:tcW w:w="1373"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1E8F0B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评价情况</w:t>
            </w:r>
          </w:p>
        </w:tc>
        <w:tc>
          <w:tcPr>
            <w:tcW w:w="403"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2A1941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分值</w:t>
            </w:r>
          </w:p>
        </w:tc>
      </w:tr>
      <w:tr w14:paraId="2103E6B0">
        <w:tblPrEx>
          <w:tblCellMar>
            <w:top w:w="0" w:type="dxa"/>
            <w:left w:w="0" w:type="dxa"/>
            <w:bottom w:w="0" w:type="dxa"/>
            <w:right w:w="0" w:type="dxa"/>
          </w:tblCellMar>
        </w:tblPrEx>
        <w:trPr>
          <w:trHeight w:val="1412" w:hRule="atLeast"/>
          <w:jc w:val="center"/>
        </w:trPr>
        <w:tc>
          <w:tcPr>
            <w:tcW w:w="417" w:type="pct"/>
            <w:vMerge w:val="restart"/>
            <w:tcBorders>
              <w:top w:val="nil"/>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59537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决策　</w:t>
            </w:r>
          </w:p>
          <w:p w14:paraId="540B6C5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（30分）</w:t>
            </w:r>
          </w:p>
          <w:p w14:paraId="18C5021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　</w:t>
            </w:r>
          </w:p>
        </w:tc>
        <w:tc>
          <w:tcPr>
            <w:tcW w:w="475" w:type="pct"/>
            <w:vMerge w:val="restar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62058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项目立项　</w:t>
            </w: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8AD53B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立项依据</w:t>
            </w:r>
          </w:p>
          <w:p w14:paraId="3C7760C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充分性（5分）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22E4C53">
            <w:pPr>
              <w:keepNext w:val="0"/>
              <w:keepLines w:val="0"/>
              <w:pageBreakBefore w:val="0"/>
              <w:widowControl/>
              <w:kinsoku/>
              <w:wordWrap/>
              <w:overflowPunct/>
              <w:topLinePunct w:val="0"/>
              <w:autoSpaceDE/>
              <w:autoSpaceDN/>
              <w:bidi w:val="0"/>
              <w:adjustRightInd/>
              <w:snapToGrid/>
              <w:spacing w:line="560" w:lineRule="exact"/>
              <w:jc w:val="both"/>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项目立项（主体是指项目主管部门，下同）是否符合法律法规、相关政策、发展规划以及部门职责，用以反映和考核项目立项依据情况。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E1AA8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该指标得分率为100%，项目立项依据充分，与部门职能紧密相关，立项程序规范，资料齐全，依据评分标准得5分。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7E4F65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5</w:t>
            </w:r>
          </w:p>
        </w:tc>
      </w:tr>
      <w:tr w14:paraId="3069FF4F">
        <w:tblPrEx>
          <w:tblCellMar>
            <w:top w:w="0" w:type="dxa"/>
            <w:left w:w="0" w:type="dxa"/>
            <w:bottom w:w="0" w:type="dxa"/>
            <w:right w:w="0" w:type="dxa"/>
          </w:tblCellMar>
        </w:tblPrEx>
        <w:trPr>
          <w:trHeight w:val="1016"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4C8A063E">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2"/>
                <w:sz w:val="24"/>
                <w:szCs w:val="24"/>
                <w:highlight w:val="none"/>
                <w:lang w:val="en-US" w:eastAsia="zh-CN" w:bidi="ar-SA"/>
              </w:rPr>
            </w:pPr>
          </w:p>
        </w:tc>
        <w:tc>
          <w:tcPr>
            <w:tcW w:w="475" w:type="pct"/>
            <w:vMerge w:val="continue"/>
            <w:tcBorders>
              <w:top w:val="nil"/>
              <w:left w:val="nil"/>
              <w:bottom w:val="single" w:color="000000" w:sz="8" w:space="0"/>
              <w:right w:val="single" w:color="000000" w:sz="8" w:space="0"/>
            </w:tcBorders>
            <w:shd w:val="clear" w:color="auto" w:fill="auto"/>
            <w:noWrap w:val="0"/>
            <w:vAlign w:val="center"/>
          </w:tcPr>
          <w:p w14:paraId="304AE0A3">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2"/>
                <w:sz w:val="24"/>
                <w:szCs w:val="24"/>
                <w:highlight w:val="none"/>
                <w:lang w:val="en-US" w:eastAsia="zh-CN" w:bidi="ar-SA"/>
              </w:rPr>
            </w:pP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520DFE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立项程序</w:t>
            </w:r>
          </w:p>
          <w:p w14:paraId="2875C33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规范性（5分）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E3A5DDB">
            <w:pPr>
              <w:keepNext w:val="0"/>
              <w:keepLines w:val="0"/>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项目申请、设立过程是否符合相关要求，用以反映和考核项目立项的规范情况。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B7D2857">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立项申请、过程符合相关要求，程序规范，指标评价实际得分5分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A0F817">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5</w:t>
            </w:r>
          </w:p>
        </w:tc>
      </w:tr>
      <w:tr w14:paraId="53A835C9">
        <w:tblPrEx>
          <w:tblCellMar>
            <w:top w:w="0" w:type="dxa"/>
            <w:left w:w="0" w:type="dxa"/>
            <w:bottom w:w="0" w:type="dxa"/>
            <w:right w:w="0" w:type="dxa"/>
          </w:tblCellMar>
        </w:tblPrEx>
        <w:trPr>
          <w:trHeight w:val="1190"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180885A2">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2"/>
                <w:sz w:val="24"/>
                <w:szCs w:val="24"/>
                <w:highlight w:val="none"/>
                <w:lang w:val="en-US" w:eastAsia="zh-CN" w:bidi="ar-SA"/>
              </w:rPr>
            </w:pPr>
          </w:p>
        </w:tc>
        <w:tc>
          <w:tcPr>
            <w:tcW w:w="475" w:type="pct"/>
            <w:vMerge w:val="restar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6F6239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绩效目标　</w:t>
            </w: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40FB86">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绩效目标</w:t>
            </w:r>
          </w:p>
          <w:p w14:paraId="4FD7C49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合理性（5分）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6B4A15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项目所设定的绩效目标是否依据充分，是否符合客观实际，用以反映和考核项目绩效目标与项目实施的相符情况。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2403FB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在初步设计书里设置绩效目标，设置太简单，职能部门没有制定具体的绩效目标，依据评分标准得4分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B430F0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4</w:t>
            </w:r>
          </w:p>
        </w:tc>
      </w:tr>
      <w:tr w14:paraId="0BABB5B2">
        <w:tblPrEx>
          <w:tblCellMar>
            <w:top w:w="0" w:type="dxa"/>
            <w:left w:w="0" w:type="dxa"/>
            <w:bottom w:w="0" w:type="dxa"/>
            <w:right w:w="0" w:type="dxa"/>
          </w:tblCellMar>
        </w:tblPrEx>
        <w:trPr>
          <w:trHeight w:val="844"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2C268609">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2"/>
                <w:sz w:val="24"/>
                <w:szCs w:val="24"/>
                <w:highlight w:val="none"/>
                <w:lang w:val="en-US" w:eastAsia="zh-CN" w:bidi="ar-SA"/>
              </w:rPr>
            </w:pPr>
          </w:p>
        </w:tc>
        <w:tc>
          <w:tcPr>
            <w:tcW w:w="475" w:type="pct"/>
            <w:vMerge w:val="continue"/>
            <w:tcBorders>
              <w:top w:val="nil"/>
              <w:left w:val="nil"/>
              <w:bottom w:val="single" w:color="000000" w:sz="8" w:space="0"/>
              <w:right w:val="single" w:color="000000" w:sz="8" w:space="0"/>
            </w:tcBorders>
            <w:shd w:val="clear" w:color="auto" w:fill="auto"/>
            <w:noWrap w:val="0"/>
            <w:vAlign w:val="center"/>
          </w:tcPr>
          <w:p w14:paraId="48E85437">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2"/>
                <w:sz w:val="24"/>
                <w:szCs w:val="24"/>
                <w:highlight w:val="none"/>
                <w:lang w:val="en-US" w:eastAsia="zh-CN" w:bidi="ar-SA"/>
              </w:rPr>
            </w:pP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CC7F42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绩效指标</w:t>
            </w:r>
          </w:p>
          <w:p w14:paraId="1726706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明确性（5分）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EB6990">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依据绩效目标设定的绩效指标是否清晰、细化、可衡量等，用以反映和考核项目绩效目标的明细化情况。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3112EE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在初步设计书里有绩效指标值设置，不够完善，未能做到细化量化，部分指标未能及时调整，依据评分标准得5分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BAB40E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5</w:t>
            </w:r>
          </w:p>
        </w:tc>
      </w:tr>
      <w:tr w14:paraId="69019DD8">
        <w:tblPrEx>
          <w:tblCellMar>
            <w:top w:w="0" w:type="dxa"/>
            <w:left w:w="0" w:type="dxa"/>
            <w:bottom w:w="0" w:type="dxa"/>
            <w:right w:w="0" w:type="dxa"/>
          </w:tblCellMar>
        </w:tblPrEx>
        <w:trPr>
          <w:trHeight w:val="1772"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2B4E3CB9">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2"/>
                <w:sz w:val="24"/>
                <w:szCs w:val="24"/>
                <w:highlight w:val="none"/>
                <w:lang w:val="en-US" w:eastAsia="zh-CN" w:bidi="ar-SA"/>
              </w:rPr>
            </w:pPr>
          </w:p>
        </w:tc>
        <w:tc>
          <w:tcPr>
            <w:tcW w:w="475" w:type="pct"/>
            <w:vMerge w:val="restar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4067B0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资金投入</w:t>
            </w:r>
          </w:p>
          <w:p w14:paraId="5D254B7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　</w:t>
            </w: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9DF787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预算编制</w:t>
            </w:r>
          </w:p>
          <w:p w14:paraId="08AC118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科学性（5分）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AD56707">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项目预算编制是否经过科学论证、有明确标准，资金额度与年度目标是否相适应，用以反映和考核项目预算编制的科学性、合理性情况。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1BC477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科学预算金额按照标准进行测算，实际与预算有差距。依据充分得4分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7EF9D3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4</w:t>
            </w:r>
          </w:p>
        </w:tc>
      </w:tr>
      <w:tr w14:paraId="69EDF930">
        <w:tblPrEx>
          <w:tblCellMar>
            <w:top w:w="0" w:type="dxa"/>
            <w:left w:w="0" w:type="dxa"/>
            <w:bottom w:w="0" w:type="dxa"/>
            <w:right w:w="0" w:type="dxa"/>
          </w:tblCellMar>
        </w:tblPrEx>
        <w:trPr>
          <w:trHeight w:val="1202"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584B358F">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2"/>
                <w:sz w:val="24"/>
                <w:szCs w:val="24"/>
                <w:highlight w:val="none"/>
                <w:lang w:val="en-US" w:eastAsia="zh-CN" w:bidi="ar-SA"/>
              </w:rPr>
            </w:pPr>
          </w:p>
        </w:tc>
        <w:tc>
          <w:tcPr>
            <w:tcW w:w="475" w:type="pct"/>
            <w:vMerge w:val="continue"/>
            <w:tcBorders>
              <w:top w:val="nil"/>
              <w:left w:val="nil"/>
              <w:bottom w:val="single" w:color="000000" w:sz="8" w:space="0"/>
              <w:right w:val="single" w:color="000000" w:sz="8" w:space="0"/>
            </w:tcBorders>
            <w:shd w:val="clear" w:color="auto" w:fill="auto"/>
            <w:noWrap w:val="0"/>
            <w:vAlign w:val="center"/>
          </w:tcPr>
          <w:p w14:paraId="2AD1A22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64448AC">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资金分配</w:t>
            </w:r>
          </w:p>
          <w:p w14:paraId="06BC2B56">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合理性（5分）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101300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项目预算资金分配是否有测算依据，与补助单位或地方实际是否相适应，用以反映和考核项目预算资金分配的科学性、合理性情况。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5603F9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项目预算资金分配根据政府相关文件执行。没见渔业资源环境监测情况说明，得2分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55BDF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2</w:t>
            </w:r>
          </w:p>
        </w:tc>
      </w:tr>
      <w:tr w14:paraId="6AA15E68">
        <w:tblPrEx>
          <w:tblCellMar>
            <w:top w:w="0" w:type="dxa"/>
            <w:left w:w="0" w:type="dxa"/>
            <w:bottom w:w="0" w:type="dxa"/>
            <w:right w:w="0" w:type="dxa"/>
          </w:tblCellMar>
        </w:tblPrEx>
        <w:trPr>
          <w:trHeight w:val="520" w:hRule="atLeast"/>
          <w:jc w:val="center"/>
        </w:trPr>
        <w:tc>
          <w:tcPr>
            <w:tcW w:w="4596" w:type="pct"/>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0F799CF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rPr>
              <w:t>小计</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B9095B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2"/>
                <w:sz w:val="24"/>
                <w:szCs w:val="24"/>
                <w:highlight w:val="none"/>
                <w:lang w:val="en-US" w:eastAsia="zh-CN" w:bidi="ar-SA"/>
              </w:rPr>
              <w:t>25</w:t>
            </w:r>
            <w:r>
              <w:rPr>
                <w:rFonts w:hint="eastAsia" w:ascii="仿宋_GB2312" w:hAnsi="仿宋_GB2312" w:eastAsia="仿宋_GB2312" w:cs="仿宋_GB2312"/>
                <w:b w:val="0"/>
                <w:bCs w:val="0"/>
                <w:color w:val="auto"/>
                <w:kern w:val="0"/>
                <w:sz w:val="24"/>
                <w:szCs w:val="24"/>
                <w:highlight w:val="none"/>
              </w:rPr>
              <w:t> </w:t>
            </w:r>
          </w:p>
        </w:tc>
      </w:tr>
    </w:tbl>
    <w:p w14:paraId="6888FE8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1.立项依据充分性</w:t>
      </w:r>
    </w:p>
    <w:p w14:paraId="116DABE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指标解释：该项指标主要考核项目立项是否符合法律法规、相关政策、发展规划以及部门职责，用以反映和考核项目立项依据情况。</w:t>
      </w:r>
    </w:p>
    <w:p w14:paraId="215A9CE8">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评分情况：本项目立项</w:t>
      </w:r>
      <w:r>
        <w:rPr>
          <w:rFonts w:hint="eastAsia" w:ascii="仿宋_GB2312" w:hAnsi="仿宋_GB2312" w:eastAsia="仿宋_GB2312" w:cs="仿宋_GB2312"/>
          <w:b w:val="0"/>
          <w:bCs w:val="0"/>
          <w:color w:val="auto"/>
          <w:sz w:val="24"/>
          <w:szCs w:val="24"/>
          <w:highlight w:val="none"/>
          <w:lang w:val="en-US" w:eastAsia="zh-CN"/>
        </w:rPr>
        <w:t>依据符合规定,本项目立项依据根据国家发改委、交通部印发的《全国内河航道与港口布局规划》(2006-2020)、安徽省人民政府皖政办[2006]37号文批准的《安徽省内河航运发展规划》(2005)，涡河为安徽省五条重要的地区航道之一，规划等级为Ⅳ级,从2019年起执行涡河航道治理。</w:t>
      </w:r>
      <w:r>
        <w:rPr>
          <w:rFonts w:hint="eastAsia" w:ascii="仿宋_GB2312" w:hAnsi="仿宋_GB2312" w:eastAsia="仿宋_GB2312" w:cs="仿宋_GB2312"/>
          <w:b w:val="0"/>
          <w:bCs w:val="0"/>
          <w:color w:val="auto"/>
          <w:kern w:val="2"/>
          <w:sz w:val="24"/>
          <w:szCs w:val="24"/>
          <w:highlight w:val="none"/>
          <w:lang w:val="en-US" w:eastAsia="zh-CN" w:bidi="ar-SA"/>
        </w:rPr>
        <w:t>为减少保护区核心区及实验区长期受到涡河航道(大寺闸至入淮口段)整治工程的影响，实行</w:t>
      </w:r>
      <w:r>
        <w:rPr>
          <w:rFonts w:hint="eastAsia" w:ascii="仿宋_GB2312" w:hAnsi="仿宋_GB2312" w:eastAsia="仿宋_GB2312" w:cs="仿宋_GB2312"/>
          <w:b w:val="0"/>
          <w:bCs w:val="0"/>
          <w:color w:val="auto"/>
          <w:kern w:val="0"/>
          <w:sz w:val="24"/>
          <w:szCs w:val="24"/>
          <w:highlight w:val="none"/>
          <w:lang w:val="en-US" w:eastAsia="zh-CN" w:bidi="ar"/>
        </w:rPr>
        <w:t>长江禁捕退捕政策，本项目资金</w:t>
      </w:r>
      <w:r>
        <w:rPr>
          <w:rFonts w:hint="eastAsia" w:ascii="仿宋_GB2312" w:hAnsi="仿宋_GB2312" w:eastAsia="仿宋_GB2312" w:cs="仿宋_GB2312"/>
          <w:b w:val="0"/>
          <w:bCs w:val="0"/>
          <w:color w:val="auto"/>
          <w:kern w:val="2"/>
          <w:sz w:val="24"/>
          <w:szCs w:val="24"/>
          <w:highlight w:val="none"/>
          <w:lang w:val="en-US" w:eastAsia="zh-CN" w:bidi="ar-SA"/>
        </w:rPr>
        <w:t>维护了渔民的合法权益，保证了渔区的社会稳定，营造良好的渔业安全生产环境。</w:t>
      </w:r>
    </w:p>
    <w:p w14:paraId="21FE960C">
      <w:pPr>
        <w:keepNext w:val="0"/>
        <w:keepLines w:val="0"/>
        <w:pageBreakBefore w:val="0"/>
        <w:numPr>
          <w:ilvl w:val="0"/>
          <w:numId w:val="0"/>
        </w:numPr>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项目立项符合法律法规及相关政策的规定，立期依据充分，该项满分</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分，得分率100.00%。</w:t>
      </w:r>
    </w:p>
    <w:p w14:paraId="74CD1F2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2.立项程序规范性</w:t>
      </w:r>
    </w:p>
    <w:p w14:paraId="4215573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指标解释：项目申请、设立过程是否符合相关要求，用以反映和考核项目立项的规范情况。</w:t>
      </w:r>
    </w:p>
    <w:p w14:paraId="24822FC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评分情况：项目依据了《2023 年度怀远县长江禁捕资金使用方案》(皖怀禁捕退捕办〔2023〕 4 号)。有会议纪要详细记录了关于涡河航道治理经费的讨论和决策过程，确保了立项依据的权威性和规范性。确保了立项依据的权威性和规范性。</w:t>
      </w:r>
    </w:p>
    <w:p w14:paraId="2C1BCDB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本项目按照规定的程序申请设立，取得符合要求的项目立项批复文件，该项满分</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分，得分率100.00%。</w:t>
      </w:r>
    </w:p>
    <w:p w14:paraId="5E28FDA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3.绩效目标合理性</w:t>
      </w:r>
    </w:p>
    <w:p w14:paraId="431D017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指标解释：项目所设定的绩效目标是否依据充分，是否符合客观实际，用以反映和考核项目绩效目标与项目实施的相符情况。</w:t>
      </w:r>
    </w:p>
    <w:p w14:paraId="6B1A970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bookmarkStart w:id="24" w:name="_Hlk79766109"/>
      <w:r>
        <w:rPr>
          <w:rFonts w:hint="eastAsia" w:ascii="仿宋_GB2312" w:hAnsi="仿宋_GB2312" w:eastAsia="仿宋_GB2312" w:cs="仿宋_GB2312"/>
          <w:b w:val="0"/>
          <w:bCs w:val="0"/>
          <w:color w:val="auto"/>
          <w:sz w:val="24"/>
          <w:szCs w:val="24"/>
          <w:highlight w:val="none"/>
        </w:rPr>
        <w:t>评分情况：</w:t>
      </w:r>
      <w:bookmarkEnd w:id="24"/>
      <w:r>
        <w:rPr>
          <w:rFonts w:hint="eastAsia" w:ascii="仿宋_GB2312" w:hAnsi="仿宋_GB2312" w:eastAsia="仿宋_GB2312" w:cs="仿宋_GB2312"/>
          <w:b w:val="0"/>
          <w:bCs w:val="0"/>
          <w:color w:val="auto"/>
          <w:sz w:val="24"/>
          <w:szCs w:val="24"/>
          <w:highlight w:val="none"/>
        </w:rPr>
        <w:t>项目所设定的绩效目标依据充分，符合客观实际。</w:t>
      </w:r>
      <w:r>
        <w:rPr>
          <w:rFonts w:hint="eastAsia" w:ascii="仿宋_GB2312" w:hAnsi="仿宋_GB2312" w:eastAsia="仿宋_GB2312" w:cs="仿宋_GB2312"/>
          <w:b w:val="0"/>
          <w:bCs w:val="0"/>
          <w:color w:val="auto"/>
          <w:sz w:val="24"/>
          <w:szCs w:val="24"/>
          <w:highlight w:val="none"/>
          <w:lang w:eastAsia="zh-CN"/>
        </w:rPr>
        <w:t>但</w:t>
      </w:r>
      <w:r>
        <w:rPr>
          <w:rFonts w:hint="eastAsia" w:ascii="仿宋_GB2312" w:hAnsi="仿宋_GB2312" w:eastAsia="仿宋_GB2312" w:cs="仿宋_GB2312"/>
          <w:b w:val="0"/>
          <w:bCs w:val="0"/>
          <w:color w:val="auto"/>
          <w:sz w:val="24"/>
          <w:szCs w:val="24"/>
          <w:highlight w:val="none"/>
        </w:rPr>
        <w:t>绩效目标与实际工作内容中与渔业资源环境监测有差异，</w:t>
      </w:r>
      <w:r>
        <w:rPr>
          <w:rFonts w:hint="eastAsia" w:ascii="仿宋_GB2312" w:hAnsi="仿宋_GB2312" w:eastAsia="仿宋_GB2312" w:cs="仿宋_GB2312"/>
          <w:b w:val="0"/>
          <w:bCs w:val="0"/>
          <w:color w:val="auto"/>
          <w:sz w:val="24"/>
          <w:szCs w:val="24"/>
          <w:highlight w:val="none"/>
          <w:lang w:eastAsia="zh-CN"/>
        </w:rPr>
        <w:t>该项满分</w:t>
      </w:r>
      <w:r>
        <w:rPr>
          <w:rFonts w:hint="eastAsia" w:ascii="仿宋_GB2312" w:hAnsi="仿宋_GB2312" w:eastAsia="仿宋_GB2312" w:cs="仿宋_GB2312"/>
          <w:b w:val="0"/>
          <w:bCs w:val="0"/>
          <w:color w:val="auto"/>
          <w:sz w:val="24"/>
          <w:szCs w:val="24"/>
          <w:highlight w:val="none"/>
          <w:lang w:val="en-US" w:eastAsia="zh-CN"/>
        </w:rPr>
        <w:t>5分，实际得分4分，得分率80%。</w:t>
      </w:r>
    </w:p>
    <w:p w14:paraId="79F5C07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4.绩效指标明确性</w:t>
      </w:r>
    </w:p>
    <w:p w14:paraId="162316D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指标解释：依据绩效目标设定的绩效指标是否清晰、细化、可衡量等，用以反映和考核项目绩效目标的明细化情况。</w:t>
      </w:r>
    </w:p>
    <w:p w14:paraId="77A8DE5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评分情况：绩效目标较为简单、笼统，未根据项目实际对</w:t>
      </w:r>
      <w:r>
        <w:rPr>
          <w:rFonts w:hint="eastAsia" w:ascii="仿宋_GB2312" w:hAnsi="仿宋_GB2312" w:eastAsia="仿宋_GB2312" w:cs="仿宋_GB2312"/>
          <w:b w:val="0"/>
          <w:bCs w:val="0"/>
          <w:color w:val="auto"/>
          <w:sz w:val="24"/>
          <w:szCs w:val="24"/>
          <w:highlight w:val="none"/>
          <w:lang w:val="en-US" w:eastAsia="zh-CN"/>
        </w:rPr>
        <w:t>决策、投入进行</w:t>
      </w:r>
      <w:r>
        <w:rPr>
          <w:rFonts w:hint="eastAsia" w:ascii="仿宋_GB2312" w:hAnsi="仿宋_GB2312" w:eastAsia="仿宋_GB2312" w:cs="仿宋_GB2312"/>
          <w:b w:val="0"/>
          <w:bCs w:val="0"/>
          <w:color w:val="auto"/>
          <w:sz w:val="24"/>
          <w:szCs w:val="24"/>
          <w:highlight w:val="none"/>
        </w:rPr>
        <w:t>量化、细化</w:t>
      </w:r>
      <w:r>
        <w:rPr>
          <w:rFonts w:hint="eastAsia" w:ascii="仿宋_GB2312" w:hAnsi="仿宋_GB2312" w:eastAsia="仿宋_GB2312" w:cs="仿宋_GB2312"/>
          <w:b w:val="0"/>
          <w:bCs w:val="0"/>
          <w:color w:val="auto"/>
          <w:sz w:val="24"/>
          <w:szCs w:val="24"/>
          <w:highlight w:val="none"/>
          <w:lang w:val="en-US" w:eastAsia="zh-CN"/>
        </w:rPr>
        <w:t>分析。对产出与效益与</w:t>
      </w:r>
      <w:r>
        <w:rPr>
          <w:rFonts w:hint="eastAsia" w:ascii="仿宋_GB2312" w:hAnsi="仿宋_GB2312" w:eastAsia="仿宋_GB2312" w:cs="仿宋_GB2312"/>
          <w:b w:val="0"/>
          <w:bCs w:val="0"/>
          <w:color w:val="auto"/>
          <w:sz w:val="24"/>
          <w:szCs w:val="24"/>
          <w:highlight w:val="none"/>
        </w:rPr>
        <w:t>多数为泛化的定性指标，评价依据不清，标准不明确，缺少科学合理的衡量标准，如效益指标</w:t>
      </w:r>
      <w:r>
        <w:rPr>
          <w:rFonts w:hint="eastAsia" w:ascii="仿宋_GB2312" w:hAnsi="仿宋_GB2312" w:eastAsia="仿宋_GB2312" w:cs="仿宋_GB2312"/>
          <w:b w:val="0"/>
          <w:bCs w:val="0"/>
          <w:color w:val="auto"/>
          <w:sz w:val="24"/>
          <w:szCs w:val="24"/>
          <w:highlight w:val="none"/>
          <w:lang w:val="en-US" w:eastAsia="zh-CN"/>
        </w:rPr>
        <w:t>不</w:t>
      </w:r>
      <w:r>
        <w:rPr>
          <w:rFonts w:hint="eastAsia" w:ascii="仿宋_GB2312" w:hAnsi="仿宋_GB2312" w:eastAsia="仿宋_GB2312" w:cs="仿宋_GB2312"/>
          <w:b w:val="0"/>
          <w:bCs w:val="0"/>
          <w:color w:val="auto"/>
          <w:sz w:val="24"/>
          <w:szCs w:val="24"/>
          <w:highlight w:val="none"/>
        </w:rPr>
        <w:t>设置</w:t>
      </w:r>
      <w:r>
        <w:rPr>
          <w:rFonts w:hint="eastAsia" w:ascii="仿宋_GB2312" w:hAnsi="仿宋_GB2312" w:eastAsia="仿宋_GB2312" w:cs="仿宋_GB2312"/>
          <w:b w:val="0"/>
          <w:bCs w:val="0"/>
          <w:color w:val="auto"/>
          <w:sz w:val="24"/>
          <w:szCs w:val="24"/>
          <w:highlight w:val="none"/>
          <w:lang w:val="en-US" w:eastAsia="zh-CN"/>
        </w:rPr>
        <w:t>只为笼统的表达</w:t>
      </w:r>
      <w:r>
        <w:rPr>
          <w:rFonts w:hint="eastAsia" w:ascii="仿宋_GB2312" w:hAnsi="仿宋_GB2312" w:eastAsia="仿宋_GB2312" w:cs="仿宋_GB2312"/>
          <w:b w:val="0"/>
          <w:bCs w:val="0"/>
          <w:color w:val="auto"/>
          <w:sz w:val="24"/>
          <w:szCs w:val="24"/>
          <w:highlight w:val="none"/>
        </w:rPr>
        <w:t>，指标过于宏大，缺乏量化的数据进行支撑。细化的三级指标与二级指标匹配性不高。根据评价标准，该项满分</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分，得分率为</w:t>
      </w:r>
      <w:r>
        <w:rPr>
          <w:rFonts w:hint="eastAsia" w:ascii="仿宋_GB2312" w:hAnsi="仿宋_GB2312" w:eastAsia="仿宋_GB2312" w:cs="仿宋_GB2312"/>
          <w:b w:val="0"/>
          <w:bCs w:val="0"/>
          <w:color w:val="auto"/>
          <w:sz w:val="24"/>
          <w:szCs w:val="24"/>
          <w:highlight w:val="none"/>
          <w:lang w:val="en-US" w:eastAsia="zh-CN"/>
        </w:rPr>
        <w:t>80</w:t>
      </w:r>
      <w:r>
        <w:rPr>
          <w:rFonts w:hint="eastAsia" w:ascii="仿宋_GB2312" w:hAnsi="仿宋_GB2312" w:eastAsia="仿宋_GB2312" w:cs="仿宋_GB2312"/>
          <w:b w:val="0"/>
          <w:bCs w:val="0"/>
          <w:color w:val="auto"/>
          <w:sz w:val="24"/>
          <w:szCs w:val="24"/>
          <w:highlight w:val="none"/>
        </w:rPr>
        <w:t>%。</w:t>
      </w:r>
    </w:p>
    <w:p w14:paraId="122C5E37">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5.预算编制科学性</w:t>
      </w:r>
    </w:p>
    <w:p w14:paraId="1B1FA0D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指标解释：项目预算编制是否经过科学论证、有明确标准、资金额度与年度目标是否相适应，用以反映和考核项目预算编制的科学性、合理性情况。</w:t>
      </w:r>
    </w:p>
    <w:p w14:paraId="541D2DE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评分情况：县</w:t>
      </w:r>
      <w:r>
        <w:rPr>
          <w:rFonts w:hint="eastAsia" w:ascii="仿宋_GB2312" w:hAnsi="仿宋_GB2312" w:eastAsia="仿宋_GB2312" w:cs="仿宋_GB2312"/>
          <w:b w:val="0"/>
          <w:bCs w:val="0"/>
          <w:color w:val="auto"/>
          <w:sz w:val="24"/>
          <w:szCs w:val="24"/>
          <w:highlight w:val="none"/>
          <w:lang w:val="en-US" w:eastAsia="zh-CN"/>
        </w:rPr>
        <w:t>农业农村局</w:t>
      </w:r>
      <w:r>
        <w:rPr>
          <w:rFonts w:hint="eastAsia" w:ascii="仿宋_GB2312" w:hAnsi="仿宋_GB2312" w:eastAsia="仿宋_GB2312" w:cs="仿宋_GB2312"/>
          <w:b w:val="0"/>
          <w:bCs w:val="0"/>
          <w:color w:val="auto"/>
          <w:sz w:val="24"/>
          <w:szCs w:val="24"/>
          <w:highlight w:val="none"/>
        </w:rPr>
        <w:t>依据</w:t>
      </w:r>
      <w:r>
        <w:rPr>
          <w:rFonts w:hint="eastAsia" w:ascii="仿宋_GB2312" w:hAnsi="仿宋_GB2312" w:eastAsia="仿宋_GB2312" w:cs="仿宋_GB2312"/>
          <w:b w:val="0"/>
          <w:bCs w:val="0"/>
          <w:color w:val="auto"/>
          <w:sz w:val="24"/>
          <w:szCs w:val="24"/>
          <w:highlight w:val="none"/>
          <w:lang w:val="en-US" w:eastAsia="zh-CN"/>
        </w:rPr>
        <w:t>文件规定进行预算</w:t>
      </w:r>
      <w:r>
        <w:rPr>
          <w:rFonts w:hint="eastAsia" w:ascii="仿宋_GB2312" w:hAnsi="仿宋_GB2312" w:eastAsia="仿宋_GB2312" w:cs="仿宋_GB2312"/>
          <w:b w:val="0"/>
          <w:bCs w:val="0"/>
          <w:color w:val="auto"/>
          <w:sz w:val="24"/>
          <w:szCs w:val="24"/>
          <w:highlight w:val="none"/>
        </w:rPr>
        <w:t>，预算内容与项目内容匹配</w:t>
      </w:r>
      <w:r>
        <w:rPr>
          <w:rFonts w:hint="eastAsia" w:ascii="仿宋_GB2312" w:hAnsi="仿宋_GB2312" w:eastAsia="仿宋_GB2312" w:cs="仿宋_GB2312"/>
          <w:b w:val="0"/>
          <w:bCs w:val="0"/>
          <w:color w:val="auto"/>
          <w:sz w:val="24"/>
          <w:szCs w:val="24"/>
          <w:highlight w:val="none"/>
          <w:lang w:eastAsia="zh-CN"/>
        </w:rPr>
        <w:t>度不高</w:t>
      </w:r>
      <w:r>
        <w:rPr>
          <w:rFonts w:hint="eastAsia" w:ascii="仿宋_GB2312" w:hAnsi="仿宋_GB2312" w:eastAsia="仿宋_GB2312" w:cs="仿宋_GB2312"/>
          <w:b w:val="0"/>
          <w:bCs w:val="0"/>
          <w:color w:val="auto"/>
          <w:sz w:val="24"/>
          <w:szCs w:val="24"/>
          <w:highlight w:val="none"/>
        </w:rPr>
        <w:t>，预算额度测算依据</w:t>
      </w:r>
      <w:r>
        <w:rPr>
          <w:rFonts w:hint="eastAsia" w:ascii="仿宋_GB2312" w:hAnsi="仿宋_GB2312" w:eastAsia="仿宋_GB2312" w:cs="仿宋_GB2312"/>
          <w:b w:val="0"/>
          <w:bCs w:val="0"/>
          <w:color w:val="auto"/>
          <w:sz w:val="24"/>
          <w:szCs w:val="24"/>
          <w:highlight w:val="none"/>
          <w:lang w:eastAsia="zh-CN"/>
        </w:rPr>
        <w:t>不完全</w:t>
      </w:r>
      <w:r>
        <w:rPr>
          <w:rFonts w:hint="eastAsia" w:ascii="仿宋_GB2312" w:hAnsi="仿宋_GB2312" w:eastAsia="仿宋_GB2312" w:cs="仿宋_GB2312"/>
          <w:b w:val="0"/>
          <w:bCs w:val="0"/>
          <w:color w:val="auto"/>
          <w:sz w:val="24"/>
          <w:szCs w:val="24"/>
          <w:highlight w:val="none"/>
        </w:rPr>
        <w:t>充分。</w:t>
      </w:r>
      <w:bookmarkStart w:id="25" w:name="_Hlk79831575"/>
      <w:r>
        <w:rPr>
          <w:rFonts w:hint="eastAsia" w:ascii="仿宋_GB2312" w:hAnsi="仿宋_GB2312" w:eastAsia="仿宋_GB2312" w:cs="仿宋_GB2312"/>
          <w:b w:val="0"/>
          <w:bCs w:val="0"/>
          <w:color w:val="auto"/>
          <w:sz w:val="24"/>
          <w:szCs w:val="24"/>
          <w:highlight w:val="none"/>
          <w:lang w:val="en-US" w:eastAsia="zh-CN"/>
        </w:rPr>
        <w:t>预算不准确，</w:t>
      </w:r>
      <w:r>
        <w:rPr>
          <w:rFonts w:hint="eastAsia" w:ascii="仿宋_GB2312" w:hAnsi="仿宋_GB2312" w:eastAsia="仿宋_GB2312" w:cs="仿宋_GB2312"/>
          <w:b w:val="0"/>
          <w:bCs w:val="0"/>
          <w:color w:val="auto"/>
          <w:sz w:val="24"/>
          <w:szCs w:val="24"/>
          <w:highlight w:val="none"/>
        </w:rPr>
        <w:t>依据评分标准，该项满分</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8</w:t>
      </w:r>
      <w:r>
        <w:rPr>
          <w:rFonts w:hint="eastAsia" w:ascii="仿宋_GB2312" w:hAnsi="仿宋_GB2312" w:eastAsia="仿宋_GB2312" w:cs="仿宋_GB2312"/>
          <w:b w:val="0"/>
          <w:bCs w:val="0"/>
          <w:color w:val="auto"/>
          <w:sz w:val="24"/>
          <w:szCs w:val="24"/>
          <w:highlight w:val="none"/>
        </w:rPr>
        <w:t>0.%。</w:t>
      </w:r>
    </w:p>
    <w:bookmarkEnd w:id="25"/>
    <w:p w14:paraId="00ACB39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6.资金分配合理性</w:t>
      </w:r>
    </w:p>
    <w:p w14:paraId="7B4E801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指标解释：项目是否有测算依据、</w:t>
      </w:r>
      <w:r>
        <w:rPr>
          <w:rFonts w:hint="eastAsia" w:ascii="仿宋_GB2312" w:hAnsi="仿宋_GB2312" w:eastAsia="仿宋_GB2312" w:cs="仿宋_GB2312"/>
          <w:b w:val="0"/>
          <w:bCs w:val="0"/>
          <w:color w:val="auto"/>
          <w:sz w:val="24"/>
          <w:szCs w:val="24"/>
          <w:highlight w:val="none"/>
          <w:lang w:val="en-US" w:eastAsia="zh-CN"/>
        </w:rPr>
        <w:t>根据与怀远淮河河道管理局等</w:t>
      </w:r>
      <w:r>
        <w:rPr>
          <w:rFonts w:hint="eastAsia" w:ascii="仿宋_GB2312" w:hAnsi="仿宋_GB2312" w:eastAsia="仿宋_GB2312" w:cs="仿宋_GB2312"/>
          <w:b w:val="0"/>
          <w:bCs w:val="0"/>
          <w:color w:val="auto"/>
          <w:sz w:val="24"/>
          <w:szCs w:val="24"/>
          <w:highlight w:val="none"/>
        </w:rPr>
        <w:t>单位</w:t>
      </w:r>
      <w:r>
        <w:rPr>
          <w:rFonts w:hint="eastAsia" w:ascii="仿宋_GB2312" w:hAnsi="仿宋_GB2312" w:eastAsia="仿宋_GB2312" w:cs="仿宋_GB2312"/>
          <w:b w:val="0"/>
          <w:bCs w:val="0"/>
          <w:color w:val="auto"/>
          <w:sz w:val="24"/>
          <w:szCs w:val="24"/>
          <w:highlight w:val="none"/>
          <w:lang w:val="en-US" w:eastAsia="zh-CN"/>
        </w:rPr>
        <w:t>所规定的文件执行，执行金额与实际支出</w:t>
      </w:r>
      <w:r>
        <w:rPr>
          <w:rFonts w:hint="eastAsia" w:ascii="仿宋_GB2312" w:hAnsi="仿宋_GB2312" w:eastAsia="仿宋_GB2312" w:cs="仿宋_GB2312"/>
          <w:b w:val="0"/>
          <w:bCs w:val="0"/>
          <w:color w:val="auto"/>
          <w:sz w:val="24"/>
          <w:szCs w:val="24"/>
          <w:highlight w:val="none"/>
        </w:rPr>
        <w:t>是否相适应，用以反映和考核项目预算资金分配的科学性、合理性情况。</w:t>
      </w:r>
    </w:p>
    <w:p w14:paraId="37DDD379">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w:t>
      </w:r>
    </w:p>
    <w:p w14:paraId="0808E4F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该项目资金分配有测算依据，资金分配科学合理</w:t>
      </w:r>
      <w:r>
        <w:rPr>
          <w:rFonts w:hint="eastAsia" w:ascii="仿宋_GB2312" w:hAnsi="仿宋_GB2312" w:eastAsia="仿宋_GB2312" w:cs="仿宋_GB2312"/>
          <w:b w:val="0"/>
          <w:bCs w:val="0"/>
          <w:color w:val="auto"/>
          <w:sz w:val="24"/>
          <w:szCs w:val="24"/>
          <w:highlight w:val="none"/>
          <w:lang w:eastAsia="zh-CN"/>
        </w:rPr>
        <w:t>，使用渔民减船退渔安置社会保障资金，没见渔业资源环境监测情况说明</w:t>
      </w:r>
      <w:r>
        <w:rPr>
          <w:rFonts w:hint="eastAsia" w:ascii="仿宋_GB2312" w:hAnsi="仿宋_GB2312" w:eastAsia="仿宋_GB2312" w:cs="仿宋_GB2312"/>
          <w:b w:val="0"/>
          <w:bCs w:val="0"/>
          <w:color w:val="auto"/>
          <w:sz w:val="24"/>
          <w:szCs w:val="24"/>
          <w:highlight w:val="none"/>
        </w:rPr>
        <w:t>依据评分标准，该项满分</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6</w:t>
      </w:r>
      <w:r>
        <w:rPr>
          <w:rFonts w:hint="eastAsia" w:ascii="仿宋_GB2312" w:hAnsi="仿宋_GB2312" w:eastAsia="仿宋_GB2312" w:cs="仿宋_GB2312"/>
          <w:b w:val="0"/>
          <w:bCs w:val="0"/>
          <w:color w:val="auto"/>
          <w:sz w:val="24"/>
          <w:szCs w:val="24"/>
          <w:highlight w:val="none"/>
        </w:rPr>
        <w:t>0.00%。</w:t>
      </w:r>
    </w:p>
    <w:p w14:paraId="423FB3BE">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firstLineChars="200"/>
        <w:jc w:val="left"/>
        <w:rPr>
          <w:rFonts w:hint="eastAsia" w:ascii="仿宋_GB2312" w:hAnsi="仿宋_GB2312" w:eastAsia="仿宋_GB2312" w:cs="仿宋_GB2312"/>
          <w:b w:val="0"/>
          <w:bCs w:val="0"/>
          <w:color w:val="auto"/>
          <w:kern w:val="0"/>
          <w:sz w:val="24"/>
          <w:szCs w:val="24"/>
          <w:highlight w:val="none"/>
        </w:rPr>
      </w:pPr>
      <w:bookmarkStart w:id="26" w:name="_Toc31012"/>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二）项目过程情况</w:t>
      </w:r>
      <w:bookmarkEnd w:id="26"/>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满分30分，实得20分</w:t>
      </w:r>
      <w:r>
        <w:rPr>
          <w:rFonts w:hint="eastAsia" w:ascii="仿宋_GB2312" w:hAnsi="仿宋_GB2312" w:eastAsia="仿宋_GB2312" w:cs="仿宋_GB2312"/>
          <w:b w:val="0"/>
          <w:bCs w:val="0"/>
          <w:color w:val="auto"/>
          <w:sz w:val="24"/>
          <w:szCs w:val="24"/>
          <w:highlight w:val="none"/>
          <w:lang w:eastAsia="zh-CN"/>
        </w:rPr>
        <w:t>）</w:t>
      </w:r>
    </w:p>
    <w:p w14:paraId="0994641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w:t>
      </w:r>
      <w:r>
        <w:rPr>
          <w:rFonts w:hint="eastAsia" w:ascii="仿宋_GB2312" w:hAnsi="仿宋_GB2312" w:eastAsia="仿宋_GB2312" w:cs="仿宋_GB2312"/>
          <w:b w:val="0"/>
          <w:bCs w:val="0"/>
          <w:color w:val="auto"/>
          <w:sz w:val="24"/>
          <w:szCs w:val="24"/>
          <w:highlight w:val="none"/>
          <w:lang w:val="en-US" w:eastAsia="zh-CN"/>
        </w:rPr>
        <w:t>过程</w:t>
      </w:r>
      <w:r>
        <w:rPr>
          <w:rFonts w:hint="eastAsia" w:ascii="仿宋_GB2312" w:hAnsi="仿宋_GB2312" w:eastAsia="仿宋_GB2312" w:cs="仿宋_GB2312"/>
          <w:b w:val="0"/>
          <w:bCs w:val="0"/>
          <w:color w:val="auto"/>
          <w:sz w:val="24"/>
          <w:szCs w:val="24"/>
          <w:highlight w:val="none"/>
        </w:rPr>
        <w:t>的评价指标包括资金管理、组织实施二项二级指标，共涉及资金到位率、资金拨付及时性、预算执行率、资金使用合规性、绩效自评内容准确完整性、绩效自评结论真实性、管理制度健全性、制度执行有效性8个三级指标。“项目过程”总分28分，得分</w:t>
      </w:r>
      <w:r>
        <w:rPr>
          <w:rFonts w:hint="eastAsia" w:ascii="仿宋_GB2312" w:hAnsi="仿宋_GB2312" w:eastAsia="仿宋_GB2312" w:cs="仿宋_GB2312"/>
          <w:b w:val="0"/>
          <w:bCs w:val="0"/>
          <w:color w:val="auto"/>
          <w:sz w:val="24"/>
          <w:szCs w:val="24"/>
          <w:highlight w:val="none"/>
          <w:lang w:val="en-US" w:eastAsia="zh-CN"/>
        </w:rPr>
        <w:t>21</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rPr>
        <w:t>5%。主要问题在于绩效指标设置不明确、不规范，绩效自评内容不完整，填写不规范，自评结论不能够真实准确反映项目实际完成情况：</w:t>
      </w:r>
    </w:p>
    <w:p w14:paraId="41FAB632">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项目过程设立1个一级指标，2个二级指标和</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个三级指标，具体指标情况如下：</w:t>
      </w:r>
    </w:p>
    <w:tbl>
      <w:tblPr>
        <w:tblStyle w:val="10"/>
        <w:tblW w:w="8925" w:type="dxa"/>
        <w:jc w:val="center"/>
        <w:tblLayout w:type="fixed"/>
        <w:tblCellMar>
          <w:top w:w="0" w:type="dxa"/>
          <w:left w:w="0" w:type="dxa"/>
          <w:bottom w:w="0" w:type="dxa"/>
          <w:right w:w="0" w:type="dxa"/>
        </w:tblCellMar>
      </w:tblPr>
      <w:tblGrid>
        <w:gridCol w:w="760"/>
        <w:gridCol w:w="732"/>
        <w:gridCol w:w="1218"/>
        <w:gridCol w:w="2438"/>
        <w:gridCol w:w="2436"/>
        <w:gridCol w:w="1341"/>
      </w:tblGrid>
      <w:tr w14:paraId="5969F647">
        <w:tblPrEx>
          <w:tblCellMar>
            <w:top w:w="0" w:type="dxa"/>
            <w:left w:w="0" w:type="dxa"/>
            <w:bottom w:w="0" w:type="dxa"/>
            <w:right w:w="0" w:type="dxa"/>
          </w:tblCellMar>
        </w:tblPrEx>
        <w:trPr>
          <w:trHeight w:val="692"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56CEB8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rPr>
              <w:t>一级指标</w:t>
            </w:r>
          </w:p>
        </w:tc>
        <w:tc>
          <w:tcPr>
            <w:tcW w:w="732"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32F69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rPr>
              <w:t>二级指标</w:t>
            </w:r>
          </w:p>
        </w:tc>
        <w:tc>
          <w:tcPr>
            <w:tcW w:w="1218"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0FE857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三级指标</w:t>
            </w:r>
          </w:p>
        </w:tc>
        <w:tc>
          <w:tcPr>
            <w:tcW w:w="2438"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D48416">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指标内容</w:t>
            </w:r>
          </w:p>
        </w:tc>
        <w:tc>
          <w:tcPr>
            <w:tcW w:w="2436"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2C955C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评价情况</w:t>
            </w:r>
          </w:p>
        </w:tc>
        <w:tc>
          <w:tcPr>
            <w:tcW w:w="1341"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A23B8E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分值</w:t>
            </w:r>
          </w:p>
        </w:tc>
      </w:tr>
      <w:tr w14:paraId="2F00F960">
        <w:tblPrEx>
          <w:tblCellMar>
            <w:top w:w="0" w:type="dxa"/>
            <w:left w:w="0" w:type="dxa"/>
            <w:bottom w:w="0" w:type="dxa"/>
            <w:right w:w="0" w:type="dxa"/>
          </w:tblCellMar>
        </w:tblPrEx>
        <w:trPr>
          <w:trHeight w:val="1095" w:hRule="atLeast"/>
          <w:jc w:val="center"/>
        </w:trPr>
        <w:tc>
          <w:tcPr>
            <w:tcW w:w="760" w:type="dxa"/>
            <w:vMerge w:val="restart"/>
            <w:tcBorders>
              <w:top w:val="nil"/>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A8C238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过程</w:t>
            </w:r>
          </w:p>
          <w:p w14:paraId="51B98A80">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（30分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w:t>
            </w:r>
          </w:p>
          <w:p w14:paraId="3AA5292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　</w:t>
            </w:r>
          </w:p>
        </w:tc>
        <w:tc>
          <w:tcPr>
            <w:tcW w:w="732" w:type="dxa"/>
            <w:vMerge w:val="restart"/>
            <w:tcBorders>
              <w:top w:val="nil"/>
              <w:left w:val="nil"/>
              <w:right w:val="single" w:color="000000" w:sz="8" w:space="0"/>
            </w:tcBorders>
            <w:shd w:val="clear" w:color="auto" w:fill="FFFFFF"/>
            <w:noWrap w:val="0"/>
            <w:tcMar>
              <w:top w:w="0" w:type="dxa"/>
              <w:left w:w="108" w:type="dxa"/>
              <w:bottom w:w="0" w:type="dxa"/>
              <w:right w:w="108" w:type="dxa"/>
            </w:tcMar>
            <w:vAlign w:val="center"/>
          </w:tcPr>
          <w:p w14:paraId="13DD585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资金管理</w:t>
            </w:r>
          </w:p>
          <w:p w14:paraId="7317339E">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（26分</w:t>
            </w:r>
            <w:r>
              <w:rPr>
                <w:rFonts w:hint="eastAsia" w:ascii="仿宋_GB2312" w:hAnsi="仿宋_GB2312" w:eastAsia="仿宋_GB2312" w:cs="仿宋_GB2312"/>
                <w:b w:val="0"/>
                <w:bCs w:val="0"/>
                <w:color w:val="auto"/>
                <w:sz w:val="24"/>
                <w:szCs w:val="24"/>
                <w:highlight w:val="none"/>
                <w:lang w:eastAsia="zh-CN"/>
              </w:rPr>
              <w:t>）</w:t>
            </w: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51691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rPr>
              <w:t>资金到位率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5分</w:t>
            </w:r>
            <w:r>
              <w:rPr>
                <w:rFonts w:hint="eastAsia" w:ascii="仿宋_GB2312" w:hAnsi="仿宋_GB2312" w:eastAsia="仿宋_GB2312" w:cs="仿宋_GB2312"/>
                <w:b w:val="0"/>
                <w:bCs w:val="0"/>
                <w:color w:val="auto"/>
                <w:sz w:val="24"/>
                <w:szCs w:val="24"/>
                <w:highlight w:val="none"/>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4A37E1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实际到位资金与</w:t>
            </w:r>
            <w:r>
              <w:rPr>
                <w:rFonts w:hint="eastAsia" w:ascii="仿宋_GB2312" w:hAnsi="仿宋_GB2312" w:eastAsia="仿宋_GB2312" w:cs="仿宋_GB2312"/>
                <w:b w:val="0"/>
                <w:bCs w:val="0"/>
                <w:color w:val="auto"/>
                <w:sz w:val="24"/>
                <w:szCs w:val="24"/>
                <w:highlight w:val="none"/>
                <w:lang w:val="en-US" w:eastAsia="zh-CN"/>
              </w:rPr>
              <w:t>申请</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预算</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资金的比率，用以反映和考核资金落实情况对项目实施的总体保障程度。</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D5BABE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实际到位资金与预算资金的</w:t>
            </w:r>
            <w:r>
              <w:rPr>
                <w:rFonts w:hint="eastAsia" w:ascii="仿宋_GB2312" w:hAnsi="仿宋_GB2312" w:eastAsia="仿宋_GB2312" w:cs="仿宋_GB2312"/>
                <w:b w:val="0"/>
                <w:bCs w:val="0"/>
                <w:color w:val="auto"/>
                <w:sz w:val="24"/>
                <w:szCs w:val="24"/>
                <w:highlight w:val="none"/>
                <w:lang w:eastAsia="zh-CN"/>
              </w:rPr>
              <w:t>有差距</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sz w:val="24"/>
                <w:szCs w:val="24"/>
                <w:highlight w:val="none"/>
                <w:lang w:eastAsia="zh-CN"/>
              </w:rPr>
              <w:t>不</w:t>
            </w:r>
            <w:r>
              <w:rPr>
                <w:rFonts w:hint="eastAsia" w:ascii="仿宋_GB2312" w:hAnsi="仿宋_GB2312" w:eastAsia="仿宋_GB2312" w:cs="仿宋_GB2312"/>
                <w:b w:val="0"/>
                <w:bCs w:val="0"/>
                <w:color w:val="auto"/>
                <w:sz w:val="24"/>
                <w:szCs w:val="24"/>
                <w:highlight w:val="none"/>
                <w:lang w:val="en-US" w:eastAsia="zh-CN"/>
              </w:rPr>
              <w:t>能</w:t>
            </w:r>
            <w:r>
              <w:rPr>
                <w:rFonts w:hint="eastAsia" w:ascii="仿宋_GB2312" w:hAnsi="仿宋_GB2312" w:eastAsia="仿宋_GB2312" w:cs="仿宋_GB2312"/>
                <w:b w:val="0"/>
                <w:bCs w:val="0"/>
                <w:color w:val="auto"/>
                <w:sz w:val="24"/>
                <w:szCs w:val="24"/>
                <w:highlight w:val="none"/>
              </w:rPr>
              <w:t>反映和考核资金落实情况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对项目实施的总体保障</w:t>
            </w:r>
            <w:r>
              <w:rPr>
                <w:rFonts w:hint="eastAsia" w:ascii="仿宋_GB2312" w:hAnsi="仿宋_GB2312" w:eastAsia="仿宋_GB2312" w:cs="仿宋_GB2312"/>
                <w:b w:val="0"/>
                <w:bCs w:val="0"/>
                <w:color w:val="auto"/>
                <w:sz w:val="24"/>
                <w:szCs w:val="24"/>
                <w:highlight w:val="none"/>
                <w:lang w:eastAsia="zh-CN"/>
              </w:rPr>
              <w:t>有影响</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sz w:val="24"/>
                <w:szCs w:val="24"/>
                <w:highlight w:val="none"/>
                <w:lang w:val="en-US" w:eastAsia="zh-CN"/>
              </w:rPr>
              <w:t>得3分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8FB5C3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w:t>
            </w:r>
          </w:p>
        </w:tc>
      </w:tr>
      <w:tr w14:paraId="02BFB2B3">
        <w:tblPrEx>
          <w:tblCellMar>
            <w:top w:w="0" w:type="dxa"/>
            <w:left w:w="0" w:type="dxa"/>
            <w:bottom w:w="0" w:type="dxa"/>
            <w:right w:w="0" w:type="dxa"/>
          </w:tblCellMar>
        </w:tblPrEx>
        <w:trPr>
          <w:trHeight w:val="836"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20D868F3">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732" w:type="dxa"/>
            <w:vMerge w:val="continue"/>
            <w:tcBorders>
              <w:left w:val="nil"/>
              <w:right w:val="single" w:color="000000" w:sz="8" w:space="0"/>
            </w:tcBorders>
            <w:shd w:val="clear" w:color="auto" w:fill="auto"/>
            <w:noWrap w:val="0"/>
            <w:vAlign w:val="center"/>
          </w:tcPr>
          <w:p w14:paraId="10D7294C">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A37E49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资金拨付及时性</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5分</w:t>
            </w:r>
            <w:r>
              <w:rPr>
                <w:rFonts w:hint="eastAsia" w:ascii="仿宋_GB2312" w:hAnsi="仿宋_GB2312" w:eastAsia="仿宋_GB2312" w:cs="仿宋_GB2312"/>
                <w:b w:val="0"/>
                <w:bCs w:val="0"/>
                <w:color w:val="auto"/>
                <w:sz w:val="24"/>
                <w:szCs w:val="24"/>
                <w:highlight w:val="none"/>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7AC486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项目资金是否按照依法依规及时拨付，用以反映和考核项目资金拨付时效情况。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C4DC84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未按照依法依规拨付，无法反映及时性，得3分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8D5986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3</w:t>
            </w:r>
          </w:p>
        </w:tc>
      </w:tr>
      <w:tr w14:paraId="0B75F630">
        <w:tblPrEx>
          <w:tblCellMar>
            <w:top w:w="0" w:type="dxa"/>
            <w:left w:w="0" w:type="dxa"/>
            <w:bottom w:w="0" w:type="dxa"/>
            <w:right w:w="0" w:type="dxa"/>
          </w:tblCellMar>
        </w:tblPrEx>
        <w:trPr>
          <w:trHeight w:val="79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3033FA1D">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732" w:type="dxa"/>
            <w:vMerge w:val="continue"/>
            <w:tcBorders>
              <w:left w:val="nil"/>
              <w:right w:val="single" w:color="000000" w:sz="8" w:space="0"/>
            </w:tcBorders>
            <w:shd w:val="clear" w:color="auto" w:fill="auto"/>
            <w:noWrap w:val="0"/>
            <w:vAlign w:val="center"/>
          </w:tcPr>
          <w:p w14:paraId="587FFF5F">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41826C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预算执行率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4分</w:t>
            </w:r>
            <w:r>
              <w:rPr>
                <w:rFonts w:hint="eastAsia" w:ascii="仿宋_GB2312" w:hAnsi="仿宋_GB2312" w:eastAsia="仿宋_GB2312" w:cs="仿宋_GB2312"/>
                <w:b w:val="0"/>
                <w:bCs w:val="0"/>
                <w:color w:val="auto"/>
                <w:sz w:val="24"/>
                <w:szCs w:val="24"/>
                <w:highlight w:val="none"/>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2CD2B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项目预算资金是否按照计划执行，用以反映或考核项目预算执行情况。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6E1FE9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项目预算资金</w:t>
            </w:r>
            <w:r>
              <w:rPr>
                <w:rFonts w:hint="eastAsia" w:ascii="仿宋_GB2312" w:hAnsi="仿宋_GB2312" w:eastAsia="仿宋_GB2312" w:cs="仿宋_GB2312"/>
                <w:b w:val="0"/>
                <w:bCs w:val="0"/>
                <w:color w:val="auto"/>
                <w:sz w:val="24"/>
                <w:szCs w:val="24"/>
                <w:highlight w:val="none"/>
                <w:lang w:val="en-US" w:eastAsia="zh-CN"/>
              </w:rPr>
              <w:t>能反</w:t>
            </w:r>
            <w:r>
              <w:rPr>
                <w:rFonts w:hint="eastAsia" w:ascii="仿宋_GB2312" w:hAnsi="仿宋_GB2312" w:eastAsia="仿宋_GB2312" w:cs="仿宋_GB2312"/>
                <w:b w:val="0"/>
                <w:bCs w:val="0"/>
                <w:color w:val="auto"/>
                <w:sz w:val="24"/>
                <w:szCs w:val="24"/>
                <w:highlight w:val="none"/>
              </w:rPr>
              <w:t>映或考核项目预算执行情况。</w:t>
            </w:r>
            <w:r>
              <w:rPr>
                <w:rFonts w:hint="eastAsia" w:ascii="仿宋_GB2312" w:hAnsi="仿宋_GB2312" w:eastAsia="仿宋_GB2312" w:cs="仿宋_GB2312"/>
                <w:b w:val="0"/>
                <w:bCs w:val="0"/>
                <w:color w:val="auto"/>
                <w:sz w:val="24"/>
                <w:szCs w:val="24"/>
                <w:highlight w:val="none"/>
                <w:lang w:val="en-US" w:eastAsia="zh-CN"/>
              </w:rPr>
              <w:t>得2分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77702A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531CA8AA">
        <w:tblPrEx>
          <w:tblCellMar>
            <w:top w:w="0" w:type="dxa"/>
            <w:left w:w="0" w:type="dxa"/>
            <w:bottom w:w="0" w:type="dxa"/>
            <w:right w:w="0" w:type="dxa"/>
          </w:tblCellMar>
        </w:tblPrEx>
        <w:trPr>
          <w:trHeight w:val="108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079D6421">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732" w:type="dxa"/>
            <w:vMerge w:val="continue"/>
            <w:tcBorders>
              <w:left w:val="nil"/>
              <w:right w:val="single" w:color="000000" w:sz="8" w:space="0"/>
            </w:tcBorders>
            <w:shd w:val="clear" w:color="auto" w:fill="auto"/>
            <w:noWrap w:val="0"/>
            <w:vAlign w:val="center"/>
          </w:tcPr>
          <w:p w14:paraId="29935166">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E6CC0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资金使用</w:t>
            </w:r>
          </w:p>
          <w:p w14:paraId="3D4BAA7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合规性</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4分</w:t>
            </w:r>
            <w:r>
              <w:rPr>
                <w:rFonts w:hint="eastAsia" w:ascii="仿宋_GB2312" w:hAnsi="仿宋_GB2312" w:eastAsia="仿宋_GB2312" w:cs="仿宋_GB2312"/>
                <w:b w:val="0"/>
                <w:bCs w:val="0"/>
                <w:color w:val="auto"/>
                <w:sz w:val="24"/>
                <w:szCs w:val="24"/>
                <w:highlight w:val="none"/>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FC6CA5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项目资金使用是否符合相关的财务管理制度规定，用以反映和考核项目资金的规范运行情况。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50E29D6">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提供针对项目资金管理制度，能评价资金规范运行情况，但支付依据只提供文件与申请有合同规定支付的凭证。得4分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A91DDC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03427B64">
        <w:tblPrEx>
          <w:tblCellMar>
            <w:top w:w="0" w:type="dxa"/>
            <w:left w:w="0" w:type="dxa"/>
            <w:bottom w:w="0" w:type="dxa"/>
            <w:right w:w="0" w:type="dxa"/>
          </w:tblCellMar>
        </w:tblPrEx>
        <w:trPr>
          <w:trHeight w:val="135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46BB54D5">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732" w:type="dxa"/>
            <w:vMerge w:val="continue"/>
            <w:tcBorders>
              <w:left w:val="nil"/>
              <w:right w:val="single" w:color="000000" w:sz="8" w:space="0"/>
            </w:tcBorders>
            <w:shd w:val="clear" w:color="auto" w:fill="auto"/>
            <w:noWrap w:val="0"/>
            <w:vAlign w:val="center"/>
          </w:tcPr>
          <w:p w14:paraId="77D7992A">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9E8942C">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绩效自评内容完整性（4分）</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62257A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绩效自评是否根据要求进行评价</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53DD87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绩效自评内容不完整，实际完成值数据填写不规范，不细化</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A6B04E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315D695A">
        <w:tblPrEx>
          <w:tblCellMar>
            <w:top w:w="0" w:type="dxa"/>
            <w:left w:w="0" w:type="dxa"/>
            <w:bottom w:w="0" w:type="dxa"/>
            <w:right w:w="0" w:type="dxa"/>
          </w:tblCellMar>
        </w:tblPrEx>
        <w:trPr>
          <w:trHeight w:val="1743"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2A778D9B">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732" w:type="dxa"/>
            <w:vMerge w:val="continue"/>
            <w:tcBorders>
              <w:left w:val="nil"/>
              <w:bottom w:val="single" w:color="000000" w:sz="8" w:space="0"/>
              <w:right w:val="single" w:color="000000" w:sz="8" w:space="0"/>
            </w:tcBorders>
            <w:shd w:val="clear" w:color="auto" w:fill="auto"/>
            <w:noWrap w:val="0"/>
            <w:vAlign w:val="center"/>
          </w:tcPr>
          <w:p w14:paraId="1D96AC87">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ADC5A4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绩效自评结论真实性（4分）</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813A4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绩效自评是否与结论一致</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BE4E33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项目资金投入自评结论与实际数据一致，其他指标设置不明确、不规范，自评结论未能真实准确反映项目实际完成情况</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818B5A7">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5BDC1265">
        <w:tblPrEx>
          <w:tblCellMar>
            <w:top w:w="0" w:type="dxa"/>
            <w:left w:w="0" w:type="dxa"/>
            <w:bottom w:w="0" w:type="dxa"/>
            <w:right w:w="0" w:type="dxa"/>
          </w:tblCellMar>
        </w:tblPrEx>
        <w:trPr>
          <w:trHeight w:val="53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17505ADD">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73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965BEC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rPr>
              <w:t>组织实施</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4分</w:t>
            </w:r>
            <w:r>
              <w:rPr>
                <w:rFonts w:hint="eastAsia" w:ascii="仿宋_GB2312" w:hAnsi="仿宋_GB2312" w:eastAsia="仿宋_GB2312" w:cs="仿宋_GB2312"/>
                <w:b w:val="0"/>
                <w:bCs w:val="0"/>
                <w:color w:val="auto"/>
                <w:sz w:val="24"/>
                <w:szCs w:val="24"/>
                <w:highlight w:val="none"/>
                <w:lang w:eastAsia="zh-CN"/>
              </w:rPr>
              <w:t>）</w:t>
            </w:r>
          </w:p>
          <w:p w14:paraId="2DF1217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　</w:t>
            </w: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2A597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管理制度</w:t>
            </w:r>
          </w:p>
          <w:p w14:paraId="5B3E688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健全性</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4分</w:t>
            </w:r>
            <w:r>
              <w:rPr>
                <w:rFonts w:hint="eastAsia" w:ascii="仿宋_GB2312" w:hAnsi="仿宋_GB2312" w:eastAsia="仿宋_GB2312" w:cs="仿宋_GB2312"/>
                <w:b w:val="0"/>
                <w:bCs w:val="0"/>
                <w:color w:val="auto"/>
                <w:sz w:val="24"/>
                <w:szCs w:val="24"/>
                <w:highlight w:val="none"/>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939CBE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项目实施单位的财务和业务管理制度是否健全，用以反映和考核财务和业务管理制度对项目顺利实施的保障情况。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620E7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主管部门提供财务与业务管理制度。结论未能真实准确反映项目实际完成情况，得2分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1EBC4F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7F49114E">
        <w:tblPrEx>
          <w:tblCellMar>
            <w:top w:w="0" w:type="dxa"/>
            <w:left w:w="0" w:type="dxa"/>
            <w:bottom w:w="0" w:type="dxa"/>
            <w:right w:w="0" w:type="dxa"/>
          </w:tblCellMar>
        </w:tblPrEx>
        <w:trPr>
          <w:trHeight w:val="542" w:hRule="atLeast"/>
          <w:jc w:val="center"/>
        </w:trPr>
        <w:tc>
          <w:tcPr>
            <w:tcW w:w="7584" w:type="dxa"/>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669B7B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小计</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06C431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20</w:t>
            </w:r>
          </w:p>
        </w:tc>
      </w:tr>
    </w:tbl>
    <w:p w14:paraId="52AECBE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1.资金到位率</w:t>
      </w:r>
    </w:p>
    <w:p w14:paraId="2E3DB93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指标解释：实际到位资金与预算资金的比例，用以反映和考核资金落实情况对项目实施的总体保障程度。</w:t>
      </w:r>
    </w:p>
    <w:p w14:paraId="169A65A2">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评分情况：预算资金264.08万元，实际到位资金243.9万元，预算资金与实际有偏差。根据评价标准，该项满分</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6</w:t>
      </w:r>
      <w:r>
        <w:rPr>
          <w:rFonts w:hint="eastAsia" w:ascii="仿宋_GB2312" w:hAnsi="仿宋_GB2312" w:eastAsia="仿宋_GB2312" w:cs="仿宋_GB2312"/>
          <w:b w:val="0"/>
          <w:bCs w:val="0"/>
          <w:color w:val="auto"/>
          <w:sz w:val="24"/>
          <w:szCs w:val="24"/>
          <w:highlight w:val="none"/>
        </w:rPr>
        <w:t>0.00%。</w:t>
      </w:r>
    </w:p>
    <w:p w14:paraId="0A8AE7A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2.资金拨付及时性</w:t>
      </w:r>
    </w:p>
    <w:p w14:paraId="3AC198F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指标解释：项目资金是否按照依法依规及时拨付，用以反映和考核项目资金拨付时效情况。</w:t>
      </w:r>
    </w:p>
    <w:p w14:paraId="71028ED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评分情况：怀远县财政局及时拨付，预算资金264.08万元，实际到位资金243.9万元，未按照依法依规拨付</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无法判断及时性。</w:t>
      </w:r>
      <w:r>
        <w:rPr>
          <w:rFonts w:hint="eastAsia" w:ascii="仿宋_GB2312" w:hAnsi="仿宋_GB2312" w:eastAsia="仿宋_GB2312" w:cs="仿宋_GB2312"/>
          <w:b w:val="0"/>
          <w:bCs w:val="0"/>
          <w:color w:val="auto"/>
          <w:sz w:val="24"/>
          <w:szCs w:val="24"/>
          <w:highlight w:val="none"/>
        </w:rPr>
        <w:t>根据评价标准，该项满分</w:t>
      </w: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分，得2分，得分率</w:t>
      </w:r>
      <w:r>
        <w:rPr>
          <w:rFonts w:hint="eastAsia" w:ascii="仿宋_GB2312" w:hAnsi="仿宋_GB2312" w:eastAsia="仿宋_GB2312" w:cs="仿宋_GB2312"/>
          <w:b w:val="0"/>
          <w:bCs w:val="0"/>
          <w:color w:val="auto"/>
          <w:sz w:val="24"/>
          <w:szCs w:val="24"/>
          <w:highlight w:val="none"/>
          <w:lang w:val="en-US" w:eastAsia="zh-CN"/>
        </w:rPr>
        <w:t>6</w:t>
      </w:r>
      <w:r>
        <w:rPr>
          <w:rFonts w:hint="eastAsia" w:ascii="仿宋_GB2312" w:hAnsi="仿宋_GB2312" w:eastAsia="仿宋_GB2312" w:cs="仿宋_GB2312"/>
          <w:b w:val="0"/>
          <w:bCs w:val="0"/>
          <w:color w:val="auto"/>
          <w:sz w:val="24"/>
          <w:szCs w:val="24"/>
          <w:highlight w:val="none"/>
        </w:rPr>
        <w:t>0.00%。</w:t>
      </w:r>
    </w:p>
    <w:p w14:paraId="54E168D4">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3.预算执行率</w:t>
      </w:r>
    </w:p>
    <w:p w14:paraId="1204F4C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指标解释：项目预算资金是否按照计划执行，用以反映或考核项目预算执行情况。</w:t>
      </w:r>
    </w:p>
    <w:p w14:paraId="56EFC46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 县</w:t>
      </w:r>
      <w:r>
        <w:rPr>
          <w:rFonts w:hint="eastAsia" w:ascii="仿宋_GB2312" w:hAnsi="仿宋_GB2312" w:eastAsia="仿宋_GB2312" w:cs="仿宋_GB2312"/>
          <w:b w:val="0"/>
          <w:bCs w:val="0"/>
          <w:color w:val="auto"/>
          <w:sz w:val="24"/>
          <w:szCs w:val="24"/>
          <w:highlight w:val="none"/>
          <w:lang w:val="en-US" w:eastAsia="zh-CN"/>
        </w:rPr>
        <w:t>农业农村局2023年度县涡河航道治理经费项目</w:t>
      </w:r>
      <w:r>
        <w:rPr>
          <w:rFonts w:hint="eastAsia" w:ascii="仿宋_GB2312" w:hAnsi="仿宋_GB2312" w:eastAsia="仿宋_GB2312" w:cs="仿宋_GB2312"/>
          <w:b w:val="0"/>
          <w:bCs w:val="0"/>
          <w:color w:val="auto"/>
          <w:sz w:val="24"/>
          <w:szCs w:val="24"/>
          <w:highlight w:val="none"/>
        </w:rPr>
        <w:t>有申请批文，预算资金264.08万元，实际到位资金243.9万元。渔业资源环境监测</w:t>
      </w:r>
      <w:r>
        <w:rPr>
          <w:rFonts w:hint="eastAsia" w:ascii="仿宋_GB2312" w:hAnsi="仿宋_GB2312" w:eastAsia="仿宋_GB2312" w:cs="仿宋_GB2312"/>
          <w:b w:val="0"/>
          <w:bCs w:val="0"/>
          <w:color w:val="auto"/>
          <w:sz w:val="24"/>
          <w:szCs w:val="24"/>
          <w:highlight w:val="none"/>
          <w:lang w:eastAsia="zh-CN"/>
        </w:rPr>
        <w:t>没有说明文件，</w:t>
      </w:r>
      <w:r>
        <w:rPr>
          <w:rFonts w:hint="eastAsia" w:ascii="仿宋_GB2312" w:hAnsi="仿宋_GB2312" w:eastAsia="仿宋_GB2312" w:cs="仿宋_GB2312"/>
          <w:b w:val="0"/>
          <w:bCs w:val="0"/>
          <w:color w:val="auto"/>
          <w:sz w:val="24"/>
          <w:szCs w:val="24"/>
          <w:highlight w:val="none"/>
        </w:rPr>
        <w:t>根据评价标准，该项满分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0.00%。</w:t>
      </w:r>
    </w:p>
    <w:p w14:paraId="3578825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4.资金使用合规性</w:t>
      </w:r>
    </w:p>
    <w:p w14:paraId="46F4AAD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指标解释：项目资金使用是否符合相关的财务管理制度规定，用以反映和考核项目资金的规范运行情况。</w:t>
      </w:r>
    </w:p>
    <w:p w14:paraId="72FA5AE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评分情况：资金使用符合相关财务制度的规定，审批程序和手续</w:t>
      </w:r>
      <w:r>
        <w:rPr>
          <w:rFonts w:hint="eastAsia" w:ascii="仿宋_GB2312" w:hAnsi="仿宋_GB2312" w:eastAsia="仿宋_GB2312" w:cs="仿宋_GB2312"/>
          <w:b w:val="0"/>
          <w:bCs w:val="0"/>
          <w:color w:val="auto"/>
          <w:sz w:val="24"/>
          <w:szCs w:val="24"/>
          <w:highlight w:val="none"/>
          <w:lang w:val="en-US" w:eastAsia="zh-CN"/>
        </w:rPr>
        <w:t>较</w:t>
      </w:r>
      <w:r>
        <w:rPr>
          <w:rFonts w:hint="eastAsia" w:ascii="仿宋_GB2312" w:hAnsi="仿宋_GB2312" w:eastAsia="仿宋_GB2312" w:cs="仿宋_GB2312"/>
          <w:b w:val="0"/>
          <w:bCs w:val="0"/>
          <w:color w:val="auto"/>
          <w:sz w:val="24"/>
          <w:szCs w:val="24"/>
          <w:highlight w:val="none"/>
        </w:rPr>
        <w:t>完整，能够做到专款专用，未发现截留、挤占、挪用、虚列开支等情况。</w:t>
      </w:r>
      <w:r>
        <w:rPr>
          <w:rFonts w:hint="eastAsia" w:ascii="仿宋_GB2312" w:hAnsi="仿宋_GB2312" w:eastAsia="仿宋_GB2312" w:cs="仿宋_GB2312"/>
          <w:b w:val="0"/>
          <w:bCs w:val="0"/>
          <w:color w:val="auto"/>
          <w:sz w:val="24"/>
          <w:szCs w:val="24"/>
          <w:highlight w:val="none"/>
          <w:lang w:val="en-US" w:eastAsia="zh-CN"/>
        </w:rPr>
        <w:t>但报销单据上没有财务审核人员签字确认。</w:t>
      </w:r>
      <w:r>
        <w:rPr>
          <w:rFonts w:hint="eastAsia" w:ascii="仿宋_GB2312" w:hAnsi="仿宋_GB2312" w:eastAsia="仿宋_GB2312" w:cs="仿宋_GB2312"/>
          <w:b w:val="0"/>
          <w:bCs w:val="0"/>
          <w:color w:val="auto"/>
          <w:sz w:val="24"/>
          <w:szCs w:val="24"/>
          <w:highlight w:val="none"/>
        </w:rPr>
        <w:t>该项指标满分4分，得</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100</w:t>
      </w:r>
      <w:r>
        <w:rPr>
          <w:rFonts w:hint="eastAsia" w:ascii="仿宋_GB2312" w:hAnsi="仿宋_GB2312" w:eastAsia="仿宋_GB2312" w:cs="仿宋_GB2312"/>
          <w:b w:val="0"/>
          <w:bCs w:val="0"/>
          <w:color w:val="auto"/>
          <w:sz w:val="24"/>
          <w:szCs w:val="24"/>
          <w:highlight w:val="none"/>
        </w:rPr>
        <w:t>%。</w:t>
      </w:r>
    </w:p>
    <w:p w14:paraId="7FFF715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5.绩效自评内容准确完整性</w:t>
      </w:r>
    </w:p>
    <w:p w14:paraId="05B604E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指标解释：是否对设定的绩效目标指标值均进行了绩效自评，相关数据填写是否规范。</w:t>
      </w:r>
    </w:p>
    <w:p w14:paraId="4113A22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评分情况：县</w:t>
      </w:r>
      <w:r>
        <w:rPr>
          <w:rFonts w:hint="eastAsia" w:ascii="仿宋_GB2312" w:hAnsi="仿宋_GB2312" w:eastAsia="仿宋_GB2312" w:cs="仿宋_GB2312"/>
          <w:b w:val="0"/>
          <w:bCs w:val="0"/>
          <w:color w:val="auto"/>
          <w:sz w:val="24"/>
          <w:szCs w:val="24"/>
          <w:highlight w:val="none"/>
          <w:lang w:val="en-US" w:eastAsia="zh-CN"/>
        </w:rPr>
        <w:t>农业农村局</w:t>
      </w:r>
      <w:r>
        <w:rPr>
          <w:rFonts w:hint="eastAsia" w:ascii="仿宋_GB2312" w:hAnsi="仿宋_GB2312" w:eastAsia="仿宋_GB2312" w:cs="仿宋_GB2312"/>
          <w:b w:val="0"/>
          <w:bCs w:val="0"/>
          <w:color w:val="auto"/>
          <w:sz w:val="24"/>
          <w:szCs w:val="24"/>
          <w:highlight w:val="none"/>
        </w:rPr>
        <w:t>根据设定的绩效目标进行了绩效自评，渔民减船退渔安置社会保障资金≦243.14万元，实际是243.9万元，数据不准确，渔业资源环境监测，≦20.94万元，实际完成值数据填写不规范</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实际完成值数据填写不规范，笼统地写为“效果显著</w:t>
      </w:r>
      <w:r>
        <w:rPr>
          <w:rFonts w:hint="eastAsia" w:ascii="仿宋_GB2312" w:hAnsi="仿宋_GB2312" w:eastAsia="仿宋_GB2312" w:cs="仿宋_GB2312"/>
          <w:b w:val="0"/>
          <w:bCs w:val="0"/>
          <w:color w:val="auto"/>
          <w:sz w:val="24"/>
          <w:szCs w:val="24"/>
          <w:highlight w:val="none"/>
          <w:lang w:eastAsia="zh-CN"/>
        </w:rPr>
        <w:t>、安全正常运行</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sz w:val="24"/>
          <w:szCs w:val="24"/>
          <w:highlight w:val="none"/>
          <w:lang w:val="en-US" w:eastAsia="zh-CN"/>
        </w:rPr>
        <w:t>等</w:t>
      </w:r>
      <w:r>
        <w:rPr>
          <w:rFonts w:hint="eastAsia" w:ascii="仿宋_GB2312" w:hAnsi="仿宋_GB2312" w:eastAsia="仿宋_GB2312" w:cs="仿宋_GB2312"/>
          <w:b w:val="0"/>
          <w:bCs w:val="0"/>
          <w:color w:val="auto"/>
          <w:sz w:val="24"/>
          <w:szCs w:val="24"/>
          <w:highlight w:val="none"/>
        </w:rPr>
        <w:t>。该项指标满分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0.00%。</w:t>
      </w:r>
    </w:p>
    <w:p w14:paraId="72D4D6B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6.绩效自评结论真实性</w:t>
      </w:r>
    </w:p>
    <w:p w14:paraId="5CCF5F9B">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指标解释：绩效自评结论是否与实际数据一致。</w:t>
      </w:r>
    </w:p>
    <w:p w14:paraId="576654D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评分情况：项目资金投入自评结论与实际数据</w:t>
      </w:r>
      <w:r>
        <w:rPr>
          <w:rFonts w:hint="eastAsia" w:ascii="仿宋_GB2312" w:hAnsi="仿宋_GB2312" w:eastAsia="仿宋_GB2312" w:cs="仿宋_GB2312"/>
          <w:b w:val="0"/>
          <w:bCs w:val="0"/>
          <w:color w:val="auto"/>
          <w:sz w:val="24"/>
          <w:szCs w:val="24"/>
          <w:highlight w:val="none"/>
          <w:lang w:eastAsia="zh-CN"/>
        </w:rPr>
        <w:t>有差距</w:t>
      </w:r>
      <w:r>
        <w:rPr>
          <w:rFonts w:hint="eastAsia" w:ascii="仿宋_GB2312" w:hAnsi="仿宋_GB2312" w:eastAsia="仿宋_GB2312" w:cs="仿宋_GB2312"/>
          <w:b w:val="0"/>
          <w:bCs w:val="0"/>
          <w:color w:val="auto"/>
          <w:sz w:val="24"/>
          <w:szCs w:val="24"/>
          <w:highlight w:val="none"/>
        </w:rPr>
        <w:t>，其他指标设置不明确、</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val="0"/>
          <w:bCs w:val="0"/>
          <w:color w:val="auto"/>
          <w:sz w:val="24"/>
          <w:szCs w:val="24"/>
          <w:highlight w:val="none"/>
        </w:rPr>
        <w:t>不规范，自评结论未能真实准确反映项目实际完成情况。该项指标满分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0.00%。</w:t>
      </w:r>
    </w:p>
    <w:p w14:paraId="0F63C54B">
      <w:pPr>
        <w:keepNext w:val="0"/>
        <w:keepLines w:val="0"/>
        <w:pageBreakBefore w:val="0"/>
        <w:kinsoku/>
        <w:wordWrap/>
        <w:overflowPunct/>
        <w:topLinePunct w:val="0"/>
        <w:autoSpaceDE/>
        <w:autoSpaceDN/>
        <w:bidi w:val="0"/>
        <w:adjustRightInd/>
        <w:snapToGrid/>
        <w:spacing w:line="560" w:lineRule="exact"/>
        <w:ind w:firstLine="240" w:firstLineChars="100"/>
        <w:outlineLvl w:val="1"/>
        <w:rPr>
          <w:rFonts w:hint="eastAsia" w:ascii="仿宋_GB2312" w:hAnsi="仿宋_GB2312" w:eastAsia="仿宋_GB2312" w:cs="仿宋_GB2312"/>
          <w:b w:val="0"/>
          <w:bCs w:val="0"/>
          <w:color w:val="auto"/>
          <w:sz w:val="24"/>
          <w:szCs w:val="24"/>
          <w:highlight w:val="none"/>
        </w:rPr>
      </w:pPr>
      <w:bookmarkStart w:id="27" w:name="_Toc14450"/>
      <w:r>
        <w:rPr>
          <w:rFonts w:hint="eastAsia" w:ascii="仿宋_GB2312" w:hAnsi="仿宋_GB2312" w:eastAsia="仿宋_GB2312" w:cs="仿宋_GB2312"/>
          <w:b w:val="0"/>
          <w:bCs w:val="0"/>
          <w:color w:val="auto"/>
          <w:sz w:val="24"/>
          <w:szCs w:val="24"/>
          <w:highlight w:val="none"/>
        </w:rPr>
        <w:t>（三）项目产出情况</w:t>
      </w:r>
      <w:bookmarkEnd w:id="27"/>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满分20分，实得16分</w:t>
      </w:r>
      <w:r>
        <w:rPr>
          <w:rFonts w:hint="eastAsia" w:ascii="仿宋_GB2312" w:hAnsi="仿宋_GB2312" w:eastAsia="仿宋_GB2312" w:cs="仿宋_GB2312"/>
          <w:b w:val="0"/>
          <w:bCs w:val="0"/>
          <w:color w:val="auto"/>
          <w:sz w:val="24"/>
          <w:szCs w:val="24"/>
          <w:highlight w:val="none"/>
          <w:lang w:eastAsia="zh-CN"/>
        </w:rPr>
        <w:t>）</w:t>
      </w:r>
    </w:p>
    <w:p w14:paraId="437A1366">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项目产出的评价指标包括产出数量、产出质量、产出时效、产出成本四项二级指标，共涉及荆山湖和汤渔湖行洪堤、新淝河堤防、四方湖引河堤防等委托怀远县淮河河道管理局代管的县管堤防日常运行维护工作</w:t>
      </w:r>
      <w:r>
        <w:rPr>
          <w:rFonts w:hint="eastAsia" w:ascii="仿宋_GB2312" w:hAnsi="仿宋_GB2312" w:eastAsia="仿宋_GB2312" w:cs="仿宋_GB2312"/>
          <w:b w:val="0"/>
          <w:bCs w:val="0"/>
          <w:color w:val="auto"/>
          <w:sz w:val="24"/>
          <w:szCs w:val="24"/>
          <w:highlight w:val="none"/>
          <w:lang w:val="en-US" w:eastAsia="zh-CN"/>
        </w:rPr>
        <w:t>及人员工资管理。</w:t>
      </w:r>
      <w:r>
        <w:rPr>
          <w:rFonts w:hint="eastAsia" w:ascii="仿宋_GB2312" w:hAnsi="仿宋_GB2312" w:eastAsia="仿宋_GB2312" w:cs="仿宋_GB2312"/>
          <w:b w:val="0"/>
          <w:bCs w:val="0"/>
          <w:color w:val="auto"/>
          <w:sz w:val="24"/>
          <w:szCs w:val="24"/>
          <w:highlight w:val="none"/>
        </w:rPr>
        <w:t>各项任务完成及时性、预算</w:t>
      </w:r>
      <w:r>
        <w:rPr>
          <w:rFonts w:hint="eastAsia" w:ascii="仿宋_GB2312" w:hAnsi="仿宋_GB2312" w:eastAsia="仿宋_GB2312" w:cs="仿宋_GB2312"/>
          <w:b w:val="0"/>
          <w:bCs w:val="0"/>
          <w:color w:val="auto"/>
          <w:sz w:val="24"/>
          <w:szCs w:val="24"/>
          <w:highlight w:val="none"/>
          <w:lang w:eastAsia="zh-CN"/>
        </w:rPr>
        <w:t>控制</w:t>
      </w:r>
      <w:r>
        <w:rPr>
          <w:rFonts w:hint="eastAsia" w:ascii="仿宋_GB2312" w:hAnsi="仿宋_GB2312" w:eastAsia="仿宋_GB2312" w:cs="仿宋_GB2312"/>
          <w:b w:val="0"/>
          <w:bCs w:val="0"/>
          <w:color w:val="auto"/>
          <w:sz w:val="24"/>
          <w:szCs w:val="24"/>
          <w:highlight w:val="none"/>
        </w:rPr>
        <w:t>率4个三级指标。“项目产出”总分2</w:t>
      </w:r>
      <w:r>
        <w:rPr>
          <w:rFonts w:hint="eastAsia" w:ascii="仿宋_GB2312" w:hAnsi="仿宋_GB2312" w:eastAsia="仿宋_GB2312" w:cs="仿宋_GB2312"/>
          <w:b w:val="0"/>
          <w:bCs w:val="0"/>
          <w:color w:val="auto"/>
          <w:sz w:val="24"/>
          <w:szCs w:val="24"/>
          <w:highlight w:val="none"/>
          <w:lang w:val="en-US" w:eastAsia="zh-CN"/>
        </w:rPr>
        <w:t>0</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16</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80</w:t>
      </w:r>
      <w:r>
        <w:rPr>
          <w:rFonts w:hint="eastAsia" w:ascii="仿宋_GB2312" w:hAnsi="仿宋_GB2312" w:eastAsia="仿宋_GB2312" w:cs="仿宋_GB2312"/>
          <w:b w:val="0"/>
          <w:bCs w:val="0"/>
          <w:color w:val="auto"/>
          <w:sz w:val="24"/>
          <w:szCs w:val="24"/>
          <w:highlight w:val="none"/>
        </w:rPr>
        <w:t>%。</w:t>
      </w:r>
    </w:p>
    <w:p w14:paraId="1526368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p>
    <w:tbl>
      <w:tblPr>
        <w:tblStyle w:val="10"/>
        <w:tblW w:w="8925" w:type="dxa"/>
        <w:jc w:val="center"/>
        <w:tblLayout w:type="autofit"/>
        <w:tblCellMar>
          <w:top w:w="0" w:type="dxa"/>
          <w:left w:w="0" w:type="dxa"/>
          <w:bottom w:w="0" w:type="dxa"/>
          <w:right w:w="0" w:type="dxa"/>
        </w:tblCellMar>
      </w:tblPr>
      <w:tblGrid>
        <w:gridCol w:w="751"/>
        <w:gridCol w:w="973"/>
        <w:gridCol w:w="2207"/>
        <w:gridCol w:w="1963"/>
        <w:gridCol w:w="2356"/>
        <w:gridCol w:w="675"/>
      </w:tblGrid>
      <w:tr w14:paraId="659D19C0">
        <w:tblPrEx>
          <w:tblCellMar>
            <w:top w:w="0" w:type="dxa"/>
            <w:left w:w="0" w:type="dxa"/>
            <w:bottom w:w="0" w:type="dxa"/>
            <w:right w:w="0" w:type="dxa"/>
          </w:tblCellMar>
        </w:tblPrEx>
        <w:trPr>
          <w:trHeight w:val="90" w:hRule="atLeast"/>
          <w:jc w:val="center"/>
        </w:trPr>
        <w:tc>
          <w:tcPr>
            <w:tcW w:w="751"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C78075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rPr>
              <w:t>一级指标</w:t>
            </w:r>
          </w:p>
        </w:tc>
        <w:tc>
          <w:tcPr>
            <w:tcW w:w="973"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DA99E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rPr>
              <w:t>二级指标</w:t>
            </w:r>
          </w:p>
        </w:tc>
        <w:tc>
          <w:tcPr>
            <w:tcW w:w="2207"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3F6D27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rPr>
              <w:t>三级指标</w:t>
            </w:r>
          </w:p>
        </w:tc>
        <w:tc>
          <w:tcPr>
            <w:tcW w:w="1963"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E5477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指标内容</w:t>
            </w:r>
          </w:p>
        </w:tc>
        <w:tc>
          <w:tcPr>
            <w:tcW w:w="2356"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FBBD8F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评价情况</w:t>
            </w:r>
          </w:p>
        </w:tc>
        <w:tc>
          <w:tcPr>
            <w:tcW w:w="675"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068007C">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分值</w:t>
            </w:r>
          </w:p>
        </w:tc>
      </w:tr>
      <w:tr w14:paraId="3A06F1CC">
        <w:tblPrEx>
          <w:tblCellMar>
            <w:top w:w="0" w:type="dxa"/>
            <w:left w:w="0" w:type="dxa"/>
            <w:bottom w:w="0" w:type="dxa"/>
            <w:right w:w="0" w:type="dxa"/>
          </w:tblCellMar>
        </w:tblPrEx>
        <w:trPr>
          <w:trHeight w:val="1067" w:hRule="atLeast"/>
          <w:jc w:val="center"/>
        </w:trPr>
        <w:tc>
          <w:tcPr>
            <w:tcW w:w="751" w:type="dxa"/>
            <w:vMerge w:val="restart"/>
            <w:tcBorders>
              <w:top w:val="nil"/>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71788F6">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eastAsia="zh-CN"/>
              </w:rPr>
            </w:pPr>
            <w:r>
              <w:rPr>
                <w:rFonts w:hint="eastAsia" w:ascii="仿宋_GB2312" w:hAnsi="仿宋_GB2312" w:eastAsia="仿宋_GB2312" w:cs="仿宋_GB2312"/>
                <w:b w:val="0"/>
                <w:bCs w:val="0"/>
                <w:color w:val="auto"/>
                <w:sz w:val="24"/>
                <w:szCs w:val="24"/>
                <w:highlight w:val="none"/>
              </w:rPr>
              <w:t>产出指标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满分20</w:t>
            </w:r>
            <w:r>
              <w:rPr>
                <w:rFonts w:hint="eastAsia" w:ascii="仿宋_GB2312" w:hAnsi="仿宋_GB2312" w:eastAsia="仿宋_GB2312" w:cs="仿宋_GB2312"/>
                <w:b w:val="0"/>
                <w:bCs w:val="0"/>
                <w:color w:val="auto"/>
                <w:sz w:val="24"/>
                <w:szCs w:val="24"/>
                <w:highlight w:val="none"/>
                <w:lang w:eastAsia="zh-CN"/>
              </w:rPr>
              <w:t>）</w:t>
            </w:r>
          </w:p>
        </w:tc>
        <w:tc>
          <w:tcPr>
            <w:tcW w:w="97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ADBA226">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数量指标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5分）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1DDB6C7">
            <w:pPr>
              <w:keepNext w:val="0"/>
              <w:keepLines w:val="0"/>
              <w:pageBreakBefore w:val="0"/>
              <w:numPr>
                <w:ilvl w:val="0"/>
                <w:numId w:val="0"/>
              </w:numPr>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涡河航道渔民减船退渔安置社会保障资金发放和渔业资源环境监测的数量</w:t>
            </w:r>
          </w:p>
          <w:p w14:paraId="548DF38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095DF1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这一指标涉及在项目执行期间实际安置社会保障资金发放数量渔业资源环境监测</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5EEC42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rPr>
            </w:pPr>
            <w:r>
              <w:rPr>
                <w:rFonts w:hint="eastAsia" w:ascii="仿宋_GB2312" w:hAnsi="仿宋_GB2312" w:eastAsia="仿宋_GB2312" w:cs="仿宋_GB2312"/>
                <w:b w:val="0"/>
                <w:bCs w:val="0"/>
                <w:color w:val="auto"/>
                <w:sz w:val="24"/>
                <w:szCs w:val="24"/>
                <w:highlight w:val="none"/>
                <w:lang w:val="en-US" w:eastAsia="zh-CN"/>
              </w:rPr>
              <w:t>在项目执行期间实际执行情况：渔民减船退渔安置社会保障资金受益人535人得5分</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D04DBE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5</w:t>
            </w:r>
          </w:p>
        </w:tc>
      </w:tr>
      <w:tr w14:paraId="5799E6CA">
        <w:tblPrEx>
          <w:tblCellMar>
            <w:top w:w="0" w:type="dxa"/>
            <w:left w:w="0" w:type="dxa"/>
            <w:bottom w:w="0" w:type="dxa"/>
            <w:right w:w="0" w:type="dxa"/>
          </w:tblCellMar>
        </w:tblPrEx>
        <w:trPr>
          <w:trHeight w:val="2687" w:hRule="atLeast"/>
          <w:jc w:val="center"/>
        </w:trPr>
        <w:tc>
          <w:tcPr>
            <w:tcW w:w="751"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3F3DB468">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973" w:type="dxa"/>
            <w:tcBorders>
              <w:top w:val="nil"/>
              <w:left w:val="nil"/>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4B8F0AC1">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质量指标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6分）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EECFC5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项目完成质量情况</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AB26E9">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项目实际完成的质量达标产出数与实际产出数的比率，用以反映和考核项目产出质量目标的实现程度。</w:t>
            </w:r>
          </w:p>
        </w:tc>
        <w:tc>
          <w:tcPr>
            <w:tcW w:w="2356"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5EEB42D8">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b w:val="0"/>
                <w:bCs w:val="0"/>
                <w:i w:val="0"/>
                <w:iCs w:val="0"/>
                <w:color w:val="auto"/>
                <w:kern w:val="2"/>
                <w:sz w:val="24"/>
                <w:szCs w:val="24"/>
                <w:highlight w:val="none"/>
                <w:u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按照相关制度和审批手续，执行规范，渔业资源环境监测完成情况不明</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F975180">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p>
        </w:tc>
      </w:tr>
      <w:tr w14:paraId="332B5D7E">
        <w:tblPrEx>
          <w:tblCellMar>
            <w:top w:w="0" w:type="dxa"/>
            <w:left w:w="0" w:type="dxa"/>
            <w:bottom w:w="0" w:type="dxa"/>
            <w:right w:w="0" w:type="dxa"/>
          </w:tblCellMar>
        </w:tblPrEx>
        <w:trPr>
          <w:trHeight w:val="1276" w:hRule="atLeast"/>
          <w:jc w:val="center"/>
        </w:trPr>
        <w:tc>
          <w:tcPr>
            <w:tcW w:w="751"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0159CF01">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973" w:type="dxa"/>
            <w:tcBorders>
              <w:top w:val="single" w:color="auto" w:sz="4"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55B974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时效指标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5分）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7857CC">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各项指标完成及时率</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E806DA5">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经费支出的时效</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运营维护支时性，能确保涵闸等水利设施在维修养护中能</w:t>
            </w:r>
            <w:r>
              <w:rPr>
                <w:rFonts w:hint="eastAsia" w:ascii="仿宋_GB2312" w:hAnsi="仿宋_GB2312" w:eastAsia="仿宋_GB2312" w:cs="仿宋_GB2312"/>
                <w:b w:val="0"/>
                <w:bCs w:val="0"/>
                <w:color w:val="auto"/>
                <w:sz w:val="24"/>
                <w:szCs w:val="24"/>
                <w:highlight w:val="none"/>
              </w:rPr>
              <w:t>及时</w:t>
            </w:r>
            <w:r>
              <w:rPr>
                <w:rFonts w:hint="eastAsia" w:ascii="仿宋_GB2312" w:hAnsi="仿宋_GB2312" w:eastAsia="仿宋_GB2312" w:cs="仿宋_GB2312"/>
                <w:b w:val="0"/>
                <w:bCs w:val="0"/>
                <w:color w:val="auto"/>
                <w:sz w:val="24"/>
                <w:szCs w:val="24"/>
                <w:highlight w:val="none"/>
                <w:lang w:val="en-US" w:eastAsia="zh-CN"/>
              </w:rPr>
              <w:t>完成</w:t>
            </w:r>
            <w:r>
              <w:rPr>
                <w:rFonts w:hint="eastAsia" w:ascii="仿宋_GB2312" w:hAnsi="仿宋_GB2312" w:eastAsia="仿宋_GB2312" w:cs="仿宋_GB2312"/>
                <w:b w:val="0"/>
                <w:bCs w:val="0"/>
                <w:color w:val="auto"/>
                <w:sz w:val="24"/>
                <w:szCs w:val="24"/>
                <w:highlight w:val="none"/>
              </w:rPr>
              <w:t>，确保</w:t>
            </w:r>
            <w:r>
              <w:rPr>
                <w:rFonts w:hint="eastAsia" w:ascii="仿宋_GB2312" w:hAnsi="仿宋_GB2312" w:eastAsia="仿宋_GB2312" w:cs="仿宋_GB2312"/>
                <w:b w:val="0"/>
                <w:bCs w:val="0"/>
                <w:color w:val="auto"/>
                <w:sz w:val="24"/>
                <w:szCs w:val="24"/>
                <w:highlight w:val="none"/>
                <w:lang w:val="en-US" w:eastAsia="zh-CN"/>
              </w:rPr>
              <w:t>项目</w:t>
            </w:r>
            <w:r>
              <w:rPr>
                <w:rFonts w:hint="eastAsia" w:ascii="仿宋_GB2312" w:hAnsi="仿宋_GB2312" w:eastAsia="仿宋_GB2312" w:cs="仿宋_GB2312"/>
                <w:b w:val="0"/>
                <w:bCs w:val="0"/>
                <w:color w:val="auto"/>
                <w:sz w:val="24"/>
                <w:szCs w:val="24"/>
                <w:highlight w:val="none"/>
              </w:rPr>
              <w:t>顺利进行</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18B0DD8">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项目申请、资金发放及时、归档及时，合时效性。</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C0950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5</w:t>
            </w:r>
          </w:p>
        </w:tc>
      </w:tr>
      <w:tr w14:paraId="60A0A669">
        <w:tblPrEx>
          <w:tblCellMar>
            <w:top w:w="0" w:type="dxa"/>
            <w:left w:w="0" w:type="dxa"/>
            <w:bottom w:w="0" w:type="dxa"/>
            <w:right w:w="0" w:type="dxa"/>
          </w:tblCellMar>
        </w:tblPrEx>
        <w:trPr>
          <w:trHeight w:val="1276" w:hRule="atLeast"/>
          <w:jc w:val="center"/>
        </w:trPr>
        <w:tc>
          <w:tcPr>
            <w:tcW w:w="751"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25B5490F">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97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1B39C8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成本指标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4分）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45EA4EF">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eastAsia="zh-CN"/>
              </w:rPr>
              <w:t>预算控制率</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E0E2DA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rPr>
            </w:pPr>
            <w:r>
              <w:rPr>
                <w:rFonts w:hint="eastAsia" w:ascii="仿宋_GB2312" w:hAnsi="仿宋_GB2312" w:eastAsia="仿宋_GB2312" w:cs="仿宋_GB2312"/>
                <w:b w:val="0"/>
                <w:bCs w:val="0"/>
                <w:color w:val="auto"/>
                <w:sz w:val="24"/>
                <w:szCs w:val="24"/>
                <w:highlight w:val="none"/>
              </w:rPr>
              <w:t>这一指标反映了项目实际支出与预算之间的偏差程度。预算控制是确保资金使用效率、避免浪费的重要手段</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B37F66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rPr>
            </w:pPr>
            <w:r>
              <w:rPr>
                <w:rFonts w:hint="eastAsia" w:ascii="仿宋_GB2312" w:hAnsi="仿宋_GB2312" w:eastAsia="仿宋_GB2312" w:cs="仿宋_GB2312"/>
                <w:b w:val="0"/>
                <w:bCs w:val="0"/>
                <w:color w:val="auto"/>
                <w:sz w:val="24"/>
                <w:szCs w:val="24"/>
                <w:highlight w:val="none"/>
                <w:lang w:val="en-US" w:eastAsia="zh-CN"/>
              </w:rPr>
              <w:t>在实际实施中预算，</w:t>
            </w:r>
            <w:bookmarkStart w:id="29" w:name="_GoBack"/>
            <w:bookmarkEnd w:id="29"/>
            <w:r>
              <w:rPr>
                <w:rFonts w:hint="eastAsia" w:ascii="仿宋_GB2312" w:hAnsi="仿宋_GB2312" w:eastAsia="仿宋_GB2312" w:cs="仿宋_GB2312"/>
                <w:b w:val="0"/>
                <w:bCs w:val="0"/>
                <w:color w:val="auto"/>
                <w:sz w:val="24"/>
                <w:szCs w:val="24"/>
                <w:highlight w:val="none"/>
                <w:lang w:val="en-US" w:eastAsia="zh-CN"/>
              </w:rPr>
              <w:t>预算与实际存在差异。得2分</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1098B7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2</w:t>
            </w:r>
          </w:p>
        </w:tc>
      </w:tr>
      <w:tr w14:paraId="5D5DA887">
        <w:tblPrEx>
          <w:tblCellMar>
            <w:top w:w="0" w:type="dxa"/>
            <w:left w:w="0" w:type="dxa"/>
            <w:bottom w:w="0" w:type="dxa"/>
            <w:right w:w="0" w:type="dxa"/>
          </w:tblCellMar>
        </w:tblPrEx>
        <w:trPr>
          <w:trHeight w:val="786" w:hRule="atLeast"/>
          <w:jc w:val="center"/>
        </w:trPr>
        <w:tc>
          <w:tcPr>
            <w:tcW w:w="8250" w:type="dxa"/>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377F54B7">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rPr>
              <w:t>小计</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7355D7A">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16</w:t>
            </w:r>
          </w:p>
        </w:tc>
      </w:tr>
    </w:tbl>
    <w:p w14:paraId="21E388D8">
      <w:pPr>
        <w:keepNext w:val="0"/>
        <w:keepLines w:val="0"/>
        <w:pageBreakBefore w:val="0"/>
        <w:numPr>
          <w:ilvl w:val="0"/>
          <w:numId w:val="2"/>
        </w:numPr>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产出数量</w:t>
      </w:r>
    </w:p>
    <w:p w14:paraId="176D14F6">
      <w:pPr>
        <w:keepNext w:val="0"/>
        <w:keepLines w:val="0"/>
        <w:pageBreakBefore w:val="0"/>
        <w:numPr>
          <w:ilvl w:val="0"/>
          <w:numId w:val="0"/>
        </w:numPr>
        <w:kinsoku/>
        <w:wordWrap/>
        <w:overflowPunct/>
        <w:topLinePunct w:val="0"/>
        <w:autoSpaceDE/>
        <w:autoSpaceDN/>
        <w:bidi w:val="0"/>
        <w:adjustRightInd/>
        <w:snapToGrid/>
        <w:spacing w:line="560" w:lineRule="exact"/>
        <w:ind w:firstLine="240" w:firstLineChars="1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指标解释：项目实施的实际产出数，用以反映和考核项目产出数量。</w:t>
      </w:r>
    </w:p>
    <w:p w14:paraId="797BCD15">
      <w:pPr>
        <w:keepNext w:val="0"/>
        <w:keepLines w:val="0"/>
        <w:pageBreakBefore w:val="0"/>
        <w:kinsoku/>
        <w:wordWrap/>
        <w:overflowPunct/>
        <w:topLinePunct w:val="0"/>
        <w:autoSpaceDE/>
        <w:autoSpaceDN/>
        <w:bidi w:val="0"/>
        <w:adjustRightInd/>
        <w:snapToGrid/>
        <w:spacing w:line="560" w:lineRule="exact"/>
        <w:ind w:firstLine="240" w:firstLineChars="1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w:t>
      </w:r>
      <w:r>
        <w:rPr>
          <w:rFonts w:hint="eastAsia" w:ascii="仿宋_GB2312" w:hAnsi="仿宋_GB2312" w:eastAsia="仿宋_GB2312" w:cs="仿宋_GB2312"/>
          <w:b w:val="0"/>
          <w:bCs w:val="0"/>
          <w:color w:val="auto"/>
          <w:sz w:val="24"/>
          <w:szCs w:val="24"/>
          <w:highlight w:val="none"/>
          <w:lang w:val="en-US" w:eastAsia="zh-CN"/>
        </w:rPr>
        <w:t>在项目执行期间实际执行情况：渔民减船退渔安置社会保障资金受益人535人，渔业资源环境监测没见到监测报告。</w:t>
      </w:r>
      <w:r>
        <w:rPr>
          <w:rFonts w:hint="eastAsia" w:ascii="仿宋_GB2312" w:hAnsi="仿宋_GB2312" w:eastAsia="仿宋_GB2312" w:cs="仿宋_GB2312"/>
          <w:b w:val="0"/>
          <w:bCs w:val="0"/>
          <w:color w:val="auto"/>
          <w:sz w:val="24"/>
          <w:szCs w:val="24"/>
          <w:highlight w:val="none"/>
        </w:rPr>
        <w:t>该项指标满分</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100</w:t>
      </w:r>
      <w:r>
        <w:rPr>
          <w:rFonts w:hint="eastAsia" w:ascii="仿宋_GB2312" w:hAnsi="仿宋_GB2312" w:eastAsia="仿宋_GB2312" w:cs="仿宋_GB2312"/>
          <w:b w:val="0"/>
          <w:bCs w:val="0"/>
          <w:color w:val="auto"/>
          <w:sz w:val="24"/>
          <w:szCs w:val="24"/>
          <w:highlight w:val="none"/>
        </w:rPr>
        <w:t>%。</w:t>
      </w:r>
    </w:p>
    <w:p w14:paraId="53862F2B">
      <w:pPr>
        <w:keepNext w:val="0"/>
        <w:keepLines w:val="0"/>
        <w:pageBreakBefore w:val="0"/>
        <w:numPr>
          <w:ilvl w:val="0"/>
          <w:numId w:val="2"/>
        </w:numPr>
        <w:kinsoku/>
        <w:wordWrap/>
        <w:overflowPunct/>
        <w:topLinePunct w:val="0"/>
        <w:autoSpaceDE/>
        <w:autoSpaceDN/>
        <w:bidi w:val="0"/>
        <w:adjustRightInd/>
        <w:snapToGrid/>
        <w:spacing w:line="560" w:lineRule="exact"/>
        <w:ind w:left="0" w:leftChars="0"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产出质量</w:t>
      </w:r>
    </w:p>
    <w:p w14:paraId="3370AF02">
      <w:pPr>
        <w:keepNext w:val="0"/>
        <w:keepLines w:val="0"/>
        <w:pageBreakBefore w:val="0"/>
        <w:numPr>
          <w:ilvl w:val="0"/>
          <w:numId w:val="0"/>
        </w:numPr>
        <w:kinsoku/>
        <w:wordWrap/>
        <w:overflowPunct/>
        <w:topLinePunct w:val="0"/>
        <w:autoSpaceDE/>
        <w:autoSpaceDN/>
        <w:bidi w:val="0"/>
        <w:adjustRightInd/>
        <w:snapToGrid/>
        <w:spacing w:line="560" w:lineRule="exact"/>
        <w:ind w:left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指标解释：项目实际支出与合同或文件规定相比，用以反映和考核项目验收合规程度。</w:t>
      </w:r>
    </w:p>
    <w:p w14:paraId="271C740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评分情况：通过查阅转账凭证及申请表等原始凭证，没发现有这个产出要求，渔民减船退渔安置社会保障资金受益人有记录，渔业资源环境监测完成情况不明。</w:t>
      </w:r>
      <w:r>
        <w:rPr>
          <w:rFonts w:hint="eastAsia" w:ascii="仿宋_GB2312" w:hAnsi="仿宋_GB2312" w:eastAsia="仿宋_GB2312" w:cs="仿宋_GB2312"/>
          <w:b w:val="0"/>
          <w:bCs w:val="0"/>
          <w:color w:val="auto"/>
          <w:sz w:val="24"/>
          <w:szCs w:val="24"/>
          <w:highlight w:val="none"/>
        </w:rPr>
        <w:t>满分</w:t>
      </w:r>
      <w:r>
        <w:rPr>
          <w:rFonts w:hint="eastAsia" w:ascii="仿宋_GB2312" w:hAnsi="仿宋_GB2312" w:eastAsia="仿宋_GB2312" w:cs="仿宋_GB2312"/>
          <w:b w:val="0"/>
          <w:bCs w:val="0"/>
          <w:color w:val="auto"/>
          <w:sz w:val="24"/>
          <w:szCs w:val="24"/>
          <w:highlight w:val="none"/>
          <w:lang w:val="en-US" w:eastAsia="zh-CN"/>
        </w:rPr>
        <w:t>6</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66.67</w:t>
      </w:r>
      <w:r>
        <w:rPr>
          <w:rFonts w:hint="eastAsia" w:ascii="仿宋_GB2312" w:hAnsi="仿宋_GB2312" w:eastAsia="仿宋_GB2312" w:cs="仿宋_GB2312"/>
          <w:b w:val="0"/>
          <w:bCs w:val="0"/>
          <w:color w:val="auto"/>
          <w:sz w:val="24"/>
          <w:szCs w:val="24"/>
          <w:highlight w:val="none"/>
        </w:rPr>
        <w:t>%。</w:t>
      </w:r>
    </w:p>
    <w:p w14:paraId="4C35FBA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产出时效</w:t>
      </w:r>
    </w:p>
    <w:p w14:paraId="5734560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指标解释：完成项目及时支付</w:t>
      </w:r>
      <w:r>
        <w:rPr>
          <w:rFonts w:hint="eastAsia" w:ascii="仿宋_GB2312" w:hAnsi="仿宋_GB2312" w:eastAsia="仿宋_GB2312" w:cs="仿宋_GB2312"/>
          <w:b w:val="0"/>
          <w:bCs w:val="0"/>
          <w:color w:val="auto"/>
          <w:sz w:val="24"/>
          <w:szCs w:val="24"/>
          <w:highlight w:val="none"/>
          <w:lang w:val="en-US" w:eastAsia="zh-CN"/>
        </w:rPr>
        <w:t>经费</w:t>
      </w:r>
      <w:r>
        <w:rPr>
          <w:rFonts w:hint="eastAsia" w:ascii="仿宋_GB2312" w:hAnsi="仿宋_GB2312" w:eastAsia="仿宋_GB2312" w:cs="仿宋_GB2312"/>
          <w:b w:val="0"/>
          <w:bCs w:val="0"/>
          <w:color w:val="auto"/>
          <w:sz w:val="24"/>
          <w:szCs w:val="24"/>
          <w:highlight w:val="none"/>
        </w:rPr>
        <w:t>，确保</w:t>
      </w:r>
      <w:r>
        <w:rPr>
          <w:rFonts w:hint="eastAsia" w:ascii="仿宋_GB2312" w:hAnsi="仿宋_GB2312" w:eastAsia="仿宋_GB2312" w:cs="仿宋_GB2312"/>
          <w:b w:val="0"/>
          <w:bCs w:val="0"/>
          <w:color w:val="auto"/>
          <w:sz w:val="24"/>
          <w:szCs w:val="24"/>
          <w:highlight w:val="none"/>
          <w:lang w:val="en-US" w:eastAsia="zh-CN"/>
        </w:rPr>
        <w:t>项目</w:t>
      </w:r>
      <w:r>
        <w:rPr>
          <w:rFonts w:hint="eastAsia" w:ascii="仿宋_GB2312" w:hAnsi="仿宋_GB2312" w:eastAsia="仿宋_GB2312" w:cs="仿宋_GB2312"/>
          <w:b w:val="0"/>
          <w:bCs w:val="0"/>
          <w:color w:val="auto"/>
          <w:sz w:val="24"/>
          <w:szCs w:val="24"/>
          <w:highlight w:val="none"/>
        </w:rPr>
        <w:t>工作顺利进行，用以反映和考核项目的</w:t>
      </w:r>
      <w:r>
        <w:rPr>
          <w:rFonts w:hint="eastAsia" w:ascii="仿宋_GB2312" w:hAnsi="仿宋_GB2312" w:eastAsia="仿宋_GB2312" w:cs="仿宋_GB2312"/>
          <w:b w:val="0"/>
          <w:bCs w:val="0"/>
          <w:color w:val="auto"/>
          <w:sz w:val="24"/>
          <w:szCs w:val="24"/>
          <w:highlight w:val="none"/>
          <w:lang w:val="en-US" w:eastAsia="zh-CN"/>
        </w:rPr>
        <w:t>支付及时性</w:t>
      </w:r>
      <w:r>
        <w:rPr>
          <w:rFonts w:hint="eastAsia" w:ascii="仿宋_GB2312" w:hAnsi="仿宋_GB2312" w:eastAsia="仿宋_GB2312" w:cs="仿宋_GB2312"/>
          <w:b w:val="0"/>
          <w:bCs w:val="0"/>
          <w:color w:val="auto"/>
          <w:sz w:val="24"/>
          <w:szCs w:val="24"/>
          <w:highlight w:val="none"/>
        </w:rPr>
        <w:t>。</w:t>
      </w:r>
    </w:p>
    <w:p w14:paraId="53C5711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评分情况：经费</w:t>
      </w:r>
      <w:r>
        <w:rPr>
          <w:rFonts w:hint="eastAsia" w:ascii="仿宋_GB2312" w:hAnsi="仿宋_GB2312" w:eastAsia="仿宋_GB2312" w:cs="仿宋_GB2312"/>
          <w:b w:val="0"/>
          <w:bCs w:val="0"/>
          <w:color w:val="auto"/>
          <w:kern w:val="0"/>
          <w:sz w:val="24"/>
          <w:szCs w:val="24"/>
          <w:highlight w:val="none"/>
          <w:lang w:val="en-US" w:eastAsia="zh-CN"/>
        </w:rPr>
        <w:t>项目申请、资金发放及时、归档及时，合时效性。在实际实施中能</w:t>
      </w:r>
      <w:r>
        <w:rPr>
          <w:rFonts w:hint="eastAsia" w:ascii="仿宋_GB2312" w:hAnsi="仿宋_GB2312" w:eastAsia="仿宋_GB2312" w:cs="仿宋_GB2312"/>
          <w:b w:val="0"/>
          <w:bCs w:val="0"/>
          <w:color w:val="auto"/>
          <w:kern w:val="0"/>
          <w:sz w:val="24"/>
          <w:szCs w:val="24"/>
          <w:highlight w:val="none"/>
        </w:rPr>
        <w:t>及时</w:t>
      </w:r>
      <w:r>
        <w:rPr>
          <w:rFonts w:hint="eastAsia" w:ascii="仿宋_GB2312" w:hAnsi="仿宋_GB2312" w:eastAsia="仿宋_GB2312" w:cs="仿宋_GB2312"/>
          <w:b w:val="0"/>
          <w:bCs w:val="0"/>
          <w:color w:val="auto"/>
          <w:kern w:val="0"/>
          <w:sz w:val="24"/>
          <w:szCs w:val="24"/>
          <w:highlight w:val="none"/>
          <w:lang w:val="en-US" w:eastAsia="zh-CN"/>
        </w:rPr>
        <w:t>完成</w:t>
      </w:r>
      <w:r>
        <w:rPr>
          <w:rFonts w:hint="eastAsia" w:ascii="仿宋_GB2312" w:hAnsi="仿宋_GB2312" w:eastAsia="仿宋_GB2312" w:cs="仿宋_GB2312"/>
          <w:b w:val="0"/>
          <w:bCs w:val="0"/>
          <w:color w:val="auto"/>
          <w:kern w:val="0"/>
          <w:sz w:val="24"/>
          <w:szCs w:val="24"/>
          <w:highlight w:val="none"/>
        </w:rPr>
        <w:t>，确保</w:t>
      </w:r>
      <w:r>
        <w:rPr>
          <w:rFonts w:hint="eastAsia" w:ascii="仿宋_GB2312" w:hAnsi="仿宋_GB2312" w:eastAsia="仿宋_GB2312" w:cs="仿宋_GB2312"/>
          <w:b w:val="0"/>
          <w:bCs w:val="0"/>
          <w:color w:val="auto"/>
          <w:kern w:val="0"/>
          <w:sz w:val="24"/>
          <w:szCs w:val="24"/>
          <w:highlight w:val="none"/>
          <w:lang w:val="en-US" w:eastAsia="zh-CN"/>
        </w:rPr>
        <w:t>项目</w:t>
      </w:r>
      <w:r>
        <w:rPr>
          <w:rFonts w:hint="eastAsia" w:ascii="仿宋_GB2312" w:hAnsi="仿宋_GB2312" w:eastAsia="仿宋_GB2312" w:cs="仿宋_GB2312"/>
          <w:b w:val="0"/>
          <w:bCs w:val="0"/>
          <w:color w:val="auto"/>
          <w:kern w:val="0"/>
          <w:sz w:val="24"/>
          <w:szCs w:val="24"/>
          <w:highlight w:val="none"/>
        </w:rPr>
        <w:t>顺利进行</w:t>
      </w:r>
      <w:r>
        <w:rPr>
          <w:rFonts w:hint="eastAsia" w:ascii="仿宋_GB2312" w:hAnsi="仿宋_GB2312" w:eastAsia="仿宋_GB2312" w:cs="仿宋_GB2312"/>
          <w:b w:val="0"/>
          <w:bCs w:val="0"/>
          <w:color w:val="auto"/>
          <w:kern w:val="0"/>
          <w:sz w:val="24"/>
          <w:szCs w:val="24"/>
          <w:highlight w:val="none"/>
          <w:lang w:eastAsia="zh-CN"/>
        </w:rPr>
        <w:t>。</w:t>
      </w:r>
      <w:r>
        <w:rPr>
          <w:rFonts w:hint="eastAsia" w:ascii="仿宋_GB2312" w:hAnsi="仿宋_GB2312" w:eastAsia="仿宋_GB2312" w:cs="仿宋_GB2312"/>
          <w:b w:val="0"/>
          <w:bCs w:val="0"/>
          <w:color w:val="auto"/>
          <w:sz w:val="24"/>
          <w:szCs w:val="24"/>
          <w:highlight w:val="none"/>
        </w:rPr>
        <w:t>该项指标满分</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100</w:t>
      </w:r>
      <w:r>
        <w:rPr>
          <w:rFonts w:hint="eastAsia" w:ascii="仿宋_GB2312" w:hAnsi="仿宋_GB2312" w:eastAsia="仿宋_GB2312" w:cs="仿宋_GB2312"/>
          <w:b w:val="0"/>
          <w:bCs w:val="0"/>
          <w:color w:val="auto"/>
          <w:sz w:val="24"/>
          <w:szCs w:val="24"/>
          <w:highlight w:val="none"/>
        </w:rPr>
        <w:t>%。</w:t>
      </w:r>
    </w:p>
    <w:p w14:paraId="7010853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.产出成本</w:t>
      </w:r>
    </w:p>
    <w:p w14:paraId="596076C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指标解释：完成项目计划工作目标的实际节约成本与计划成本的比率，用以反映和考核项目的成本节约程度。</w:t>
      </w:r>
    </w:p>
    <w:p w14:paraId="6EAE024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评分情况：反映了项目实际支出与预算之间的偏差程度。项目实际支出与预算之间的偏差程度。渔民减船退渔安置社会保障资金243.14万元，实际完成243.9万元，渔业资源环境监测20.94万元没执行，该项指标满分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50</w:t>
      </w:r>
      <w:r>
        <w:rPr>
          <w:rFonts w:hint="eastAsia" w:ascii="仿宋_GB2312" w:hAnsi="仿宋_GB2312" w:eastAsia="仿宋_GB2312" w:cs="仿宋_GB2312"/>
          <w:b w:val="0"/>
          <w:bCs w:val="0"/>
          <w:color w:val="auto"/>
          <w:sz w:val="24"/>
          <w:szCs w:val="24"/>
          <w:highlight w:val="none"/>
        </w:rPr>
        <w:t>.00%。</w:t>
      </w:r>
    </w:p>
    <w:p w14:paraId="770D6DB6">
      <w:pPr>
        <w:keepNext w:val="0"/>
        <w:keepLines w:val="0"/>
        <w:pageBreakBefore w:val="0"/>
        <w:kinsoku/>
        <w:wordWrap/>
        <w:overflowPunct/>
        <w:topLinePunct w:val="0"/>
        <w:autoSpaceDE/>
        <w:autoSpaceDN/>
        <w:bidi w:val="0"/>
        <w:adjustRightInd/>
        <w:snapToGrid/>
        <w:spacing w:line="560" w:lineRule="exact"/>
        <w:ind w:firstLine="480" w:firstLineChars="200"/>
        <w:outlineLvl w:val="1"/>
        <w:rPr>
          <w:rFonts w:hint="eastAsia" w:ascii="仿宋_GB2312" w:hAnsi="仿宋_GB2312" w:eastAsia="仿宋_GB2312" w:cs="仿宋_GB2312"/>
          <w:b w:val="0"/>
          <w:bCs w:val="0"/>
          <w:color w:val="auto"/>
          <w:sz w:val="24"/>
          <w:szCs w:val="24"/>
          <w:highlight w:val="none"/>
        </w:rPr>
      </w:pPr>
      <w:bookmarkStart w:id="28" w:name="_Toc13789"/>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sz w:val="24"/>
          <w:szCs w:val="24"/>
          <w:highlight w:val="none"/>
          <w:lang w:val="en-US" w:eastAsia="zh-CN"/>
        </w:rPr>
        <w:t>四）项目效益情况</w:t>
      </w:r>
      <w:bookmarkEnd w:id="28"/>
    </w:p>
    <w:p w14:paraId="151B03F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项目效益的评价指标包括经济效益</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社会效益、</w:t>
      </w:r>
      <w:r>
        <w:rPr>
          <w:rFonts w:hint="eastAsia" w:ascii="仿宋_GB2312" w:hAnsi="仿宋_GB2312" w:eastAsia="仿宋_GB2312" w:cs="仿宋_GB2312"/>
          <w:b w:val="0"/>
          <w:bCs w:val="0"/>
          <w:color w:val="auto"/>
          <w:sz w:val="24"/>
          <w:szCs w:val="24"/>
          <w:highlight w:val="none"/>
          <w:lang w:val="en-US" w:eastAsia="zh-CN"/>
        </w:rPr>
        <w:t>生态效益、</w:t>
      </w:r>
      <w:r>
        <w:rPr>
          <w:rFonts w:hint="eastAsia" w:ascii="仿宋_GB2312" w:hAnsi="仿宋_GB2312" w:eastAsia="仿宋_GB2312" w:cs="仿宋_GB2312"/>
          <w:b w:val="0"/>
          <w:bCs w:val="0"/>
          <w:color w:val="auto"/>
          <w:sz w:val="24"/>
          <w:szCs w:val="24"/>
          <w:highlight w:val="none"/>
        </w:rPr>
        <w:t>可持续影响、满意度</w:t>
      </w:r>
      <w:r>
        <w:rPr>
          <w:rFonts w:hint="eastAsia" w:ascii="仿宋_GB2312" w:hAnsi="仿宋_GB2312" w:eastAsia="仿宋_GB2312" w:cs="仿宋_GB2312"/>
          <w:b w:val="0"/>
          <w:bCs w:val="0"/>
          <w:color w:val="auto"/>
          <w:sz w:val="24"/>
          <w:szCs w:val="24"/>
          <w:highlight w:val="none"/>
          <w:lang w:val="en-US" w:eastAsia="zh-CN"/>
        </w:rPr>
        <w:t>五</w:t>
      </w:r>
      <w:r>
        <w:rPr>
          <w:rFonts w:hint="eastAsia" w:ascii="仿宋_GB2312" w:hAnsi="仿宋_GB2312" w:eastAsia="仿宋_GB2312" w:cs="仿宋_GB2312"/>
          <w:b w:val="0"/>
          <w:bCs w:val="0"/>
          <w:color w:val="auto"/>
          <w:sz w:val="24"/>
          <w:szCs w:val="24"/>
          <w:highlight w:val="none"/>
        </w:rPr>
        <w:t>项二级指标，共涉及渔民维稳控制，提高社会治理能力</w:t>
      </w:r>
      <w:r>
        <w:rPr>
          <w:rFonts w:hint="eastAsia" w:ascii="仿宋_GB2312" w:hAnsi="仿宋_GB2312" w:eastAsia="仿宋_GB2312" w:cs="仿宋_GB2312"/>
          <w:b w:val="0"/>
          <w:bCs w:val="0"/>
          <w:color w:val="auto"/>
          <w:sz w:val="24"/>
          <w:szCs w:val="24"/>
          <w:highlight w:val="none"/>
          <w:lang w:eastAsia="zh-CN"/>
        </w:rPr>
        <w:t>、维护渔民合法权益、国民经济的促进作、</w:t>
      </w:r>
      <w:r>
        <w:rPr>
          <w:rFonts w:hint="eastAsia" w:ascii="仿宋_GB2312" w:hAnsi="仿宋_GB2312" w:eastAsia="仿宋_GB2312" w:cs="仿宋_GB2312"/>
          <w:b w:val="0"/>
          <w:bCs w:val="0"/>
          <w:color w:val="auto"/>
          <w:sz w:val="24"/>
          <w:szCs w:val="24"/>
          <w:highlight w:val="none"/>
        </w:rPr>
        <w:t>涡河航道治理</w:t>
      </w:r>
      <w:r>
        <w:rPr>
          <w:rFonts w:hint="eastAsia" w:ascii="仿宋_GB2312" w:hAnsi="仿宋_GB2312" w:eastAsia="仿宋_GB2312" w:cs="仿宋_GB2312"/>
          <w:b w:val="0"/>
          <w:bCs w:val="0"/>
          <w:color w:val="auto"/>
          <w:sz w:val="24"/>
          <w:szCs w:val="24"/>
          <w:highlight w:val="none"/>
          <w:lang w:eastAsia="zh-CN"/>
        </w:rPr>
        <w:t>效果</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kern w:val="0"/>
          <w:sz w:val="24"/>
          <w:szCs w:val="24"/>
          <w:highlight w:val="none"/>
        </w:rPr>
        <w:t>河道的可持续发展</w:t>
      </w:r>
      <w:r>
        <w:rPr>
          <w:rFonts w:hint="eastAsia" w:ascii="仿宋_GB2312" w:hAnsi="仿宋_GB2312" w:eastAsia="仿宋_GB2312" w:cs="仿宋_GB2312"/>
          <w:b w:val="0"/>
          <w:bCs w:val="0"/>
          <w:color w:val="auto"/>
          <w:sz w:val="24"/>
          <w:szCs w:val="24"/>
          <w:highlight w:val="none"/>
        </w:rPr>
        <w:t>及服务对象满意度</w:t>
      </w: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个三级指标。“项目效益”总分</w:t>
      </w:r>
      <w:r>
        <w:rPr>
          <w:rFonts w:hint="eastAsia" w:ascii="仿宋_GB2312" w:hAnsi="仿宋_GB2312" w:eastAsia="仿宋_GB2312" w:cs="仿宋_GB2312"/>
          <w:b w:val="0"/>
          <w:bCs w:val="0"/>
          <w:color w:val="auto"/>
          <w:sz w:val="24"/>
          <w:szCs w:val="24"/>
          <w:highlight w:val="none"/>
          <w:lang w:val="en-US" w:eastAsia="zh-CN"/>
        </w:rPr>
        <w:t>20</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18</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90.00</w:t>
      </w:r>
      <w:r>
        <w:rPr>
          <w:rFonts w:hint="eastAsia" w:ascii="仿宋_GB2312" w:hAnsi="仿宋_GB2312" w:eastAsia="仿宋_GB2312" w:cs="仿宋_GB2312"/>
          <w:b w:val="0"/>
          <w:bCs w:val="0"/>
          <w:color w:val="auto"/>
          <w:sz w:val="24"/>
          <w:szCs w:val="24"/>
          <w:highlight w:val="none"/>
        </w:rPr>
        <w:t>%。</w:t>
      </w:r>
    </w:p>
    <w:p w14:paraId="2AC314A9">
      <w:pPr>
        <w:pStyle w:val="4"/>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p>
    <w:tbl>
      <w:tblPr>
        <w:tblStyle w:val="10"/>
        <w:tblW w:w="9030" w:type="dxa"/>
        <w:jc w:val="center"/>
        <w:tblLayout w:type="autofit"/>
        <w:tblCellMar>
          <w:top w:w="0" w:type="dxa"/>
          <w:left w:w="0" w:type="dxa"/>
          <w:bottom w:w="0" w:type="dxa"/>
          <w:right w:w="0" w:type="dxa"/>
        </w:tblCellMar>
      </w:tblPr>
      <w:tblGrid>
        <w:gridCol w:w="861"/>
        <w:gridCol w:w="840"/>
        <w:gridCol w:w="2026"/>
        <w:gridCol w:w="2419"/>
        <w:gridCol w:w="2119"/>
        <w:gridCol w:w="765"/>
      </w:tblGrid>
      <w:tr w14:paraId="7E37306E">
        <w:tblPrEx>
          <w:tblCellMar>
            <w:top w:w="0" w:type="dxa"/>
            <w:left w:w="0" w:type="dxa"/>
            <w:bottom w:w="0" w:type="dxa"/>
            <w:right w:w="0" w:type="dxa"/>
          </w:tblCellMar>
        </w:tblPrEx>
        <w:trPr>
          <w:trHeight w:val="692"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53B7521">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一级指标</w:t>
            </w:r>
          </w:p>
        </w:tc>
        <w:tc>
          <w:tcPr>
            <w:tcW w:w="840"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25319F2">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二级指标</w:t>
            </w:r>
          </w:p>
        </w:tc>
        <w:tc>
          <w:tcPr>
            <w:tcW w:w="2026"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61B7450">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三级指标</w:t>
            </w:r>
          </w:p>
        </w:tc>
        <w:tc>
          <w:tcPr>
            <w:tcW w:w="2419"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E7D7E30">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指标内容</w:t>
            </w:r>
          </w:p>
        </w:tc>
        <w:tc>
          <w:tcPr>
            <w:tcW w:w="2119"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95A17B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lang w:val="en-US" w:eastAsia="zh-CN"/>
              </w:rPr>
              <w:t>评价情况</w:t>
            </w:r>
          </w:p>
        </w:tc>
        <w:tc>
          <w:tcPr>
            <w:tcW w:w="765"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3DE87B4">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分值</w:t>
            </w:r>
          </w:p>
        </w:tc>
      </w:tr>
      <w:tr w14:paraId="60FC5189">
        <w:tblPrEx>
          <w:tblCellMar>
            <w:top w:w="0" w:type="dxa"/>
            <w:left w:w="0" w:type="dxa"/>
            <w:bottom w:w="0" w:type="dxa"/>
            <w:right w:w="0" w:type="dxa"/>
          </w:tblCellMar>
        </w:tblPrEx>
        <w:trPr>
          <w:trHeight w:val="1137" w:hRule="atLeast"/>
          <w:jc w:val="center"/>
        </w:trPr>
        <w:tc>
          <w:tcPr>
            <w:tcW w:w="861" w:type="dxa"/>
            <w:vMerge w:val="restart"/>
            <w:tcBorders>
              <w:top w:val="nil"/>
              <w:left w:val="single" w:color="000000" w:sz="8" w:space="0"/>
              <w:right w:val="single" w:color="000000" w:sz="8" w:space="0"/>
            </w:tcBorders>
            <w:shd w:val="clear" w:color="auto" w:fill="auto"/>
            <w:noWrap w:val="0"/>
            <w:tcMar>
              <w:top w:w="0" w:type="dxa"/>
              <w:left w:w="108" w:type="dxa"/>
              <w:bottom w:w="0" w:type="dxa"/>
              <w:right w:w="108" w:type="dxa"/>
            </w:tcMar>
            <w:vAlign w:val="center"/>
          </w:tcPr>
          <w:p w14:paraId="3D6AADFB">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效益指标（20分）</w:t>
            </w: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EBBB1A5">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eastAsia="zh-CN"/>
              </w:rPr>
            </w:pPr>
            <w:r>
              <w:rPr>
                <w:rFonts w:hint="eastAsia" w:ascii="仿宋_GB2312" w:hAnsi="仿宋_GB2312" w:eastAsia="仿宋_GB2312" w:cs="仿宋_GB2312"/>
                <w:b w:val="0"/>
                <w:bCs w:val="0"/>
                <w:color w:val="auto"/>
                <w:kern w:val="0"/>
                <w:sz w:val="24"/>
                <w:szCs w:val="24"/>
                <w:highlight w:val="none"/>
              </w:rPr>
              <w:t>经济效益</w:t>
            </w:r>
            <w:r>
              <w:rPr>
                <w:rFonts w:hint="eastAsia" w:ascii="仿宋_GB2312" w:hAnsi="仿宋_GB2312" w:eastAsia="仿宋_GB2312" w:cs="仿宋_GB2312"/>
                <w:b w:val="0"/>
                <w:bCs w:val="0"/>
                <w:color w:val="auto"/>
                <w:kern w:val="0"/>
                <w:sz w:val="24"/>
                <w:szCs w:val="24"/>
                <w:highlight w:val="none"/>
                <w:lang w:eastAsia="zh-CN"/>
              </w:rPr>
              <w:t>（</w:t>
            </w:r>
            <w:r>
              <w:rPr>
                <w:rFonts w:hint="eastAsia" w:ascii="仿宋_GB2312" w:hAnsi="仿宋_GB2312" w:eastAsia="仿宋_GB2312" w:cs="仿宋_GB2312"/>
                <w:b w:val="0"/>
                <w:bCs w:val="0"/>
                <w:color w:val="auto"/>
                <w:kern w:val="0"/>
                <w:sz w:val="24"/>
                <w:szCs w:val="24"/>
                <w:highlight w:val="none"/>
                <w:lang w:val="en-US" w:eastAsia="zh-CN"/>
              </w:rPr>
              <w:t>4分</w:t>
            </w:r>
            <w:r>
              <w:rPr>
                <w:rFonts w:hint="eastAsia" w:ascii="仿宋_GB2312" w:hAnsi="仿宋_GB2312" w:eastAsia="仿宋_GB2312" w:cs="仿宋_GB2312"/>
                <w:b w:val="0"/>
                <w:bCs w:val="0"/>
                <w:color w:val="auto"/>
                <w:kern w:val="0"/>
                <w:sz w:val="24"/>
                <w:szCs w:val="24"/>
                <w:highlight w:val="none"/>
                <w:lang w:eastAsia="zh-CN"/>
              </w:rPr>
              <w:t>）</w:t>
            </w:r>
          </w:p>
        </w:tc>
        <w:tc>
          <w:tcPr>
            <w:tcW w:w="2026"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11FD9CD0">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b w:val="0"/>
                <w:bCs w:val="0"/>
                <w:i w:val="0"/>
                <w:iCs w:val="0"/>
                <w:color w:val="auto"/>
                <w:kern w:val="2"/>
                <w:sz w:val="24"/>
                <w:szCs w:val="24"/>
                <w:highlight w:val="none"/>
                <w:u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维护渔民合法权益和国民经济的促进作用</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DE5CA7D">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项目实施对经济发展所带来的直接或间接影响情况</w:t>
            </w:r>
          </w:p>
        </w:tc>
        <w:tc>
          <w:tcPr>
            <w:tcW w:w="21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A589598">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涡河为安徽省五条重要的地区航道之一，规划等级为Ⅳ级，对河道改造治理，影响水生物的生息发展，减船退渔项目落实是对鲤、长吻鮠等国家级水产种质资源保护，渔业资源得到有效恢复及水产资源的增长</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FCCA3B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eastAsia="zh-CN"/>
              </w:rPr>
            </w:pPr>
            <w:r>
              <w:rPr>
                <w:rFonts w:hint="eastAsia" w:ascii="仿宋_GB2312" w:hAnsi="仿宋_GB2312" w:eastAsia="仿宋_GB2312" w:cs="仿宋_GB2312"/>
                <w:b w:val="0"/>
                <w:bCs w:val="0"/>
                <w:color w:val="auto"/>
                <w:kern w:val="0"/>
                <w:sz w:val="24"/>
                <w:szCs w:val="24"/>
                <w:highlight w:val="none"/>
                <w:lang w:val="en-US" w:eastAsia="zh-CN"/>
              </w:rPr>
              <w:t>4</w:t>
            </w:r>
          </w:p>
        </w:tc>
      </w:tr>
      <w:tr w14:paraId="16D59CF4">
        <w:tblPrEx>
          <w:tblCellMar>
            <w:top w:w="0" w:type="dxa"/>
            <w:left w:w="0" w:type="dxa"/>
            <w:bottom w:w="0" w:type="dxa"/>
            <w:right w:w="0" w:type="dxa"/>
          </w:tblCellMar>
        </w:tblPrEx>
        <w:trPr>
          <w:trHeight w:val="1137" w:hRule="atLeast"/>
          <w:jc w:val="center"/>
        </w:trPr>
        <w:tc>
          <w:tcPr>
            <w:tcW w:w="861" w:type="dxa"/>
            <w:vMerge w:val="continue"/>
            <w:tcBorders>
              <w:left w:val="single" w:color="000000" w:sz="8" w:space="0"/>
              <w:right w:val="single" w:color="000000" w:sz="8" w:space="0"/>
            </w:tcBorders>
            <w:shd w:val="clear" w:color="auto" w:fill="auto"/>
            <w:noWrap w:val="0"/>
            <w:vAlign w:val="center"/>
          </w:tcPr>
          <w:p w14:paraId="37383BBF">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D592C4F">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社会效益（4分）</w:t>
            </w:r>
          </w:p>
        </w:tc>
        <w:tc>
          <w:tcPr>
            <w:tcW w:w="202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9C21094">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渔民维稳控制，提高社会治理能力、促进社会和谐</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6878B86">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项目实施对社会发展所带来的直接或间接影响情况。</w:t>
            </w:r>
          </w:p>
        </w:tc>
        <w:tc>
          <w:tcPr>
            <w:tcW w:w="21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C6EAE99">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rPr>
            </w:pPr>
            <w:r>
              <w:rPr>
                <w:rFonts w:hint="eastAsia" w:ascii="仿宋_GB2312" w:hAnsi="仿宋_GB2312" w:eastAsia="仿宋_GB2312" w:cs="仿宋_GB2312"/>
                <w:b w:val="0"/>
                <w:bCs w:val="0"/>
                <w:color w:val="auto"/>
                <w:sz w:val="24"/>
                <w:szCs w:val="24"/>
                <w:highlight w:val="none"/>
                <w:lang w:val="en-US" w:eastAsia="zh-CN"/>
              </w:rPr>
              <w:t>渔民减船退渔安置社会保障资金243.9万元及时发放，未出现渔民情绪问题，减船禁捕有利于渔业生物生息</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9B2855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712B2884">
        <w:tblPrEx>
          <w:tblCellMar>
            <w:top w:w="0" w:type="dxa"/>
            <w:left w:w="0" w:type="dxa"/>
            <w:bottom w:w="0" w:type="dxa"/>
            <w:right w:w="0" w:type="dxa"/>
          </w:tblCellMar>
        </w:tblPrEx>
        <w:trPr>
          <w:trHeight w:val="780" w:hRule="atLeast"/>
          <w:jc w:val="center"/>
        </w:trPr>
        <w:tc>
          <w:tcPr>
            <w:tcW w:w="861" w:type="dxa"/>
            <w:vMerge w:val="continue"/>
            <w:tcBorders>
              <w:left w:val="single" w:color="000000" w:sz="8" w:space="0"/>
              <w:right w:val="single" w:color="000000" w:sz="8" w:space="0"/>
            </w:tcBorders>
            <w:shd w:val="clear" w:color="auto" w:fill="auto"/>
            <w:noWrap w:val="0"/>
            <w:vAlign w:val="center"/>
          </w:tcPr>
          <w:p w14:paraId="627F9057">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01A6D3A2">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生态效益（4）</w:t>
            </w:r>
          </w:p>
        </w:tc>
        <w:tc>
          <w:tcPr>
            <w:tcW w:w="202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D471DB">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是否对生态环境造成不利影响</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076B135">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加强</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涡河河道治理</w:t>
            </w:r>
            <w:r>
              <w:rPr>
                <w:rFonts w:hint="eastAsia" w:ascii="仿宋_GB2312" w:hAnsi="仿宋_GB2312" w:eastAsia="仿宋_GB2312" w:cs="仿宋_GB2312"/>
                <w:b w:val="0"/>
                <w:bCs w:val="0"/>
                <w:color w:val="auto"/>
                <w:sz w:val="24"/>
                <w:szCs w:val="24"/>
                <w:highlight w:val="none"/>
                <w:lang w:val="en-US" w:eastAsia="zh-CN"/>
              </w:rPr>
              <w:t>的生态维护管理，减少了因航道治理而对生态环境造成的不利影响。同时，项目的实施还有助于保护水资源，提高水生态环境质量</w:t>
            </w:r>
          </w:p>
        </w:tc>
        <w:tc>
          <w:tcPr>
            <w:tcW w:w="2119"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5C7988FE">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b w:val="0"/>
                <w:bCs w:val="0"/>
                <w:i w:val="0"/>
                <w:iCs w:val="0"/>
                <w:color w:val="auto"/>
                <w:kern w:val="2"/>
                <w:sz w:val="24"/>
                <w:szCs w:val="24"/>
                <w:highlight w:val="none"/>
                <w:u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涡河河道治理对生态环境造成的不利影响。减船退渔项目的实施有助于保护水资源，对鲤、长吻鮠等国家级水产种质资源保护。</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E5F99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w:t>
            </w:r>
          </w:p>
        </w:tc>
      </w:tr>
      <w:tr w14:paraId="11D741C3">
        <w:tblPrEx>
          <w:tblCellMar>
            <w:top w:w="0" w:type="dxa"/>
            <w:left w:w="0" w:type="dxa"/>
            <w:bottom w:w="0" w:type="dxa"/>
            <w:right w:w="0" w:type="dxa"/>
          </w:tblCellMar>
        </w:tblPrEx>
        <w:trPr>
          <w:trHeight w:val="1137" w:hRule="atLeast"/>
          <w:jc w:val="center"/>
        </w:trPr>
        <w:tc>
          <w:tcPr>
            <w:tcW w:w="861" w:type="dxa"/>
            <w:vMerge w:val="continue"/>
            <w:tcBorders>
              <w:left w:val="single" w:color="000000" w:sz="8" w:space="0"/>
              <w:right w:val="single" w:color="000000" w:sz="8" w:space="0"/>
            </w:tcBorders>
            <w:shd w:val="clear" w:color="auto" w:fill="auto"/>
            <w:noWrap w:val="0"/>
            <w:vAlign w:val="center"/>
          </w:tcPr>
          <w:p w14:paraId="05DF17D0">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rPr>
            </w:pP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61934BCB">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可持续影响指标（4分）</w:t>
            </w:r>
          </w:p>
        </w:tc>
        <w:tc>
          <w:tcPr>
            <w:tcW w:w="202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DC9B935">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航道资源和水生物资源发挥效益</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28ECCD0">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通过涡河航道治理项目的推进，用减船退渔安置社会保障对生态资源的保护和河道生物可持续性</w:t>
            </w:r>
          </w:p>
        </w:tc>
        <w:tc>
          <w:tcPr>
            <w:tcW w:w="21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47CD1FC">
            <w:pPr>
              <w:keepNext w:val="0"/>
              <w:keepLines w:val="0"/>
              <w:pageBreakBefore w:val="0"/>
              <w:widowControl/>
              <w:kinsoku/>
              <w:wordWrap/>
              <w:overflowPunct/>
              <w:topLinePunct w:val="0"/>
              <w:autoSpaceDE/>
              <w:autoSpaceDN/>
              <w:bidi w:val="0"/>
              <w:adjustRightInd/>
              <w:snapToGrid/>
              <w:spacing w:line="560" w:lineRule="exact"/>
              <w:ind w:left="241" w:hanging="240" w:hangingChars="100"/>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保障了涡河航道稳定运行和不算保护水生物资源的繁衍生息；发挥长期效益.得4分</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938F57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4</w:t>
            </w:r>
          </w:p>
        </w:tc>
      </w:tr>
      <w:tr w14:paraId="105A5EB5">
        <w:tblPrEx>
          <w:tblCellMar>
            <w:top w:w="0" w:type="dxa"/>
            <w:left w:w="0" w:type="dxa"/>
            <w:bottom w:w="0" w:type="dxa"/>
            <w:right w:w="0" w:type="dxa"/>
          </w:tblCellMar>
        </w:tblPrEx>
        <w:trPr>
          <w:trHeight w:val="672" w:hRule="atLeast"/>
          <w:jc w:val="center"/>
        </w:trPr>
        <w:tc>
          <w:tcPr>
            <w:tcW w:w="861" w:type="dxa"/>
            <w:vMerge w:val="continue"/>
            <w:tcBorders>
              <w:left w:val="single" w:color="000000" w:sz="8" w:space="0"/>
              <w:bottom w:val="single" w:color="auto" w:sz="4" w:space="0"/>
              <w:right w:val="single" w:color="000000" w:sz="8" w:space="0"/>
            </w:tcBorders>
            <w:shd w:val="clear" w:color="auto" w:fill="auto"/>
            <w:noWrap w:val="0"/>
            <w:tcMar>
              <w:top w:w="0" w:type="dxa"/>
              <w:left w:w="108" w:type="dxa"/>
              <w:bottom w:w="0" w:type="dxa"/>
              <w:right w:w="108" w:type="dxa"/>
            </w:tcMar>
            <w:vAlign w:val="center"/>
          </w:tcPr>
          <w:p w14:paraId="29319C2C">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rPr>
            </w:pPr>
          </w:p>
        </w:tc>
        <w:tc>
          <w:tcPr>
            <w:tcW w:w="840" w:type="dxa"/>
            <w:tcBorders>
              <w:top w:val="single" w:color="000000" w:sz="8" w:space="0"/>
              <w:left w:val="single" w:color="000000" w:sz="8" w:space="0"/>
              <w:bottom w:val="single" w:color="auto" w:sz="4" w:space="0"/>
              <w:right w:val="single" w:color="000000" w:sz="8" w:space="0"/>
            </w:tcBorders>
            <w:shd w:val="clear" w:color="auto" w:fill="auto"/>
            <w:noWrap w:val="0"/>
            <w:tcMar>
              <w:top w:w="0" w:type="dxa"/>
              <w:left w:w="108" w:type="dxa"/>
              <w:bottom w:w="0" w:type="dxa"/>
              <w:right w:w="108" w:type="dxa"/>
            </w:tcMar>
            <w:vAlign w:val="center"/>
          </w:tcPr>
          <w:p w14:paraId="4362E842">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满意度（4分）</w:t>
            </w:r>
          </w:p>
        </w:tc>
        <w:tc>
          <w:tcPr>
            <w:tcW w:w="2026" w:type="dxa"/>
            <w:tcBorders>
              <w:top w:val="single" w:color="000000" w:sz="8" w:space="0"/>
              <w:left w:val="single" w:color="000000" w:sz="8" w:space="0"/>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4187BDEA">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公众满意度</w:t>
            </w:r>
          </w:p>
        </w:tc>
        <w:tc>
          <w:tcPr>
            <w:tcW w:w="2419" w:type="dxa"/>
            <w:tcBorders>
              <w:top w:val="single" w:color="000000" w:sz="8" w:space="0"/>
              <w:left w:val="single" w:color="000000" w:sz="8" w:space="0"/>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32DBBBD2">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对项目实施效果的满意程度。满意度包括:宣传和解释工作、社会保障方面的内容了解程度、相关工作人员的服务、政策落实、安置社会保障工作的总体满意度</w:t>
            </w:r>
          </w:p>
        </w:tc>
        <w:tc>
          <w:tcPr>
            <w:tcW w:w="2119" w:type="dxa"/>
            <w:tcBorders>
              <w:top w:val="single" w:color="000000" w:sz="8" w:space="0"/>
              <w:left w:val="single" w:color="000000" w:sz="8" w:space="0"/>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677A7013">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满意度95%以上得4分，95-90%得3分、90%-80%得2分，80%以下为0分。满意度为81%。得2分</w:t>
            </w:r>
          </w:p>
        </w:tc>
        <w:tc>
          <w:tcPr>
            <w:tcW w:w="765"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53060A3">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2</w:t>
            </w:r>
          </w:p>
        </w:tc>
      </w:tr>
      <w:tr w14:paraId="4633B633">
        <w:tblPrEx>
          <w:tblCellMar>
            <w:top w:w="0" w:type="dxa"/>
            <w:left w:w="0" w:type="dxa"/>
            <w:bottom w:w="0" w:type="dxa"/>
            <w:right w:w="0" w:type="dxa"/>
          </w:tblCellMar>
        </w:tblPrEx>
        <w:trPr>
          <w:trHeight w:val="672" w:hRule="atLeast"/>
          <w:jc w:val="center"/>
        </w:trPr>
        <w:tc>
          <w:tcPr>
            <w:tcW w:w="8265" w:type="dxa"/>
            <w:gridSpan w:val="5"/>
            <w:tcBorders>
              <w:top w:val="single" w:color="auto" w:sz="4" w:space="0"/>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5E4F8889">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小计</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52F80AD">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18</w:t>
            </w:r>
          </w:p>
        </w:tc>
      </w:tr>
    </w:tbl>
    <w:p w14:paraId="33A9BFF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1.社会效益</w:t>
      </w:r>
    </w:p>
    <w:p w14:paraId="6CB36D7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rPr>
        <w:t>指标解释：项目实施</w:t>
      </w:r>
      <w:r>
        <w:rPr>
          <w:rFonts w:hint="eastAsia" w:ascii="仿宋_GB2312" w:hAnsi="仿宋_GB2312" w:eastAsia="仿宋_GB2312" w:cs="仿宋_GB2312"/>
          <w:b w:val="0"/>
          <w:bCs w:val="0"/>
          <w:color w:val="auto"/>
          <w:sz w:val="24"/>
          <w:szCs w:val="24"/>
          <w:highlight w:val="none"/>
          <w:lang w:eastAsia="zh-CN"/>
        </w:rPr>
        <w:t>对社会发展所带来的直接或间接渔民维稳影响情况。</w:t>
      </w:r>
    </w:p>
    <w:p w14:paraId="2BA3CB7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评分情况：渔民减船退渔安置社会保障资金243.9万元及时发放，未出现渔民情绪问题，减船禁捕有利于渔业生物生息</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保障了涡河航道治理项目的正常运行。</w:t>
      </w:r>
      <w:r>
        <w:rPr>
          <w:rFonts w:hint="eastAsia" w:ascii="仿宋_GB2312" w:hAnsi="仿宋_GB2312" w:eastAsia="仿宋_GB2312" w:cs="仿宋_GB2312"/>
          <w:b w:val="0"/>
          <w:bCs w:val="0"/>
          <w:color w:val="auto"/>
          <w:sz w:val="24"/>
          <w:szCs w:val="24"/>
          <w:highlight w:val="none"/>
        </w:rPr>
        <w:t>该指标满分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100</w:t>
      </w:r>
      <w:r>
        <w:rPr>
          <w:rFonts w:hint="eastAsia" w:ascii="仿宋_GB2312" w:hAnsi="仿宋_GB2312" w:eastAsia="仿宋_GB2312" w:cs="仿宋_GB2312"/>
          <w:b w:val="0"/>
          <w:bCs w:val="0"/>
          <w:color w:val="auto"/>
          <w:sz w:val="24"/>
          <w:szCs w:val="24"/>
          <w:highlight w:val="none"/>
        </w:rPr>
        <w:t>%。</w:t>
      </w:r>
    </w:p>
    <w:p w14:paraId="25215A1E">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2.经济效益</w:t>
      </w:r>
    </w:p>
    <w:p w14:paraId="77A2F019">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指标解释：项目实施对社会发展所带来的直接或间接经济效益影响情况。</w:t>
      </w:r>
    </w:p>
    <w:p w14:paraId="61362219">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w:t>
      </w:r>
      <w:r>
        <w:rPr>
          <w:rFonts w:hint="eastAsia" w:ascii="仿宋_GB2312" w:hAnsi="仿宋_GB2312" w:eastAsia="仿宋_GB2312" w:cs="仿宋_GB2312"/>
          <w:b w:val="0"/>
          <w:bCs w:val="0"/>
          <w:color w:val="auto"/>
          <w:sz w:val="24"/>
          <w:szCs w:val="24"/>
          <w:highlight w:val="none"/>
          <w:lang w:eastAsia="zh-CN"/>
        </w:rPr>
        <w:t>涡河航道</w:t>
      </w:r>
      <w:r>
        <w:rPr>
          <w:rFonts w:hint="eastAsia" w:ascii="仿宋_GB2312" w:hAnsi="仿宋_GB2312" w:eastAsia="仿宋_GB2312" w:cs="仿宋_GB2312"/>
          <w:b w:val="0"/>
          <w:bCs w:val="0"/>
          <w:color w:val="auto"/>
          <w:sz w:val="24"/>
          <w:szCs w:val="24"/>
          <w:highlight w:val="none"/>
          <w:lang w:val="en-US" w:eastAsia="zh-CN"/>
        </w:rPr>
        <w:t>治理</w:t>
      </w:r>
      <w:r>
        <w:rPr>
          <w:rFonts w:hint="eastAsia" w:ascii="仿宋_GB2312" w:hAnsi="仿宋_GB2312" w:eastAsia="仿宋_GB2312" w:cs="仿宋_GB2312"/>
          <w:b w:val="0"/>
          <w:bCs w:val="0"/>
          <w:color w:val="auto"/>
          <w:sz w:val="24"/>
          <w:szCs w:val="24"/>
          <w:highlight w:val="none"/>
        </w:rPr>
        <w:t>影响水生物的生息发展，减船退渔项目落实是对鲤、长吻鮠等国家级水产种质资源保护，渔业资源得到有效恢复及水产资源的增长。该指标满分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100</w:t>
      </w:r>
      <w:r>
        <w:rPr>
          <w:rFonts w:hint="eastAsia" w:ascii="仿宋_GB2312" w:hAnsi="仿宋_GB2312" w:eastAsia="仿宋_GB2312" w:cs="仿宋_GB2312"/>
          <w:b w:val="0"/>
          <w:bCs w:val="0"/>
          <w:color w:val="auto"/>
          <w:sz w:val="24"/>
          <w:szCs w:val="24"/>
          <w:highlight w:val="none"/>
        </w:rPr>
        <w:t>%。</w:t>
      </w:r>
    </w:p>
    <w:p w14:paraId="4244E30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3.生态效益</w:t>
      </w:r>
    </w:p>
    <w:p w14:paraId="05C4A09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指标解释：项目实施对生态环境造成不利影响</w:t>
      </w:r>
    </w:p>
    <w:p w14:paraId="7947BCCD">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评分情况：减船退渔项目的实施有助于保护水资源，对鲤、长吻鮠等国家级水产种质资源保护，减少了因涡河航道治理而对生态环境造成的不利影响。同时提高水生物环境质量。该指标满分4分，得4分，得分率100%。</w:t>
      </w:r>
    </w:p>
    <w:p w14:paraId="7E63201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4.可持续性</w:t>
      </w:r>
    </w:p>
    <w:p w14:paraId="11DA5BB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指标解释：项目实施后期所带来的直接或间接可持续性影响情况。</w:t>
      </w:r>
    </w:p>
    <w:p w14:paraId="60CF1EA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评分情况：随着涡河河道治理项目的推进，对涡河区域内的生物的不利影响，根据河荆涂峡鲤、长吻鮠国家级水产种质资源保护区的现状及资源增长的潜力，实行禁捕减船退渔政策对渔民造成损失，安置社会保障资金及时发放，保障渔民的合法权益和地区稳定，同时保护水生资源，促进区域水产经济的持续发展。</w:t>
      </w:r>
    </w:p>
    <w:p w14:paraId="017873B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该指标满分4分，得4分，得分率100.00%。</w:t>
      </w:r>
    </w:p>
    <w:p w14:paraId="1D389F5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.满意度</w:t>
      </w:r>
    </w:p>
    <w:p w14:paraId="7D97CA09">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指标解释：服务对象满意度。</w:t>
      </w:r>
    </w:p>
    <w:p w14:paraId="74BE7FC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评分情况：通过电话回访服务对象，综合政务网站上群众反馈意见，满意度为</w:t>
      </w:r>
      <w:r>
        <w:rPr>
          <w:rFonts w:hint="eastAsia" w:ascii="仿宋_GB2312" w:hAnsi="仿宋_GB2312" w:eastAsia="仿宋_GB2312" w:cs="仿宋_GB2312"/>
          <w:b w:val="0"/>
          <w:bCs w:val="0"/>
          <w:color w:val="auto"/>
          <w:sz w:val="24"/>
          <w:szCs w:val="24"/>
          <w:highlight w:val="none"/>
          <w:lang w:val="en-US" w:eastAsia="zh-CN"/>
        </w:rPr>
        <w:t>81</w:t>
      </w:r>
      <w:r>
        <w:rPr>
          <w:rFonts w:hint="eastAsia" w:ascii="仿宋_GB2312" w:hAnsi="仿宋_GB2312" w:eastAsia="仿宋_GB2312" w:cs="仿宋_GB2312"/>
          <w:b w:val="0"/>
          <w:bCs w:val="0"/>
          <w:color w:val="auto"/>
          <w:sz w:val="24"/>
          <w:szCs w:val="24"/>
          <w:highlight w:val="none"/>
        </w:rPr>
        <w:t>%。该指标满分</w:t>
      </w: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分，得分</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分，得分率</w:t>
      </w:r>
      <w:r>
        <w:rPr>
          <w:rFonts w:hint="eastAsia" w:ascii="仿宋_GB2312" w:hAnsi="仿宋_GB2312" w:eastAsia="仿宋_GB2312" w:cs="仿宋_GB2312"/>
          <w:b w:val="0"/>
          <w:bCs w:val="0"/>
          <w:color w:val="auto"/>
          <w:sz w:val="24"/>
          <w:szCs w:val="24"/>
          <w:highlight w:val="none"/>
          <w:lang w:val="en-US" w:eastAsia="zh-CN"/>
        </w:rPr>
        <w:t>50</w:t>
      </w:r>
      <w:r>
        <w:rPr>
          <w:rFonts w:hint="eastAsia" w:ascii="仿宋_GB2312" w:hAnsi="仿宋_GB2312" w:eastAsia="仿宋_GB2312" w:cs="仿宋_GB2312"/>
          <w:b w:val="0"/>
          <w:bCs w:val="0"/>
          <w:color w:val="auto"/>
          <w:sz w:val="24"/>
          <w:szCs w:val="24"/>
          <w:highlight w:val="none"/>
        </w:rPr>
        <w:t>.00%。</w:t>
      </w:r>
    </w:p>
    <w:p w14:paraId="2A13C98F">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rPr>
        <w:t>五、主要经验及做法</w:t>
      </w:r>
    </w:p>
    <w:p w14:paraId="73CE499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主经验及落实做法如下：</w:t>
      </w:r>
    </w:p>
    <w:p w14:paraId="2C57B7EF">
      <w:pPr>
        <w:keepNext w:val="0"/>
        <w:keepLines w:val="0"/>
        <w:pageBreakBefore w:val="0"/>
        <w:numPr>
          <w:ilvl w:val="0"/>
          <w:numId w:val="3"/>
        </w:numPr>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明确项目目标与责任，克服麻痹思想，强化责任落实；</w:t>
      </w:r>
    </w:p>
    <w:p w14:paraId="2FB5DDB0">
      <w:pPr>
        <w:keepNext w:val="0"/>
        <w:keepLines w:val="0"/>
        <w:pageBreakBefore w:val="0"/>
        <w:numPr>
          <w:ilvl w:val="0"/>
          <w:numId w:val="3"/>
        </w:numPr>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加强资金管理与使用，实施精细化管理，提升堤防质量；</w:t>
      </w:r>
    </w:p>
    <w:p w14:paraId="255BA2B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（三）强化项目管理与执行，注重思想教育，增强群众意识；</w:t>
      </w:r>
    </w:p>
    <w:p w14:paraId="4E94165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（四）加强监督与评估，建立联动机制，形成工作合力。</w:t>
      </w:r>
    </w:p>
    <w:p w14:paraId="03738E12">
      <w:pPr>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这些经验和做法为怀远县涡河航道治理项目的顺利完成提供了有力保障。</w:t>
      </w:r>
    </w:p>
    <w:p w14:paraId="07529C70">
      <w:pPr>
        <w:keepNext w:val="0"/>
        <w:keepLines w:val="0"/>
        <w:pageBreakBefore w:val="0"/>
        <w:kinsoku/>
        <w:wordWrap/>
        <w:overflowPunct/>
        <w:topLinePunct w:val="0"/>
        <w:autoSpaceDE/>
        <w:autoSpaceDN/>
        <w:bidi w:val="0"/>
        <w:adjustRightInd/>
        <w:snapToGrid/>
        <w:spacing w:line="560" w:lineRule="exact"/>
        <w:ind w:firstLine="480" w:firstLineChars="200"/>
        <w:outlineLvl w:val="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楷体_GB2312" w:hAnsi="楷体_GB2312" w:eastAsia="楷体_GB2312" w:cs="楷体_GB2312"/>
          <w:b w:val="0"/>
          <w:bCs w:val="0"/>
          <w:color w:val="auto"/>
          <w:sz w:val="30"/>
          <w:szCs w:val="30"/>
          <w:highlight w:val="none"/>
        </w:rPr>
        <w:t>六、存在问题及原因分析</w:t>
      </w:r>
    </w:p>
    <w:p w14:paraId="52124A9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一是绩效目标设置与实际执行情况关联度不足，出现没执行完任务。</w:t>
      </w:r>
    </w:p>
    <w:p w14:paraId="52A72272">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二是资金分配与监管问题，在预算执行中才发现有资金不足超支和节约严重，资金监管不到位。</w:t>
      </w:r>
    </w:p>
    <w:p w14:paraId="1798D95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三是项目管理与执行问题，没发现在平时工作中有提出管理需求。</w:t>
      </w:r>
    </w:p>
    <w:p w14:paraId="64D802C4">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四是监管环节不连贯，付款审批上没质量要求和进度要求，质量与效果无从查看。</w:t>
      </w:r>
    </w:p>
    <w:p w14:paraId="130B8BB3">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五是绩效目标设置较为简单，需要进一步明确项目指标设置。缺少效益指标。不能细化量化考核实际效果；</w:t>
      </w:r>
    </w:p>
    <w:p w14:paraId="06089929">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rPr>
        <w:t>七、有关建议</w:t>
      </w:r>
    </w:p>
    <w:p w14:paraId="4BCD13F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为进一步提高资金使用效益，针对存在的问题，提出如下建议：</w:t>
      </w:r>
    </w:p>
    <w:p w14:paraId="57B30DA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一是完善绩效目标编制，细化绩效指标值；在编制绩效目标时，怀远县农业农村局应加强预算部门与项目实施部门之间的信息沟通，共同参与绩效目标编制，了解项目实际情况、工作计划等合理设置绩效目标，细化量化指标值，便于项目绩效管理。</w:t>
      </w:r>
    </w:p>
    <w:p w14:paraId="0EF74CBA">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二是加强业务条线管理，做好资金分配与监管，要落实资金使用方向，确保资金使用在预算项目中。</w:t>
      </w:r>
    </w:p>
    <w:p w14:paraId="7801F25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三是强化内部流程制度的制定与落实。根据项目申请到项目落实及后期的管理要制定一个具体的管理办法，完善财务制度，保证专款专用不准挪用项目资金。</w:t>
      </w:r>
    </w:p>
    <w:p w14:paraId="60F6F05B">
      <w:pPr>
        <w:keepNext w:val="0"/>
        <w:keepLines w:val="0"/>
        <w:pageBreakBefore w:val="0"/>
        <w:kinsoku/>
        <w:wordWrap/>
        <w:overflowPunct/>
        <w:topLinePunct w:val="0"/>
        <w:autoSpaceDE/>
        <w:autoSpaceDN/>
        <w:bidi w:val="0"/>
        <w:adjustRightInd/>
        <w:snapToGrid/>
        <w:spacing w:line="560" w:lineRule="exact"/>
        <w:ind w:firstLine="480" w:firstLineChars="200"/>
        <w:outlineLvl w:val="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四是严格落实会议精神确保涡河航道治理最后一年的任务和目标，完美收官。</w:t>
      </w:r>
    </w:p>
    <w:p w14:paraId="7BEAB695">
      <w:pPr>
        <w:keepNext w:val="0"/>
        <w:keepLines w:val="0"/>
        <w:pageBreakBefore w:val="0"/>
        <w:kinsoku/>
        <w:wordWrap/>
        <w:overflowPunct/>
        <w:topLinePunct w:val="0"/>
        <w:autoSpaceDE/>
        <w:autoSpaceDN/>
        <w:bidi w:val="0"/>
        <w:adjustRightInd/>
        <w:snapToGrid/>
        <w:spacing w:line="560" w:lineRule="exact"/>
        <w:ind w:firstLine="600" w:firstLineChars="200"/>
        <w:outlineLvl w:val="0"/>
        <w:rPr>
          <w:rFonts w:hint="eastAsia" w:ascii="楷体_GB2312" w:hAnsi="楷体_GB2312" w:eastAsia="楷体_GB2312" w:cs="楷体_GB2312"/>
          <w:b w:val="0"/>
          <w:bCs w:val="0"/>
          <w:color w:val="auto"/>
          <w:sz w:val="30"/>
          <w:szCs w:val="30"/>
          <w:highlight w:val="none"/>
        </w:rPr>
      </w:pPr>
      <w:r>
        <w:rPr>
          <w:rFonts w:hint="eastAsia" w:ascii="楷体_GB2312" w:hAnsi="楷体_GB2312" w:eastAsia="楷体_GB2312" w:cs="楷体_GB2312"/>
          <w:b w:val="0"/>
          <w:bCs w:val="0"/>
          <w:color w:val="auto"/>
          <w:sz w:val="30"/>
          <w:szCs w:val="30"/>
          <w:highlight w:val="none"/>
        </w:rPr>
        <w:t>八、其他需要说明的问题</w:t>
      </w:r>
    </w:p>
    <w:p w14:paraId="3C4AC6A6">
      <w:pPr>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val="0"/>
          <w:bCs w:val="0"/>
          <w:color w:val="auto"/>
          <w:sz w:val="24"/>
          <w:szCs w:val="24"/>
          <w:highlight w:val="none"/>
        </w:rPr>
        <w:t>无其他需要说明的问题。</w:t>
      </w:r>
    </w:p>
    <w:p w14:paraId="448839C0">
      <w:pPr>
        <w:keepNext w:val="0"/>
        <w:keepLines w:val="0"/>
        <w:pageBreakBefore w:val="0"/>
        <w:tabs>
          <w:tab w:val="left" w:pos="1276"/>
        </w:tabs>
        <w:kinsoku/>
        <w:wordWrap/>
        <w:overflowPunct/>
        <w:topLinePunct w:val="0"/>
        <w:autoSpaceDE/>
        <w:autoSpaceDN/>
        <w:bidi w:val="0"/>
        <w:adjustRightInd/>
        <w:snapToGrid/>
        <w:spacing w:line="560" w:lineRule="exact"/>
        <w:ind w:firstLine="537" w:firstLineChars="224"/>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附：</w:t>
      </w:r>
    </w:p>
    <w:p w14:paraId="690DDB4E">
      <w:pPr>
        <w:keepNext w:val="0"/>
        <w:keepLines w:val="0"/>
        <w:pageBreakBefore w:val="0"/>
        <w:tabs>
          <w:tab w:val="left" w:pos="1276"/>
        </w:tabs>
        <w:kinsoku/>
        <w:wordWrap/>
        <w:overflowPunct/>
        <w:topLinePunct w:val="0"/>
        <w:autoSpaceDE/>
        <w:autoSpaceDN/>
        <w:bidi w:val="0"/>
        <w:adjustRightInd/>
        <w:snapToGrid/>
        <w:spacing w:line="560" w:lineRule="exact"/>
        <w:ind w:firstLine="537" w:firstLineChars="224"/>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1. 怀远县农业农村局2023年度涡河航道治理</w:t>
      </w:r>
      <w:r>
        <w:rPr>
          <w:rFonts w:hint="eastAsia" w:ascii="仿宋_GB2312" w:hAnsi="仿宋_GB2312" w:eastAsia="仿宋_GB2312" w:cs="仿宋_GB2312"/>
          <w:b w:val="0"/>
          <w:bCs w:val="0"/>
          <w:color w:val="auto"/>
          <w:sz w:val="24"/>
          <w:szCs w:val="24"/>
          <w:highlight w:val="none"/>
          <w:lang w:val="en-US" w:eastAsia="zh-CN"/>
        </w:rPr>
        <w:t>经费项目绩效评价</w:t>
      </w:r>
      <w:r>
        <w:rPr>
          <w:rFonts w:hint="eastAsia" w:ascii="仿宋_GB2312" w:hAnsi="仿宋_GB2312" w:eastAsia="仿宋_GB2312" w:cs="仿宋_GB2312"/>
          <w:b w:val="0"/>
          <w:bCs w:val="0"/>
          <w:color w:val="auto"/>
          <w:sz w:val="24"/>
          <w:szCs w:val="24"/>
          <w:highlight w:val="none"/>
        </w:rPr>
        <w:t>-指标体系</w:t>
      </w:r>
    </w:p>
    <w:p w14:paraId="39A6666A">
      <w:pPr>
        <w:keepNext w:val="0"/>
        <w:keepLines w:val="0"/>
        <w:pageBreakBefore w:val="0"/>
        <w:tabs>
          <w:tab w:val="left" w:pos="1276"/>
        </w:tabs>
        <w:kinsoku/>
        <w:wordWrap/>
        <w:overflowPunct/>
        <w:topLinePunct w:val="0"/>
        <w:autoSpaceDE/>
        <w:autoSpaceDN/>
        <w:bidi w:val="0"/>
        <w:adjustRightInd/>
        <w:snapToGrid/>
        <w:spacing w:line="560" w:lineRule="exact"/>
        <w:ind w:firstLine="537" w:firstLineChars="224"/>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2.怀远县农业农村局2023年度涡河航道治理</w:t>
      </w:r>
      <w:r>
        <w:rPr>
          <w:rFonts w:hint="eastAsia" w:ascii="仿宋_GB2312" w:hAnsi="仿宋_GB2312" w:eastAsia="仿宋_GB2312" w:cs="仿宋_GB2312"/>
          <w:b w:val="0"/>
          <w:bCs w:val="0"/>
          <w:color w:val="auto"/>
          <w:sz w:val="24"/>
          <w:szCs w:val="24"/>
          <w:highlight w:val="none"/>
          <w:lang w:val="en-US" w:eastAsia="zh-CN"/>
        </w:rPr>
        <w:t>经费项目绩效目标完成清单</w:t>
      </w:r>
    </w:p>
    <w:p w14:paraId="7B7C9406">
      <w:pPr>
        <w:keepNext w:val="0"/>
        <w:keepLines w:val="0"/>
        <w:pageBreakBefore w:val="0"/>
        <w:tabs>
          <w:tab w:val="left" w:pos="1276"/>
        </w:tabs>
        <w:kinsoku/>
        <w:wordWrap/>
        <w:overflowPunct/>
        <w:topLinePunct w:val="0"/>
        <w:autoSpaceDE/>
        <w:autoSpaceDN/>
        <w:bidi w:val="0"/>
        <w:adjustRightInd/>
        <w:snapToGrid/>
        <w:spacing w:line="560" w:lineRule="exact"/>
        <w:ind w:firstLine="537" w:firstLineChars="224"/>
        <w:rPr>
          <w:rFonts w:hint="eastAsia" w:ascii="仿宋_GB2312" w:hAnsi="仿宋_GB2312" w:eastAsia="仿宋_GB2312" w:cs="仿宋_GB2312"/>
          <w:b w:val="0"/>
          <w:bCs w:val="0"/>
          <w:color w:val="auto"/>
          <w:sz w:val="24"/>
          <w:szCs w:val="24"/>
          <w:highlight w:val="none"/>
          <w:lang w:val="en-US"/>
        </w:rPr>
      </w:pPr>
      <w:r>
        <w:rPr>
          <w:rFonts w:hint="eastAsia" w:ascii="仿宋_GB2312" w:hAnsi="仿宋_GB2312" w:eastAsia="仿宋_GB2312" w:cs="仿宋_GB2312"/>
          <w:b w:val="0"/>
          <w:bCs w:val="0"/>
          <w:color w:val="auto"/>
          <w:sz w:val="24"/>
          <w:szCs w:val="24"/>
          <w:highlight w:val="none"/>
        </w:rPr>
        <w:t>3.  怀远县农业农村局2023年度涡河航道治理经费</w:t>
      </w:r>
      <w:r>
        <w:rPr>
          <w:rFonts w:hint="eastAsia" w:ascii="仿宋_GB2312" w:hAnsi="仿宋_GB2312" w:eastAsia="仿宋_GB2312" w:cs="仿宋_GB2312"/>
          <w:b w:val="0"/>
          <w:bCs w:val="0"/>
          <w:color w:val="auto"/>
          <w:sz w:val="24"/>
          <w:szCs w:val="24"/>
          <w:highlight w:val="none"/>
          <w:lang w:val="en-US" w:eastAsia="zh-CN"/>
        </w:rPr>
        <w:t>绩效问题清单</w:t>
      </w:r>
    </w:p>
    <w:p w14:paraId="7693776F">
      <w:pPr>
        <w:keepNext w:val="0"/>
        <w:keepLines w:val="0"/>
        <w:pageBreakBefore w:val="0"/>
        <w:tabs>
          <w:tab w:val="left" w:pos="1276"/>
        </w:tabs>
        <w:kinsoku/>
        <w:wordWrap/>
        <w:overflowPunct/>
        <w:topLinePunct w:val="0"/>
        <w:autoSpaceDE/>
        <w:autoSpaceDN/>
        <w:bidi w:val="0"/>
        <w:adjustRightInd/>
        <w:snapToGrid/>
        <w:spacing w:line="560" w:lineRule="exact"/>
        <w:ind w:firstLine="537" w:firstLineChars="224"/>
        <w:rPr>
          <w:rFonts w:hint="eastAsia" w:ascii="仿宋_GB2312" w:hAnsi="仿宋_GB2312" w:eastAsia="仿宋_GB2312" w:cs="仿宋_GB2312"/>
          <w:b w:val="0"/>
          <w:bCs w:val="0"/>
          <w:color w:val="auto"/>
          <w:sz w:val="24"/>
          <w:szCs w:val="24"/>
          <w:highlight w:val="none"/>
          <w:lang w:val="en-US"/>
        </w:rPr>
      </w:pPr>
      <w:r>
        <w:rPr>
          <w:rFonts w:hint="eastAsia" w:ascii="仿宋_GB2312" w:hAnsi="仿宋_GB2312" w:eastAsia="仿宋_GB2312" w:cs="仿宋_GB2312"/>
          <w:b w:val="0"/>
          <w:bCs w:val="0"/>
          <w:color w:val="auto"/>
          <w:sz w:val="24"/>
          <w:szCs w:val="24"/>
          <w:highlight w:val="none"/>
        </w:rPr>
        <w:t>4.怀远县农业农村局2023年度涡河航道治理经费</w:t>
      </w:r>
      <w:r>
        <w:rPr>
          <w:rFonts w:hint="eastAsia" w:ascii="仿宋_GB2312" w:hAnsi="仿宋_GB2312" w:eastAsia="仿宋_GB2312" w:cs="仿宋_GB2312"/>
          <w:b w:val="0"/>
          <w:bCs w:val="0"/>
          <w:color w:val="auto"/>
          <w:sz w:val="24"/>
          <w:szCs w:val="24"/>
          <w:highlight w:val="none"/>
          <w:lang w:val="en-US" w:eastAsia="zh-CN"/>
        </w:rPr>
        <w:t>绩效评分情况</w:t>
      </w:r>
    </w:p>
    <w:p w14:paraId="755741B8">
      <w:pPr>
        <w:keepNext w:val="0"/>
        <w:keepLines w:val="0"/>
        <w:pageBreakBefore w:val="0"/>
        <w:tabs>
          <w:tab w:val="left" w:pos="1276"/>
        </w:tabs>
        <w:kinsoku/>
        <w:wordWrap/>
        <w:overflowPunct/>
        <w:topLinePunct w:val="0"/>
        <w:autoSpaceDE/>
        <w:autoSpaceDN/>
        <w:bidi w:val="0"/>
        <w:adjustRightInd/>
        <w:snapToGrid/>
        <w:spacing w:line="560" w:lineRule="exact"/>
        <w:ind w:firstLine="537" w:firstLineChars="224"/>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5.怀远县农业农村局2023年度涡河航道治理经费</w:t>
      </w:r>
      <w:r>
        <w:rPr>
          <w:rFonts w:hint="eastAsia" w:ascii="仿宋_GB2312" w:hAnsi="仿宋_GB2312" w:eastAsia="仿宋_GB2312" w:cs="仿宋_GB2312"/>
          <w:b w:val="0"/>
          <w:bCs w:val="0"/>
          <w:color w:val="auto"/>
          <w:sz w:val="24"/>
          <w:szCs w:val="24"/>
          <w:highlight w:val="none"/>
          <w:lang w:val="en-US" w:eastAsia="zh-CN"/>
        </w:rPr>
        <w:t>绩效</w:t>
      </w:r>
      <w:r>
        <w:rPr>
          <w:rFonts w:hint="eastAsia" w:ascii="仿宋_GB2312" w:hAnsi="仿宋_GB2312" w:eastAsia="仿宋_GB2312" w:cs="仿宋_GB2312"/>
          <w:b w:val="0"/>
          <w:bCs w:val="0"/>
          <w:color w:val="auto"/>
          <w:sz w:val="24"/>
          <w:szCs w:val="24"/>
          <w:highlight w:val="none"/>
        </w:rPr>
        <w:t>-社会问卷调查统计分析表-服务对象</w:t>
      </w:r>
    </w:p>
    <w:p w14:paraId="42333EB7">
      <w:pPr>
        <w:keepNext w:val="0"/>
        <w:keepLines w:val="0"/>
        <w:pageBreakBefore w:val="0"/>
        <w:tabs>
          <w:tab w:val="left" w:pos="1276"/>
        </w:tabs>
        <w:kinsoku/>
        <w:wordWrap/>
        <w:overflowPunct/>
        <w:topLinePunct w:val="0"/>
        <w:autoSpaceDE/>
        <w:autoSpaceDN/>
        <w:bidi w:val="0"/>
        <w:adjustRightInd/>
        <w:snapToGrid/>
        <w:spacing w:line="560" w:lineRule="exact"/>
        <w:ind w:firstLine="537" w:firstLineChars="224"/>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6.</w:t>
      </w:r>
      <w:r>
        <w:rPr>
          <w:rFonts w:hint="eastAsia" w:ascii="仿宋_GB2312" w:hAnsi="仿宋_GB2312" w:eastAsia="仿宋_GB2312" w:cs="仿宋_GB2312"/>
          <w:b w:val="0"/>
          <w:bCs w:val="0"/>
          <w:color w:val="auto"/>
          <w:sz w:val="24"/>
          <w:szCs w:val="24"/>
          <w:highlight w:val="none"/>
          <w:lang w:eastAsia="zh-CN"/>
        </w:rPr>
        <w:t>涡河航道生态补偿项目实施方案</w:t>
      </w:r>
    </w:p>
    <w:p w14:paraId="67B07456">
      <w:pPr>
        <w:keepNext w:val="0"/>
        <w:keepLines w:val="0"/>
        <w:pageBreakBefore w:val="0"/>
        <w:numPr>
          <w:ilvl w:val="0"/>
          <w:numId w:val="0"/>
        </w:numPr>
        <w:tabs>
          <w:tab w:val="left" w:pos="1276"/>
        </w:tabs>
        <w:kinsoku/>
        <w:wordWrap/>
        <w:overflowPunct/>
        <w:topLinePunct w:val="0"/>
        <w:autoSpaceDE/>
        <w:autoSpaceDN/>
        <w:bidi w:val="0"/>
        <w:adjustRightInd/>
        <w:snapToGrid/>
        <w:spacing w:line="560" w:lineRule="exact"/>
        <w:ind w:leftChars="200"/>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lang w:eastAsia="zh-CN"/>
        </w:rPr>
        <w:t>2023年度怀远县长江禁捕资金使用方案</w:t>
      </w:r>
    </w:p>
    <w:p w14:paraId="2FFCFC55">
      <w:pPr>
        <w:keepNext w:val="0"/>
        <w:keepLines w:val="0"/>
        <w:pageBreakBefore w:val="0"/>
        <w:numPr>
          <w:ilvl w:val="0"/>
          <w:numId w:val="0"/>
        </w:numPr>
        <w:tabs>
          <w:tab w:val="left" w:pos="1276"/>
        </w:tabs>
        <w:kinsoku/>
        <w:wordWrap/>
        <w:overflowPunct/>
        <w:topLinePunct w:val="0"/>
        <w:autoSpaceDE/>
        <w:autoSpaceDN/>
        <w:bidi w:val="0"/>
        <w:adjustRightInd/>
        <w:snapToGrid/>
        <w:spacing w:line="560" w:lineRule="exact"/>
        <w:ind w:left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8.关于2023年度县级部门预算的批复</w:t>
      </w:r>
    </w:p>
    <w:p w14:paraId="575D167D">
      <w:pPr>
        <w:pStyle w:val="4"/>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9.付款凭证</w:t>
      </w:r>
    </w:p>
    <w:p w14:paraId="237AAC79">
      <w:pPr>
        <w:pStyle w:val="4"/>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p>
    <w:p w14:paraId="21698BC1">
      <w:pPr>
        <w:pStyle w:val="4"/>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（此页无正文）</w:t>
      </w:r>
    </w:p>
    <w:p w14:paraId="0230A226">
      <w:pPr>
        <w:keepNext w:val="0"/>
        <w:keepLines w:val="0"/>
        <w:pageBreakBefore w:val="0"/>
        <w:widowControl/>
        <w:shd w:val="clear" w:color="auto" w:fill="FFFFFF"/>
        <w:kinsoku/>
        <w:wordWrap/>
        <w:overflowPunct/>
        <w:topLinePunct w:val="0"/>
        <w:autoSpaceDE/>
        <w:autoSpaceDN/>
        <w:bidi w:val="0"/>
        <w:adjustRightInd/>
        <w:snapToGrid/>
        <w:spacing w:line="560" w:lineRule="exact"/>
        <w:rPr>
          <w:rFonts w:hint="eastAsia" w:ascii="仿宋_GB2312" w:hAnsi="仿宋_GB2312" w:eastAsia="仿宋_GB2312" w:cs="仿宋_GB2312"/>
          <w:b w:val="0"/>
          <w:bCs w:val="0"/>
          <w:color w:val="auto"/>
          <w:kern w:val="0"/>
          <w:sz w:val="24"/>
          <w:szCs w:val="24"/>
          <w:highlight w:val="none"/>
        </w:rPr>
      </w:pPr>
    </w:p>
    <w:p w14:paraId="011427EA">
      <w:pPr>
        <w:keepNext w:val="0"/>
        <w:keepLines w:val="0"/>
        <w:pageBreakBefore w:val="0"/>
        <w:numPr>
          <w:ilvl w:val="0"/>
          <w:numId w:val="0"/>
        </w:numPr>
        <w:tabs>
          <w:tab w:val="left" w:pos="1276"/>
        </w:tabs>
        <w:kinsoku/>
        <w:wordWrap/>
        <w:overflowPunct/>
        <w:topLinePunct w:val="0"/>
        <w:autoSpaceDE/>
        <w:autoSpaceDN/>
        <w:bidi w:val="0"/>
        <w:adjustRightInd/>
        <w:snapToGrid/>
        <w:spacing w:line="560" w:lineRule="exact"/>
        <w:ind w:leftChars="200" w:firstLine="720" w:firstLineChars="3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 xml:space="preserve">安徽乔峰信息科技有限公司        主评人：  </w:t>
      </w:r>
    </w:p>
    <w:p w14:paraId="721B98DB">
      <w:pPr>
        <w:keepNext w:val="0"/>
        <w:keepLines w:val="0"/>
        <w:pageBreakBefore w:val="0"/>
        <w:numPr>
          <w:ilvl w:val="0"/>
          <w:numId w:val="0"/>
        </w:numPr>
        <w:tabs>
          <w:tab w:val="left" w:pos="1276"/>
        </w:tabs>
        <w:kinsoku/>
        <w:wordWrap/>
        <w:overflowPunct/>
        <w:topLinePunct w:val="0"/>
        <w:autoSpaceDE/>
        <w:autoSpaceDN/>
        <w:bidi w:val="0"/>
        <w:adjustRightInd/>
        <w:snapToGrid/>
        <w:spacing w:line="560" w:lineRule="exact"/>
        <w:ind w:leftChars="200"/>
        <w:rPr>
          <w:rFonts w:hint="eastAsia" w:ascii="仿宋_GB2312" w:hAnsi="仿宋_GB2312" w:eastAsia="仿宋_GB2312" w:cs="仿宋_GB2312"/>
          <w:b w:val="0"/>
          <w:bCs w:val="0"/>
          <w:color w:val="auto"/>
          <w:sz w:val="24"/>
          <w:szCs w:val="24"/>
          <w:highlight w:val="none"/>
          <w:lang w:val="en-US" w:eastAsia="zh-CN"/>
        </w:rPr>
      </w:pPr>
    </w:p>
    <w:p w14:paraId="1E414484">
      <w:pPr>
        <w:keepNext w:val="0"/>
        <w:keepLines w:val="0"/>
        <w:pageBreakBefore w:val="0"/>
        <w:numPr>
          <w:ilvl w:val="0"/>
          <w:numId w:val="0"/>
        </w:numPr>
        <w:tabs>
          <w:tab w:val="left" w:pos="1276"/>
        </w:tabs>
        <w:kinsoku/>
        <w:wordWrap/>
        <w:overflowPunct/>
        <w:topLinePunct w:val="0"/>
        <w:autoSpaceDE/>
        <w:autoSpaceDN/>
        <w:bidi w:val="0"/>
        <w:adjustRightInd/>
        <w:snapToGrid/>
        <w:spacing w:line="560" w:lineRule="exact"/>
        <w:ind w:left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 xml:space="preserve">                                      主评人：</w:t>
      </w:r>
    </w:p>
    <w:p w14:paraId="3DED14C0">
      <w:pPr>
        <w:keepNext w:val="0"/>
        <w:keepLines w:val="0"/>
        <w:pageBreakBefore w:val="0"/>
        <w:numPr>
          <w:ilvl w:val="0"/>
          <w:numId w:val="0"/>
        </w:numPr>
        <w:tabs>
          <w:tab w:val="left" w:pos="1276"/>
        </w:tabs>
        <w:kinsoku/>
        <w:wordWrap/>
        <w:overflowPunct/>
        <w:topLinePunct w:val="0"/>
        <w:autoSpaceDE/>
        <w:autoSpaceDN/>
        <w:bidi w:val="0"/>
        <w:adjustRightInd/>
        <w:snapToGrid/>
        <w:spacing w:line="560" w:lineRule="exact"/>
        <w:ind w:leftChars="200"/>
        <w:rPr>
          <w:rFonts w:hint="eastAsia" w:ascii="仿宋_GB2312" w:hAnsi="仿宋_GB2312" w:eastAsia="仿宋_GB2312" w:cs="仿宋_GB2312"/>
          <w:b w:val="0"/>
          <w:bCs w:val="0"/>
          <w:color w:val="auto"/>
          <w:sz w:val="24"/>
          <w:szCs w:val="24"/>
          <w:highlight w:val="none"/>
          <w:lang w:val="en-US" w:eastAsia="zh-CN"/>
        </w:rPr>
      </w:pPr>
    </w:p>
    <w:p w14:paraId="1D6A5970">
      <w:pPr>
        <w:keepNext w:val="0"/>
        <w:keepLines w:val="0"/>
        <w:pageBreakBefore w:val="0"/>
        <w:numPr>
          <w:ilvl w:val="0"/>
          <w:numId w:val="0"/>
        </w:numPr>
        <w:tabs>
          <w:tab w:val="left" w:pos="1276"/>
        </w:tabs>
        <w:kinsoku/>
        <w:wordWrap/>
        <w:overflowPunct/>
        <w:topLinePunct w:val="0"/>
        <w:autoSpaceDE/>
        <w:autoSpaceDN/>
        <w:bidi w:val="0"/>
        <w:adjustRightInd/>
        <w:snapToGrid/>
        <w:spacing w:line="560" w:lineRule="exact"/>
        <w:ind w:left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 xml:space="preserve">                                   2024年12月30日</w:t>
      </w:r>
    </w:p>
    <w:p w14:paraId="113CE4C6">
      <w:pPr>
        <w:keepNext w:val="0"/>
        <w:keepLines w:val="0"/>
        <w:pageBreakBefore w:val="0"/>
        <w:kinsoku/>
        <w:wordWrap/>
        <w:overflowPunct/>
        <w:topLinePunct w:val="0"/>
        <w:autoSpaceDE/>
        <w:autoSpaceDN/>
        <w:bidi w:val="0"/>
        <w:adjustRightInd/>
        <w:snapToGrid/>
        <w:spacing w:line="560" w:lineRule="exact"/>
        <w:ind w:firstLine="960" w:firstLineChars="4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  </w:t>
      </w:r>
    </w:p>
    <w:sectPr>
      <w:headerReference r:id="rId3" w:type="default"/>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75B772-FE22-42BA-A40A-62436ACD39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856598F-2CB3-423B-B735-ACB24863BFCB}"/>
  </w:font>
  <w:font w:name="楷体_GB2312">
    <w:panose1 w:val="02010609030101010101"/>
    <w:charset w:val="86"/>
    <w:family w:val="modern"/>
    <w:pitch w:val="default"/>
    <w:sig w:usb0="00000001" w:usb1="080E0000" w:usb2="00000000" w:usb3="00000000" w:csb0="00040000" w:csb1="00000000"/>
    <w:embedRegular r:id="rId3" w:fontKey="{A48F6301-2D17-42C6-9690-E11E732EB15B}"/>
  </w:font>
  <w:font w:name="仿宋">
    <w:panose1 w:val="02010609060101010101"/>
    <w:charset w:val="86"/>
    <w:family w:val="modern"/>
    <w:pitch w:val="default"/>
    <w:sig w:usb0="800002BF" w:usb1="38CF7CFA" w:usb2="00000016" w:usb3="00000000" w:csb0="00040001" w:csb1="00000000"/>
    <w:embedRegular r:id="rId4" w:fontKey="{453B1605-2B41-4749-AFE5-E55B1CE9ABF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1620C">
    <w:pPr>
      <w:pStyle w:val="5"/>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0E2ED1">
                          <w:pPr>
                            <w:pStyle w:val="5"/>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- 3 -</w:t>
                          </w:r>
                          <w:r>
                            <w:rPr>
                              <w:rFonts w:hint="eastAsia" w:ascii="仿宋_GB2312" w:hAnsi="仿宋_GB2312" w:eastAsia="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0E2ED1">
                    <w:pPr>
                      <w:pStyle w:val="5"/>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- 3 -</w:t>
                    </w:r>
                    <w:r>
                      <w:rPr>
                        <w:rFonts w:hint="eastAsia" w:ascii="仿宋_GB2312" w:hAnsi="仿宋_GB2312" w:eastAsia="仿宋_GB2312" w:cs="仿宋_GB2312"/>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8C73D">
    <w:pPr>
      <w:widowControl/>
      <w:pBdr>
        <w:bottom w:val="single" w:color="auto" w:sz="4" w:space="0"/>
      </w:pBdr>
      <w:shd w:val="clear" w:color="auto" w:fill="FFFFFF"/>
      <w:spacing w:line="560" w:lineRule="atLeast"/>
      <w:ind w:firstLine="2711" w:firstLineChars="1500"/>
      <w:jc w:val="left"/>
      <w:rPr>
        <w:rFonts w:hint="eastAsia" w:ascii="仿宋" w:hAnsi="仿宋" w:eastAsia="仿宋" w:cs="仿宋"/>
        <w:b/>
        <w:bCs/>
        <w:color w:val="000000"/>
        <w:kern w:val="0"/>
        <w:sz w:val="18"/>
        <w:szCs w:val="18"/>
        <w:lang w:val="en-US" w:eastAsia="zh-CN"/>
      </w:rPr>
    </w:pPr>
    <w:r>
      <w:rPr>
        <w:rFonts w:hint="eastAsia" w:ascii="仿宋" w:hAnsi="仿宋" w:eastAsia="仿宋" w:cs="仿宋"/>
        <w:b/>
        <w:bCs/>
        <w:color w:val="000000"/>
        <w:kern w:val="0"/>
        <w:sz w:val="18"/>
        <w:szCs w:val="18"/>
        <w:lang w:val="en-US" w:eastAsia="zh-CN"/>
      </w:rPr>
      <w:t>怀远县农业农村局2023年度涡河航道治理经费项目支出绩效评价报告</w:t>
    </w:r>
    <w:r>
      <w:rPr>
        <w:rFonts w:hint="eastAsia" w:ascii="仿宋" w:hAnsi="仿宋" w:eastAsia="仿宋" w:cs="仿宋"/>
        <w:b/>
        <w:bCs/>
        <w:color w:val="000000"/>
        <w:kern w:val="0"/>
        <w:sz w:val="18"/>
        <w:szCs w:val="18"/>
      </w:rPr>
      <w:t xml:space="preserve"> </w:t>
    </w:r>
    <w:r>
      <w:rPr>
        <w:rFonts w:hint="eastAsia" w:ascii="仿宋" w:hAnsi="仿宋" w:eastAsia="仿宋" w:cs="仿宋"/>
        <w:b/>
        <w:bCs/>
        <w:color w:val="000000"/>
        <w:kern w:val="0"/>
        <w:sz w:val="18"/>
        <w:szCs w:val="1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BEA5BD"/>
    <w:multiLevelType w:val="singleLevel"/>
    <w:tmpl w:val="16BEA5BD"/>
    <w:lvl w:ilvl="0" w:tentative="0">
      <w:start w:val="1"/>
      <w:numFmt w:val="decimal"/>
      <w:lvlText w:val="%1."/>
      <w:lvlJc w:val="left"/>
      <w:pPr>
        <w:tabs>
          <w:tab w:val="left" w:pos="312"/>
        </w:tabs>
      </w:pPr>
    </w:lvl>
  </w:abstractNum>
  <w:abstractNum w:abstractNumId="1">
    <w:nsid w:val="19BA3AB9"/>
    <w:multiLevelType w:val="singleLevel"/>
    <w:tmpl w:val="19BA3AB9"/>
    <w:lvl w:ilvl="0" w:tentative="0">
      <w:start w:val="2"/>
      <w:numFmt w:val="chineseCounting"/>
      <w:suff w:val="nothing"/>
      <w:lvlText w:val="（%1）"/>
      <w:lvlJc w:val="left"/>
      <w:rPr>
        <w:rFonts w:hint="eastAsia"/>
      </w:rPr>
    </w:lvl>
  </w:abstractNum>
  <w:abstractNum w:abstractNumId="2">
    <w:nsid w:val="1A4EBDD9"/>
    <w:multiLevelType w:val="singleLevel"/>
    <w:tmpl w:val="1A4EBDD9"/>
    <w:lvl w:ilvl="0" w:tentative="0">
      <w:start w:val="1"/>
      <w:numFmt w:val="chineseCounting"/>
      <w:lvlText w:val="(%1)"/>
      <w:lvlJc w:val="left"/>
      <w:pPr>
        <w:tabs>
          <w:tab w:val="left" w:pos="312"/>
        </w:tabs>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NzVjYTVjMjMzNmM2Mzk0ZDQxN2ZjZjA3ZDdmMGQifQ=="/>
  </w:docVars>
  <w:rsids>
    <w:rsidRoot w:val="00433B5E"/>
    <w:rsid w:val="00433B5E"/>
    <w:rsid w:val="00593490"/>
    <w:rsid w:val="008848A5"/>
    <w:rsid w:val="00BB73CF"/>
    <w:rsid w:val="00C95404"/>
    <w:rsid w:val="00D459A3"/>
    <w:rsid w:val="00F172E3"/>
    <w:rsid w:val="011A24F4"/>
    <w:rsid w:val="01AD3849"/>
    <w:rsid w:val="01CC142F"/>
    <w:rsid w:val="02177E04"/>
    <w:rsid w:val="026220AC"/>
    <w:rsid w:val="02A831A2"/>
    <w:rsid w:val="02EB239A"/>
    <w:rsid w:val="02EB4DB0"/>
    <w:rsid w:val="02F96C46"/>
    <w:rsid w:val="02FB42A5"/>
    <w:rsid w:val="03BB1AB2"/>
    <w:rsid w:val="03CA0201"/>
    <w:rsid w:val="03CA1FAF"/>
    <w:rsid w:val="040E6340"/>
    <w:rsid w:val="041D6583"/>
    <w:rsid w:val="0427765C"/>
    <w:rsid w:val="04390EE3"/>
    <w:rsid w:val="0458297F"/>
    <w:rsid w:val="04D07E2C"/>
    <w:rsid w:val="052069CE"/>
    <w:rsid w:val="055D53EC"/>
    <w:rsid w:val="05A1693D"/>
    <w:rsid w:val="05E76ED4"/>
    <w:rsid w:val="066927A1"/>
    <w:rsid w:val="069C40D7"/>
    <w:rsid w:val="06FD0228"/>
    <w:rsid w:val="07195727"/>
    <w:rsid w:val="0732440A"/>
    <w:rsid w:val="0764271A"/>
    <w:rsid w:val="08005A40"/>
    <w:rsid w:val="080A4E20"/>
    <w:rsid w:val="08581C30"/>
    <w:rsid w:val="08765411"/>
    <w:rsid w:val="08C47915"/>
    <w:rsid w:val="092843F1"/>
    <w:rsid w:val="092A0706"/>
    <w:rsid w:val="0A921402"/>
    <w:rsid w:val="0B0266B6"/>
    <w:rsid w:val="0B34440D"/>
    <w:rsid w:val="0B350DE8"/>
    <w:rsid w:val="0B4D1E43"/>
    <w:rsid w:val="0B6379F7"/>
    <w:rsid w:val="0B6862CA"/>
    <w:rsid w:val="0DD52B76"/>
    <w:rsid w:val="0E1D5B0A"/>
    <w:rsid w:val="0E4B63E2"/>
    <w:rsid w:val="0E636972"/>
    <w:rsid w:val="0EDD528C"/>
    <w:rsid w:val="0EFF025E"/>
    <w:rsid w:val="0FF0260A"/>
    <w:rsid w:val="0FFF77E8"/>
    <w:rsid w:val="10CA42EC"/>
    <w:rsid w:val="116B048D"/>
    <w:rsid w:val="11781BB6"/>
    <w:rsid w:val="11955B04"/>
    <w:rsid w:val="11BE5B47"/>
    <w:rsid w:val="121921E1"/>
    <w:rsid w:val="12D2041A"/>
    <w:rsid w:val="130A128E"/>
    <w:rsid w:val="13737F6D"/>
    <w:rsid w:val="13AC11DA"/>
    <w:rsid w:val="13D00442"/>
    <w:rsid w:val="1410640B"/>
    <w:rsid w:val="148278AB"/>
    <w:rsid w:val="14AD6CA4"/>
    <w:rsid w:val="14C05230"/>
    <w:rsid w:val="15480228"/>
    <w:rsid w:val="159F0DA2"/>
    <w:rsid w:val="15F9400B"/>
    <w:rsid w:val="16715732"/>
    <w:rsid w:val="16771BCA"/>
    <w:rsid w:val="173C4B1A"/>
    <w:rsid w:val="17E256C1"/>
    <w:rsid w:val="17F440D2"/>
    <w:rsid w:val="18564F55"/>
    <w:rsid w:val="185D623C"/>
    <w:rsid w:val="18616D12"/>
    <w:rsid w:val="18B93F20"/>
    <w:rsid w:val="19696F4D"/>
    <w:rsid w:val="19A7724C"/>
    <w:rsid w:val="1A82066E"/>
    <w:rsid w:val="1A8B2040"/>
    <w:rsid w:val="1B083691"/>
    <w:rsid w:val="1B4B4399"/>
    <w:rsid w:val="1BD45C69"/>
    <w:rsid w:val="1C4412BF"/>
    <w:rsid w:val="1C5B4642"/>
    <w:rsid w:val="1E2E4A86"/>
    <w:rsid w:val="1EF96170"/>
    <w:rsid w:val="1F9A383D"/>
    <w:rsid w:val="2010196E"/>
    <w:rsid w:val="2014250D"/>
    <w:rsid w:val="20AF6BF1"/>
    <w:rsid w:val="210A4F98"/>
    <w:rsid w:val="21470C8B"/>
    <w:rsid w:val="21B5723B"/>
    <w:rsid w:val="220A23E4"/>
    <w:rsid w:val="23007343"/>
    <w:rsid w:val="233E0FD0"/>
    <w:rsid w:val="236A65E4"/>
    <w:rsid w:val="23835431"/>
    <w:rsid w:val="24261DBA"/>
    <w:rsid w:val="24771887"/>
    <w:rsid w:val="24B11B8E"/>
    <w:rsid w:val="25816046"/>
    <w:rsid w:val="25C32145"/>
    <w:rsid w:val="25EE60F1"/>
    <w:rsid w:val="264B04A7"/>
    <w:rsid w:val="264F7170"/>
    <w:rsid w:val="265D41FA"/>
    <w:rsid w:val="269A0614"/>
    <w:rsid w:val="27015200"/>
    <w:rsid w:val="27A40C9E"/>
    <w:rsid w:val="28A64B17"/>
    <w:rsid w:val="28B637BE"/>
    <w:rsid w:val="29342F22"/>
    <w:rsid w:val="295D3F3E"/>
    <w:rsid w:val="2968464B"/>
    <w:rsid w:val="29F77266"/>
    <w:rsid w:val="2A3F70B0"/>
    <w:rsid w:val="2A532496"/>
    <w:rsid w:val="2AB54EB7"/>
    <w:rsid w:val="2ACD3F13"/>
    <w:rsid w:val="2AD92680"/>
    <w:rsid w:val="2ADD3583"/>
    <w:rsid w:val="2B4104F9"/>
    <w:rsid w:val="2B752AFE"/>
    <w:rsid w:val="2B9B2E7E"/>
    <w:rsid w:val="2BE66A67"/>
    <w:rsid w:val="2C3E31E1"/>
    <w:rsid w:val="2CBC7852"/>
    <w:rsid w:val="2CFB60AE"/>
    <w:rsid w:val="2D766B80"/>
    <w:rsid w:val="30295693"/>
    <w:rsid w:val="30E5141E"/>
    <w:rsid w:val="30E6238B"/>
    <w:rsid w:val="313C66E7"/>
    <w:rsid w:val="318C6E2C"/>
    <w:rsid w:val="31C51788"/>
    <w:rsid w:val="32B6787C"/>
    <w:rsid w:val="32D243A2"/>
    <w:rsid w:val="33C5616B"/>
    <w:rsid w:val="33E65093"/>
    <w:rsid w:val="348C0A37"/>
    <w:rsid w:val="34E94505"/>
    <w:rsid w:val="353F67A0"/>
    <w:rsid w:val="354237EC"/>
    <w:rsid w:val="35DD6E58"/>
    <w:rsid w:val="35E161D4"/>
    <w:rsid w:val="35FC0FEF"/>
    <w:rsid w:val="35FD74DC"/>
    <w:rsid w:val="36592B9B"/>
    <w:rsid w:val="36687282"/>
    <w:rsid w:val="36AF6097"/>
    <w:rsid w:val="370B0ACB"/>
    <w:rsid w:val="376753FD"/>
    <w:rsid w:val="38521F98"/>
    <w:rsid w:val="38D06F18"/>
    <w:rsid w:val="390831EC"/>
    <w:rsid w:val="39225E0E"/>
    <w:rsid w:val="394B0D41"/>
    <w:rsid w:val="395B01D5"/>
    <w:rsid w:val="39700D19"/>
    <w:rsid w:val="398C2D5E"/>
    <w:rsid w:val="39BC1D61"/>
    <w:rsid w:val="39C3492C"/>
    <w:rsid w:val="39E94D14"/>
    <w:rsid w:val="3AAD274A"/>
    <w:rsid w:val="3AB01669"/>
    <w:rsid w:val="3AC44135"/>
    <w:rsid w:val="3BE63279"/>
    <w:rsid w:val="3C7C1D83"/>
    <w:rsid w:val="3C882549"/>
    <w:rsid w:val="3CAD59EE"/>
    <w:rsid w:val="3CF96E86"/>
    <w:rsid w:val="3DB22D9B"/>
    <w:rsid w:val="3DF5764D"/>
    <w:rsid w:val="3DFF04CC"/>
    <w:rsid w:val="3ED40D01"/>
    <w:rsid w:val="3F0B662D"/>
    <w:rsid w:val="404E11B5"/>
    <w:rsid w:val="40CB441E"/>
    <w:rsid w:val="40CF1BD4"/>
    <w:rsid w:val="40EC44E6"/>
    <w:rsid w:val="4105229D"/>
    <w:rsid w:val="412B7DAA"/>
    <w:rsid w:val="41326E0A"/>
    <w:rsid w:val="42096D67"/>
    <w:rsid w:val="42310C62"/>
    <w:rsid w:val="42C722F0"/>
    <w:rsid w:val="43574906"/>
    <w:rsid w:val="444B5F40"/>
    <w:rsid w:val="448B659B"/>
    <w:rsid w:val="448C05DF"/>
    <w:rsid w:val="44B71B00"/>
    <w:rsid w:val="45401875"/>
    <w:rsid w:val="45FD7C97"/>
    <w:rsid w:val="465D0D29"/>
    <w:rsid w:val="47040901"/>
    <w:rsid w:val="474C5C0C"/>
    <w:rsid w:val="47F720A4"/>
    <w:rsid w:val="486A0301"/>
    <w:rsid w:val="499C1A26"/>
    <w:rsid w:val="49B47770"/>
    <w:rsid w:val="49DE18DD"/>
    <w:rsid w:val="4ADA281F"/>
    <w:rsid w:val="4B1D6435"/>
    <w:rsid w:val="4B635B85"/>
    <w:rsid w:val="4B95246F"/>
    <w:rsid w:val="4C123DA1"/>
    <w:rsid w:val="4C2C6367"/>
    <w:rsid w:val="4C883D82"/>
    <w:rsid w:val="4CD765BC"/>
    <w:rsid w:val="4D281794"/>
    <w:rsid w:val="4D3F3DDA"/>
    <w:rsid w:val="4D876309"/>
    <w:rsid w:val="4DE034DE"/>
    <w:rsid w:val="4E115E69"/>
    <w:rsid w:val="4E192EE4"/>
    <w:rsid w:val="4ED9026B"/>
    <w:rsid w:val="4F075432"/>
    <w:rsid w:val="4F55619D"/>
    <w:rsid w:val="4F697E9B"/>
    <w:rsid w:val="504F52E3"/>
    <w:rsid w:val="5068439E"/>
    <w:rsid w:val="508807F5"/>
    <w:rsid w:val="50C73CF7"/>
    <w:rsid w:val="50F65572"/>
    <w:rsid w:val="5177786D"/>
    <w:rsid w:val="51B73C98"/>
    <w:rsid w:val="51C45A63"/>
    <w:rsid w:val="51E50788"/>
    <w:rsid w:val="524254E9"/>
    <w:rsid w:val="528212A5"/>
    <w:rsid w:val="53B31822"/>
    <w:rsid w:val="542816FC"/>
    <w:rsid w:val="543F233C"/>
    <w:rsid w:val="549239F0"/>
    <w:rsid w:val="549459BA"/>
    <w:rsid w:val="55072635"/>
    <w:rsid w:val="555869E7"/>
    <w:rsid w:val="558E6908"/>
    <w:rsid w:val="55A47409"/>
    <w:rsid w:val="55F5199E"/>
    <w:rsid w:val="56691308"/>
    <w:rsid w:val="569F3362"/>
    <w:rsid w:val="56CD37E1"/>
    <w:rsid w:val="572B3988"/>
    <w:rsid w:val="57EE718F"/>
    <w:rsid w:val="582924E0"/>
    <w:rsid w:val="58466693"/>
    <w:rsid w:val="58537FC0"/>
    <w:rsid w:val="58BA6A91"/>
    <w:rsid w:val="58EE7685"/>
    <w:rsid w:val="597933D0"/>
    <w:rsid w:val="598029E5"/>
    <w:rsid w:val="59AB40C6"/>
    <w:rsid w:val="5A5B2A09"/>
    <w:rsid w:val="5AB346C0"/>
    <w:rsid w:val="5B251675"/>
    <w:rsid w:val="5BA1276A"/>
    <w:rsid w:val="5BEB3DDA"/>
    <w:rsid w:val="5C6F3C6B"/>
    <w:rsid w:val="5CB81FAE"/>
    <w:rsid w:val="5E5E4C48"/>
    <w:rsid w:val="5EEE4EC3"/>
    <w:rsid w:val="5F16340A"/>
    <w:rsid w:val="5F1B7024"/>
    <w:rsid w:val="5F3C4C84"/>
    <w:rsid w:val="5FBA3DFB"/>
    <w:rsid w:val="60A273FB"/>
    <w:rsid w:val="61A71B7A"/>
    <w:rsid w:val="622A5268"/>
    <w:rsid w:val="63260125"/>
    <w:rsid w:val="63400ABB"/>
    <w:rsid w:val="63485CA5"/>
    <w:rsid w:val="63CD67F3"/>
    <w:rsid w:val="63E458EA"/>
    <w:rsid w:val="64405216"/>
    <w:rsid w:val="644F6D15"/>
    <w:rsid w:val="648F7063"/>
    <w:rsid w:val="64D42282"/>
    <w:rsid w:val="64F64327"/>
    <w:rsid w:val="65102440"/>
    <w:rsid w:val="651A5FD7"/>
    <w:rsid w:val="658B24C1"/>
    <w:rsid w:val="65AF1157"/>
    <w:rsid w:val="6647487D"/>
    <w:rsid w:val="66644DA3"/>
    <w:rsid w:val="66645CD8"/>
    <w:rsid w:val="67673ED9"/>
    <w:rsid w:val="677D22DE"/>
    <w:rsid w:val="67CC74C1"/>
    <w:rsid w:val="680F2547"/>
    <w:rsid w:val="6876179C"/>
    <w:rsid w:val="687D688E"/>
    <w:rsid w:val="68A85138"/>
    <w:rsid w:val="69025709"/>
    <w:rsid w:val="696E6382"/>
    <w:rsid w:val="6A2A3187"/>
    <w:rsid w:val="6A422BEB"/>
    <w:rsid w:val="6AB1521D"/>
    <w:rsid w:val="6AD86EB6"/>
    <w:rsid w:val="6B0220BF"/>
    <w:rsid w:val="6B1E1463"/>
    <w:rsid w:val="6B39651C"/>
    <w:rsid w:val="6B7C5A60"/>
    <w:rsid w:val="6BB41665"/>
    <w:rsid w:val="6C281322"/>
    <w:rsid w:val="6C554A5F"/>
    <w:rsid w:val="6D8A12B0"/>
    <w:rsid w:val="6D8A6CA3"/>
    <w:rsid w:val="6DA72590"/>
    <w:rsid w:val="6F0230C8"/>
    <w:rsid w:val="6F2A2D4B"/>
    <w:rsid w:val="6FE37012"/>
    <w:rsid w:val="70090BB2"/>
    <w:rsid w:val="70587444"/>
    <w:rsid w:val="70967F6C"/>
    <w:rsid w:val="70A049F5"/>
    <w:rsid w:val="70ED2F83"/>
    <w:rsid w:val="71531FC2"/>
    <w:rsid w:val="71997D14"/>
    <w:rsid w:val="71BD592D"/>
    <w:rsid w:val="71D9079B"/>
    <w:rsid w:val="71F30107"/>
    <w:rsid w:val="71FD0ADE"/>
    <w:rsid w:val="7266334B"/>
    <w:rsid w:val="730114D3"/>
    <w:rsid w:val="73BC703B"/>
    <w:rsid w:val="73BE75E7"/>
    <w:rsid w:val="743750AA"/>
    <w:rsid w:val="74565612"/>
    <w:rsid w:val="746F3611"/>
    <w:rsid w:val="74AC4202"/>
    <w:rsid w:val="74AD175A"/>
    <w:rsid w:val="75B06E77"/>
    <w:rsid w:val="75BD03B7"/>
    <w:rsid w:val="762C472F"/>
    <w:rsid w:val="76CF0104"/>
    <w:rsid w:val="771A36A5"/>
    <w:rsid w:val="773618D5"/>
    <w:rsid w:val="774046CB"/>
    <w:rsid w:val="77C6382D"/>
    <w:rsid w:val="783F3821"/>
    <w:rsid w:val="786945E7"/>
    <w:rsid w:val="7906625D"/>
    <w:rsid w:val="790C34C1"/>
    <w:rsid w:val="79170DCE"/>
    <w:rsid w:val="796A56F7"/>
    <w:rsid w:val="79986240"/>
    <w:rsid w:val="799B33E0"/>
    <w:rsid w:val="79AC25AE"/>
    <w:rsid w:val="7A2A2335"/>
    <w:rsid w:val="7AED07C1"/>
    <w:rsid w:val="7AFC6404"/>
    <w:rsid w:val="7B9A6B62"/>
    <w:rsid w:val="7C660C62"/>
    <w:rsid w:val="7CCD22F0"/>
    <w:rsid w:val="7D186265"/>
    <w:rsid w:val="7D254721"/>
    <w:rsid w:val="7D622E53"/>
    <w:rsid w:val="7DEF0220"/>
    <w:rsid w:val="7E191DC9"/>
    <w:rsid w:val="7E260B81"/>
    <w:rsid w:val="7E305DDB"/>
    <w:rsid w:val="7E42141E"/>
    <w:rsid w:val="7E690AAD"/>
    <w:rsid w:val="7E855DAD"/>
    <w:rsid w:val="7F1A34A0"/>
    <w:rsid w:val="7F30300C"/>
    <w:rsid w:val="7F413799"/>
    <w:rsid w:val="7F914269"/>
    <w:rsid w:val="7FD659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afterLines="0"/>
    </w:pPr>
  </w:style>
  <w:style w:type="paragraph" w:styleId="3">
    <w:name w:val="Body Text Indent"/>
    <w:basedOn w:val="1"/>
    <w:semiHidden/>
    <w:qFormat/>
    <w:uiPriority w:val="0"/>
    <w:pPr>
      <w:ind w:left="2" w:leftChars="1" w:firstLine="600" w:firstLineChars="200"/>
    </w:pPr>
    <w:rPr>
      <w:rFonts w:ascii="仿宋_GB2312" w:hAnsi="Times New Roman" w:eastAsia="仿宋_GB2312"/>
      <w:sz w:val="30"/>
      <w:szCs w:val="24"/>
    </w:rPr>
  </w:style>
  <w:style w:type="paragraph" w:styleId="4">
    <w:name w:val="Body Text Indent 2"/>
    <w:basedOn w:val="1"/>
    <w:qFormat/>
    <w:uiPriority w:val="0"/>
    <w:pPr>
      <w:spacing w:after="120" w:line="480" w:lineRule="auto"/>
      <w:ind w:left="420" w:leftChars="200"/>
    </w:pPr>
    <w:rPr>
      <w:rFonts w:ascii="Calibri" w:hAnsi="Calibri" w:eastAsia="宋体" w:cs="Times New Roma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w:basedOn w:val="2"/>
    <w:qFormat/>
    <w:uiPriority w:val="0"/>
    <w:pPr>
      <w:ind w:firstLine="420" w:firstLineChars="100"/>
    </w:pPr>
  </w:style>
  <w:style w:type="paragraph" w:styleId="9">
    <w:name w:val="Body Text First Indent 2"/>
    <w:basedOn w:val="3"/>
    <w:qFormat/>
    <w:uiPriority w:val="0"/>
    <w:pPr>
      <w:ind w:firstLine="420" w:firstLineChars="200"/>
    </w:p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styleId="15">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7046</Words>
  <Characters>7419</Characters>
  <Lines>73</Lines>
  <Paragraphs>20</Paragraphs>
  <TotalTime>15</TotalTime>
  <ScaleCrop>false</ScaleCrop>
  <LinksUpToDate>false</LinksUpToDate>
  <CharactersWithSpaces>7553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2021-11-23T08:21:00Z</dcterms:created>
  <dc:creator>Administrator</dc:creator>
  <cp:lastModifiedBy>肖必伟</cp:lastModifiedBy>
  <dcterms:modified xsi:type="dcterms:W3CDTF">2025-01-15T08:37:15Z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A8E6FD052BF04B2CA519591496CA7230_13</vt:lpwstr>
  </property>
  <property fmtid="{D5CDD505-2E9C-101B-9397-08002B2CF9AE}" pid="4" name="KSOTemplateDocerSaveRecord">
    <vt:lpwstr>eyJoZGlkIjoiOWEwNzVjYTVjMjMzNmM2Mzk0ZDQxN2ZjZjA3ZDdmMGQiLCJ1c2VySWQiOiI2NTA3NTgwMDgifQ==</vt:lpwstr>
  </property>
</Properties>
</file>