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54A2E"/>
    <w:p w14:paraId="01866163"/>
    <w:p w14:paraId="46A6972C">
      <w:pPr>
        <w:rPr>
          <w:rFonts w:ascii="方正小标宋简体" w:eastAsia="方正小标宋简体"/>
          <w:b w:val="0"/>
        </w:rPr>
      </w:pPr>
      <w:r>
        <w:rPr>
          <w:rFonts w:hint="eastAsia" w:ascii="方正小标宋简体" w:eastAsia="方正小标宋简体"/>
          <w:b w:val="0"/>
        </w:rPr>
        <w:t>2023年度怀远县从业人员预防性体检项目  支出绩效评价报告</w:t>
      </w:r>
    </w:p>
    <w:p w14:paraId="4A12F8AB"/>
    <w:p w14:paraId="04931C86">
      <w:r>
        <w:rPr>
          <w:rFonts w:ascii="Calibri" w:hAnsi="Calibri" w:cs="Calibri"/>
        </w:rPr>
        <w:t> </w:t>
      </w:r>
    </w:p>
    <w:p w14:paraId="0A96EE6A">
      <w:pPr>
        <w:shd w:val="clear" w:color="auto" w:fill="FFFFFF"/>
        <w:spacing w:line="560" w:lineRule="exact"/>
        <w:ind w:firstLine="1652" w:firstLineChars="700"/>
        <w:jc w:val="left"/>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项目主管部门：怀远县卫生健康委员会</w:t>
      </w:r>
    </w:p>
    <w:p w14:paraId="59598DDC">
      <w:pPr>
        <w:shd w:val="clear" w:color="auto" w:fill="FFFFFF"/>
        <w:spacing w:line="560" w:lineRule="exact"/>
        <w:ind w:firstLine="1652" w:firstLineChars="700"/>
        <w:jc w:val="left"/>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项目实施单位：怀远县疾病预防控制中心</w:t>
      </w:r>
    </w:p>
    <w:p w14:paraId="43E5C87A">
      <w:pPr>
        <w:spacing w:line="560" w:lineRule="exact"/>
        <w:ind w:firstLine="1652" w:firstLineChars="700"/>
        <w:jc w:val="left"/>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委托单位：怀远县财政局</w:t>
      </w:r>
    </w:p>
    <w:p w14:paraId="68F82DD6">
      <w:pPr>
        <w:spacing w:line="560" w:lineRule="exact"/>
        <w:ind w:firstLine="1652" w:firstLineChars="700"/>
        <w:jc w:val="left"/>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评价单位：</w:t>
      </w:r>
      <w:r>
        <w:rPr>
          <w:rFonts w:hint="eastAsia" w:ascii="仿宋_GB2312" w:hAnsi="Times New Roman" w:eastAsia="仿宋_GB2312" w:cs="Times New Roman"/>
          <w:sz w:val="24"/>
          <w:szCs w:val="24"/>
          <w:lang w:eastAsia="zh-CN"/>
        </w:rPr>
        <w:t xml:space="preserve">安徽乔峰信息科技有限公司 </w:t>
      </w:r>
    </w:p>
    <w:p w14:paraId="155F8713"/>
    <w:p w14:paraId="5A5FBCA5">
      <w:pPr>
        <w:rPr>
          <w:sz w:val="32"/>
          <w:szCs w:val="32"/>
        </w:rPr>
      </w:pPr>
      <w:r>
        <w:rPr>
          <w:rFonts w:hint="eastAsia"/>
          <w:sz w:val="32"/>
          <w:szCs w:val="32"/>
        </w:rPr>
        <w:t>202</w:t>
      </w:r>
      <w:r>
        <w:rPr>
          <w:rFonts w:hint="eastAsia"/>
          <w:sz w:val="32"/>
          <w:szCs w:val="32"/>
          <w:lang w:val="en-US" w:eastAsia="zh-CN"/>
        </w:rPr>
        <w:t>4</w:t>
      </w:r>
      <w:r>
        <w:rPr>
          <w:rFonts w:hint="eastAsia"/>
          <w:sz w:val="32"/>
          <w:szCs w:val="32"/>
        </w:rPr>
        <w:t>年10月</w:t>
      </w:r>
    </w:p>
    <w:p w14:paraId="46D6D319">
      <w:pPr>
        <w:pStyle w:val="8"/>
        <w:ind w:firstLine="872"/>
      </w:pPr>
    </w:p>
    <w:p w14:paraId="7A186B6F">
      <w:pPr>
        <w:pStyle w:val="8"/>
        <w:ind w:firstLine="872"/>
      </w:pPr>
    </w:p>
    <w:p w14:paraId="549948D6">
      <w:pPr>
        <w:pStyle w:val="8"/>
        <w:ind w:firstLine="872"/>
      </w:pPr>
    </w:p>
    <w:p w14:paraId="15E1AD4F">
      <w:pPr>
        <w:pStyle w:val="8"/>
        <w:ind w:firstLine="872"/>
      </w:pPr>
    </w:p>
    <w:sdt>
      <w:sdtPr>
        <w:rPr>
          <w:lang w:val="zh-CN"/>
        </w:rPr>
        <w:id w:val="-1977369194"/>
        <w:docPartObj>
          <w:docPartGallery w:val="Table of Contents"/>
          <w:docPartUnique/>
        </w:docPartObj>
      </w:sdtPr>
      <w:sdtEndPr>
        <w:rPr>
          <w:bCs/>
          <w:lang w:val="zh-CN"/>
        </w:rPr>
      </w:sdtEndPr>
      <w:sdtContent>
        <w:sdt>
          <w:sdtPr>
            <w:rPr>
              <w:rFonts w:hint="eastAsia"/>
            </w:rPr>
            <w:id w:val="147475326"/>
            <w:docPartObj>
              <w:docPartGallery w:val="Table of Contents"/>
              <w:docPartUnique/>
            </w:docPartObj>
          </w:sdtPr>
          <w:sdtEndPr>
            <w:rPr>
              <w:rFonts w:hint="eastAsia"/>
            </w:rPr>
          </w:sdtEndPr>
          <w:sdtContent>
            <w:p w14:paraId="602993E2">
              <w:r>
                <w:rPr>
                  <w:rFonts w:hint="eastAsia"/>
                </w:rPr>
                <w:t>目录</w:t>
              </w:r>
            </w:p>
            <w:p w14:paraId="51A75203">
              <w:pPr>
                <w:pStyle w:val="22"/>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1</w:t>
              </w:r>
              <w:r>
                <w:rPr>
                  <w:rFonts w:hint="eastAsia" w:ascii="仿宋_GB2312" w:hAnsi="华文宋体" w:eastAsia="仿宋_GB2312"/>
                  <w:kern w:val="2"/>
                  <w:sz w:val="24"/>
                  <w:szCs w:val="24"/>
                </w:rPr>
                <w:fldChar w:fldCharType="end"/>
              </w:r>
            </w:p>
            <w:p w14:paraId="58E2BE3D">
              <w:pPr>
                <w:pStyle w:val="22"/>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5</w:t>
              </w:r>
              <w:r>
                <w:rPr>
                  <w:rFonts w:hint="eastAsia" w:ascii="仿宋_GB2312" w:hAnsi="华文宋体" w:eastAsia="仿宋_GB2312"/>
                  <w:kern w:val="2"/>
                  <w:sz w:val="24"/>
                  <w:szCs w:val="24"/>
                </w:rPr>
                <w:fldChar w:fldCharType="end"/>
              </w:r>
            </w:p>
            <w:p w14:paraId="118FFED0">
              <w:pPr>
                <w:pStyle w:val="22"/>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5</w:t>
              </w:r>
              <w:r>
                <w:rPr>
                  <w:rFonts w:hint="eastAsia" w:ascii="仿宋_GB2312" w:hAnsi="华文宋体" w:eastAsia="仿宋_GB2312"/>
                  <w:kern w:val="2"/>
                  <w:sz w:val="24"/>
                  <w:szCs w:val="24"/>
                </w:rPr>
                <w:fldChar w:fldCharType="end"/>
              </w:r>
            </w:p>
            <w:p w14:paraId="24CF7E97">
              <w:pPr>
                <w:pStyle w:val="23"/>
                <w:tabs>
                  <w:tab w:val="right" w:leader="dot" w:pos="8844"/>
                </w:tabs>
                <w:ind w:left="875"/>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5</w:t>
              </w:r>
              <w:r>
                <w:rPr>
                  <w:rFonts w:hint="eastAsia" w:ascii="仿宋_GB2312" w:hAnsi="华文宋体" w:eastAsia="仿宋_GB2312"/>
                  <w:kern w:val="2"/>
                  <w:sz w:val="24"/>
                  <w:szCs w:val="24"/>
                </w:rPr>
                <w:fldChar w:fldCharType="end"/>
              </w:r>
            </w:p>
            <w:p w14:paraId="09B6DAED">
              <w:pPr>
                <w:pStyle w:val="23"/>
                <w:tabs>
                  <w:tab w:val="right" w:leader="dot" w:pos="8844"/>
                </w:tabs>
                <w:ind w:left="875"/>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7</w:t>
              </w:r>
              <w:r>
                <w:rPr>
                  <w:rFonts w:hint="eastAsia" w:ascii="仿宋_GB2312" w:hAnsi="华文宋体" w:eastAsia="仿宋_GB2312"/>
                  <w:kern w:val="2"/>
                  <w:sz w:val="24"/>
                  <w:szCs w:val="24"/>
                </w:rPr>
                <w:fldChar w:fldCharType="end"/>
              </w:r>
            </w:p>
            <w:p w14:paraId="49D7319B">
              <w:pPr>
                <w:pStyle w:val="22"/>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7</w:t>
              </w:r>
              <w:r>
                <w:rPr>
                  <w:rFonts w:hint="eastAsia" w:ascii="仿宋_GB2312" w:hAnsi="华文宋体" w:eastAsia="仿宋_GB2312"/>
                  <w:kern w:val="2"/>
                  <w:sz w:val="24"/>
                  <w:szCs w:val="24"/>
                </w:rPr>
                <w:fldChar w:fldCharType="end"/>
              </w:r>
            </w:p>
            <w:p w14:paraId="34CB166F">
              <w:pPr>
                <w:pStyle w:val="23"/>
                <w:tabs>
                  <w:tab w:val="right" w:leader="dot" w:pos="8844"/>
                </w:tabs>
                <w:ind w:left="875"/>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7</w:t>
              </w:r>
              <w:r>
                <w:rPr>
                  <w:rFonts w:hint="eastAsia" w:ascii="仿宋_GB2312" w:hAnsi="华文宋体" w:eastAsia="仿宋_GB2312"/>
                  <w:kern w:val="2"/>
                  <w:sz w:val="24"/>
                  <w:szCs w:val="24"/>
                </w:rPr>
                <w:fldChar w:fldCharType="end"/>
              </w:r>
            </w:p>
            <w:p w14:paraId="2124FADC">
              <w:pPr>
                <w:pStyle w:val="23"/>
                <w:tabs>
                  <w:tab w:val="right" w:leader="dot" w:pos="8844"/>
                </w:tabs>
                <w:ind w:left="875"/>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8</w:t>
              </w:r>
              <w:r>
                <w:rPr>
                  <w:rFonts w:hint="eastAsia" w:ascii="仿宋_GB2312" w:hAnsi="华文宋体" w:eastAsia="仿宋_GB2312"/>
                  <w:kern w:val="2"/>
                  <w:sz w:val="24"/>
                  <w:szCs w:val="24"/>
                </w:rPr>
                <w:fldChar w:fldCharType="end"/>
              </w:r>
            </w:p>
            <w:p w14:paraId="20D03B53">
              <w:pPr>
                <w:pStyle w:val="23"/>
                <w:tabs>
                  <w:tab w:val="right" w:leader="dot" w:pos="8844"/>
                </w:tabs>
                <w:ind w:left="875"/>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9</w:t>
              </w:r>
              <w:r>
                <w:rPr>
                  <w:rFonts w:hint="eastAsia" w:ascii="仿宋_GB2312" w:hAnsi="华文宋体" w:eastAsia="仿宋_GB2312"/>
                  <w:kern w:val="2"/>
                  <w:sz w:val="24"/>
                  <w:szCs w:val="24"/>
                </w:rPr>
                <w:fldChar w:fldCharType="end"/>
              </w:r>
            </w:p>
            <w:p w14:paraId="7B701F7D">
              <w:pPr>
                <w:pStyle w:val="22"/>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9</w:t>
              </w:r>
              <w:r>
                <w:rPr>
                  <w:rFonts w:hint="eastAsia" w:ascii="仿宋_GB2312" w:hAnsi="华文宋体" w:eastAsia="仿宋_GB2312"/>
                  <w:kern w:val="2"/>
                  <w:sz w:val="24"/>
                  <w:szCs w:val="24"/>
                </w:rPr>
                <w:fldChar w:fldCharType="end"/>
              </w:r>
            </w:p>
            <w:p w14:paraId="0EBB21BD">
              <w:pPr>
                <w:pStyle w:val="23"/>
                <w:tabs>
                  <w:tab w:val="right" w:leader="dot" w:pos="8844"/>
                </w:tabs>
                <w:ind w:left="875"/>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9</w:t>
              </w:r>
              <w:r>
                <w:rPr>
                  <w:rFonts w:hint="eastAsia" w:ascii="仿宋_GB2312" w:hAnsi="华文宋体" w:eastAsia="仿宋_GB2312"/>
                  <w:kern w:val="2"/>
                  <w:sz w:val="24"/>
                  <w:szCs w:val="24"/>
                </w:rPr>
                <w:fldChar w:fldCharType="end"/>
              </w:r>
            </w:p>
            <w:p w14:paraId="15F3B10F">
              <w:pPr>
                <w:pStyle w:val="23"/>
                <w:tabs>
                  <w:tab w:val="right" w:leader="dot" w:pos="8844"/>
                </w:tabs>
                <w:ind w:left="875"/>
                <w:rPr>
                  <w:rFonts w:hint="eastAsia"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9</w:t>
              </w:r>
              <w:r>
                <w:rPr>
                  <w:rFonts w:hint="eastAsia" w:ascii="仿宋_GB2312" w:hAnsi="华文宋体" w:eastAsia="仿宋_GB2312"/>
                  <w:kern w:val="2"/>
                  <w:sz w:val="24"/>
                  <w:szCs w:val="24"/>
                </w:rPr>
                <w:fldChar w:fldCharType="end"/>
              </w:r>
            </w:p>
            <w:p w14:paraId="4AA05D14">
              <w:pPr>
                <w:pStyle w:val="22"/>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9</w:t>
              </w:r>
              <w:r>
                <w:rPr>
                  <w:rFonts w:hint="eastAsia" w:ascii="仿宋_GB2312" w:hAnsi="华文宋体" w:eastAsia="仿宋_GB2312"/>
                  <w:kern w:val="2"/>
                  <w:sz w:val="24"/>
                  <w:szCs w:val="24"/>
                </w:rPr>
                <w:fldChar w:fldCharType="end"/>
              </w:r>
            </w:p>
            <w:p w14:paraId="3C9D50C4">
              <w:pPr>
                <w:pStyle w:val="23"/>
                <w:tabs>
                  <w:tab w:val="right" w:leader="dot" w:pos="8844"/>
                </w:tabs>
                <w:ind w:left="875"/>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t>0</w:t>
              </w:r>
            </w:p>
            <w:p w14:paraId="5CF98787">
              <w:pPr>
                <w:pStyle w:val="23"/>
                <w:tabs>
                  <w:tab w:val="right" w:leader="dot" w:pos="8844"/>
                </w:tabs>
                <w:ind w:left="875"/>
                <w:rPr>
                  <w:rFonts w:hint="eastAsia" w:ascii="仿宋_GB2312" w:hAnsi="华文宋体" w:eastAsia="仿宋_GB2312"/>
                  <w:kern w:val="2"/>
                  <w:sz w:val="24"/>
                  <w:szCs w:val="24"/>
                  <w:lang w:eastAsia="zh-CN"/>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4</w:t>
              </w:r>
            </w:p>
            <w:p w14:paraId="4DDC233B">
              <w:pPr>
                <w:pStyle w:val="23"/>
                <w:tabs>
                  <w:tab w:val="right" w:leader="dot" w:pos="8844"/>
                </w:tabs>
                <w:ind w:left="875"/>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t>6</w:t>
              </w:r>
            </w:p>
            <w:p w14:paraId="0A51382C">
              <w:pPr>
                <w:pStyle w:val="23"/>
                <w:tabs>
                  <w:tab w:val="right" w:leader="dot" w:pos="8844"/>
                </w:tabs>
                <w:ind w:left="875"/>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t>8</w:t>
              </w:r>
            </w:p>
            <w:p w14:paraId="0A9CDD64">
              <w:pPr>
                <w:pStyle w:val="22"/>
                <w:tabs>
                  <w:tab w:val="right" w:leader="dot" w:pos="8844"/>
                </w:tabs>
                <w:rPr>
                  <w:rFonts w:hint="eastAsia" w:ascii="仿宋_GB2312" w:hAnsi="华文宋体" w:eastAsia="仿宋_GB2312"/>
                  <w:kern w:val="2"/>
                  <w:sz w:val="24"/>
                  <w:szCs w:val="24"/>
                  <w:lang w:eastAsia="zh-CN"/>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2</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w:t>
              </w:r>
            </w:p>
            <w:p w14:paraId="58F92039">
              <w:pPr>
                <w:pStyle w:val="22"/>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2</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t>0</w:t>
              </w:r>
            </w:p>
            <w:p w14:paraId="0AB3C338">
              <w:pPr>
                <w:pStyle w:val="22"/>
                <w:tabs>
                  <w:tab w:val="right" w:leader="dot" w:pos="8844"/>
                </w:tabs>
                <w:rPr>
                  <w:rFonts w:hint="eastAsia" w:ascii="仿宋_GB2312" w:hAnsi="华文宋体" w:eastAsia="仿宋_GB2312"/>
                  <w:kern w:val="2"/>
                  <w:sz w:val="24"/>
                  <w:szCs w:val="24"/>
                </w:r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t>2</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t>1</w:t>
              </w:r>
            </w:p>
            <w:p w14:paraId="0F10A9E3">
              <w:pPr>
                <w:pStyle w:val="22"/>
                <w:tabs>
                  <w:tab w:val="right" w:leader="dot" w:pos="8844"/>
                </w:tabs>
                <w:rPr>
                  <w:rFonts w:hint="default" w:ascii="仿宋_GB2312" w:hAnsi="华文宋体" w:eastAsia="仿宋_GB2312"/>
                  <w:kern w:val="2"/>
                  <w:sz w:val="24"/>
                  <w:szCs w:val="24"/>
                  <w:lang w:val="en-US" w:eastAsia="zh-CN"/>
                </w:rPr>
                <w:sectPr>
                  <w:pgSz w:w="11906" w:h="16838"/>
                  <w:pgMar w:top="2098" w:right="1474" w:bottom="1985" w:left="1588" w:header="851" w:footer="992" w:gutter="0"/>
                  <w:pgNumType w:fmt="numberInDash" w:start="1"/>
                  <w:cols w:space="425" w:num="1"/>
                  <w:docGrid w:type="linesAndChars" w:linePitch="560" w:charSpace="-849"/>
                </w:sectPr>
              </w:pPr>
              <w:r>
                <w:rPr>
                  <w:rFonts w:hint="eastAsia" w:ascii="仿宋_GB2312" w:hAnsi="华文宋体" w:eastAsia="仿宋_GB2312"/>
                  <w:kern w:val="2"/>
                  <w:sz w:val="24"/>
                  <w:szCs w:val="24"/>
                  <w:lang w:val="en-US" w:eastAsia="zh-CN"/>
                </w:rPr>
                <w:t>八、其他需要说明的问题..................................................22</w:t>
              </w:r>
            </w:p>
            <w:p w14:paraId="6BDE0B10">
              <w:r>
                <w:fldChar w:fldCharType="end"/>
              </w:r>
            </w:p>
          </w:sdtContent>
        </w:sdt>
      </w:sdtContent>
    </w:sdt>
    <w:p w14:paraId="6AA02051">
      <w:bookmarkStart w:id="0" w:name="_Toc3135"/>
      <w:bookmarkEnd w:id="0"/>
      <w:bookmarkStart w:id="1" w:name="_Toc2722"/>
      <w:bookmarkEnd w:id="1"/>
      <w:bookmarkStart w:id="2" w:name="_Toc9112"/>
      <w:bookmarkEnd w:id="2"/>
      <w:r>
        <w:rPr>
          <w:rFonts w:hint="eastAsia"/>
        </w:rPr>
        <w:t>摘要</w:t>
      </w:r>
    </w:p>
    <w:p w14:paraId="6FF274ED">
      <w:pPr>
        <w:ind w:firstLine="480" w:firstLineChars="200"/>
        <w:jc w:val="left"/>
        <w:rPr>
          <w:b w:val="0"/>
          <w:sz w:val="24"/>
          <w:szCs w:val="24"/>
        </w:rPr>
      </w:pPr>
      <w:r>
        <w:rPr>
          <w:rFonts w:hint="eastAsia"/>
          <w:b w:val="0"/>
          <w:sz w:val="24"/>
          <w:szCs w:val="24"/>
        </w:rPr>
        <w:t>本项目主要建设内容：</w:t>
      </w:r>
      <w:bookmarkStart w:id="3" w:name="_Toc45394915"/>
      <w:r>
        <w:rPr>
          <w:rFonts w:hint="eastAsia"/>
          <w:b w:val="0"/>
          <w:sz w:val="24"/>
          <w:szCs w:val="24"/>
        </w:rPr>
        <w:t>根据《中华人民共和国食品法》《关于进一步做好预防性健康体检等三项工作的通知》（国卫财务发[2017]61号）《公共场所卫生管理条例》及其实施细则《化妆品卫生监督条例》、《生活饮用水卫生监督条例》等法律法规提出的“逐步实现公共卫生服务于医疗服务分开，按照科学布局，方便群众的原则，将预防性体检工作过渡到由符合条件的医疗机构承担”精神、规定的需办理从业人员预防性体检健康证明的人群。</w:t>
      </w:r>
    </w:p>
    <w:p w14:paraId="47200029">
      <w:pPr>
        <w:ind w:firstLine="480" w:firstLineChars="200"/>
        <w:jc w:val="left"/>
        <w:rPr>
          <w:b w:val="0"/>
          <w:sz w:val="24"/>
          <w:szCs w:val="24"/>
        </w:rPr>
      </w:pPr>
      <w:r>
        <w:rPr>
          <w:rFonts w:hint="eastAsia"/>
          <w:b w:val="0"/>
          <w:sz w:val="24"/>
          <w:szCs w:val="24"/>
        </w:rPr>
        <w:t>建设具体任务为：</w:t>
      </w:r>
    </w:p>
    <w:p w14:paraId="25B575F2">
      <w:pPr>
        <w:ind w:firstLine="480" w:firstLineChars="200"/>
        <w:jc w:val="left"/>
        <w:rPr>
          <w:b w:val="0"/>
          <w:sz w:val="24"/>
          <w:szCs w:val="24"/>
        </w:rPr>
      </w:pPr>
      <w:r>
        <w:rPr>
          <w:rFonts w:hint="eastAsia"/>
          <w:b w:val="0"/>
          <w:sz w:val="24"/>
          <w:szCs w:val="24"/>
        </w:rPr>
        <w:t>一、服务的目标：辖区内从事食品和生活饮用水生产经营人员；直接从事化妆品和消毒生产的人员；从事药品、保健品销售人员；公共场所直接为顾客服务人员。</w:t>
      </w:r>
    </w:p>
    <w:p w14:paraId="567D09AB">
      <w:pPr>
        <w:widowControl w:val="0"/>
        <w:shd w:val="clear" w:color="auto" w:fill="auto"/>
        <w:spacing w:line="560" w:lineRule="exact"/>
        <w:ind w:firstLine="480" w:firstLineChars="200"/>
        <w:jc w:val="both"/>
        <w:rPr>
          <w:b w:val="0"/>
          <w:sz w:val="24"/>
          <w:szCs w:val="24"/>
        </w:rPr>
      </w:pPr>
      <w:bookmarkStart w:id="4" w:name="_Toc1922"/>
      <w:bookmarkStart w:id="5" w:name="_Toc32573"/>
      <w:r>
        <w:rPr>
          <w:rFonts w:hint="eastAsia"/>
          <w:b w:val="0"/>
          <w:sz w:val="24"/>
          <w:szCs w:val="24"/>
        </w:rPr>
        <w:t>1、从业预防性体检人员要求：</w:t>
      </w:r>
      <w:bookmarkEnd w:id="4"/>
      <w:bookmarkEnd w:id="5"/>
    </w:p>
    <w:p w14:paraId="12134A7B">
      <w:pPr>
        <w:widowControl w:val="0"/>
        <w:shd w:val="clear" w:color="auto" w:fill="auto"/>
        <w:spacing w:line="560" w:lineRule="exact"/>
        <w:ind w:firstLine="480" w:firstLineChars="200"/>
        <w:jc w:val="both"/>
        <w:rPr>
          <w:b w:val="0"/>
          <w:sz w:val="24"/>
          <w:szCs w:val="24"/>
        </w:rPr>
      </w:pPr>
      <w:r>
        <w:rPr>
          <w:rFonts w:hint="eastAsia"/>
          <w:b w:val="0"/>
          <w:sz w:val="24"/>
          <w:szCs w:val="24"/>
        </w:rPr>
        <w:t>1.1从业人员本人身份证原件；</w:t>
      </w:r>
    </w:p>
    <w:p w14:paraId="14F4E051">
      <w:pPr>
        <w:widowControl w:val="0"/>
        <w:shd w:val="clear" w:color="auto" w:fill="auto"/>
        <w:spacing w:line="560" w:lineRule="exact"/>
        <w:ind w:firstLine="480" w:firstLineChars="200"/>
        <w:jc w:val="both"/>
        <w:rPr>
          <w:b w:val="0"/>
          <w:sz w:val="24"/>
          <w:szCs w:val="24"/>
        </w:rPr>
      </w:pPr>
      <w:r>
        <w:rPr>
          <w:rFonts w:hint="eastAsia"/>
          <w:b w:val="0"/>
          <w:sz w:val="24"/>
          <w:szCs w:val="24"/>
        </w:rPr>
        <w:t>1.2食品公共场所等从业人员免费健康检查告知单（在各乡、镇市场监督管理所或县行政服务中心市场监督管理局、卫健委窗口领取）或法定代表人（负责人）的营业执照副本或相关许可证副本复印件（加盖本单位公章）；</w:t>
      </w:r>
    </w:p>
    <w:p w14:paraId="724A9BB5">
      <w:pPr>
        <w:widowControl w:val="0"/>
        <w:shd w:val="clear" w:color="auto" w:fill="auto"/>
        <w:spacing w:line="560" w:lineRule="exact"/>
        <w:ind w:firstLine="480" w:firstLineChars="200"/>
        <w:jc w:val="both"/>
        <w:rPr>
          <w:b w:val="0"/>
          <w:sz w:val="24"/>
          <w:szCs w:val="24"/>
        </w:rPr>
      </w:pPr>
      <w:r>
        <w:rPr>
          <w:rFonts w:hint="eastAsia"/>
          <w:b w:val="0"/>
          <w:sz w:val="24"/>
          <w:szCs w:val="24"/>
        </w:rPr>
        <w:t>1.3大型企业从业人员健康体检需提供从业人员名册病加盖单位公章及从业人员本人身份证；</w:t>
      </w:r>
    </w:p>
    <w:p w14:paraId="523E277C">
      <w:pPr>
        <w:widowControl w:val="0"/>
        <w:shd w:val="clear" w:color="auto" w:fill="auto"/>
        <w:spacing w:line="560" w:lineRule="exact"/>
        <w:ind w:firstLine="480" w:firstLineChars="200"/>
        <w:jc w:val="both"/>
        <w:rPr>
          <w:b w:val="0"/>
          <w:sz w:val="24"/>
          <w:szCs w:val="24"/>
        </w:rPr>
      </w:pPr>
      <w:bookmarkStart w:id="6" w:name="_Toc28845"/>
      <w:bookmarkStart w:id="7" w:name="_Toc28222"/>
      <w:r>
        <w:rPr>
          <w:rFonts w:hint="eastAsia"/>
          <w:b w:val="0"/>
          <w:sz w:val="24"/>
          <w:szCs w:val="24"/>
        </w:rPr>
        <w:t>2、定点医疗机构要求：</w:t>
      </w:r>
      <w:bookmarkEnd w:id="6"/>
      <w:bookmarkEnd w:id="7"/>
    </w:p>
    <w:p w14:paraId="4642F965">
      <w:pPr>
        <w:widowControl w:val="0"/>
        <w:shd w:val="clear" w:color="auto" w:fill="auto"/>
        <w:spacing w:line="560" w:lineRule="exact"/>
        <w:ind w:firstLine="480" w:firstLineChars="200"/>
        <w:jc w:val="both"/>
        <w:rPr>
          <w:b w:val="0"/>
          <w:sz w:val="24"/>
          <w:szCs w:val="24"/>
        </w:rPr>
      </w:pPr>
      <w:r>
        <w:rPr>
          <w:rFonts w:hint="eastAsia"/>
          <w:b w:val="0"/>
          <w:sz w:val="24"/>
          <w:szCs w:val="24"/>
        </w:rPr>
        <w:t>2.1定点医疗机构根据从业人员预防性体检需求，由县卫健委和市场局审核，定点医疗机构应根据健康检查对象和内容确定相应的专业人员参加预防性健康检查工作。主检人员应由主治（管）医（技）师以上或相应职称的专业人员担任；</w:t>
      </w:r>
    </w:p>
    <w:p w14:paraId="538405B6">
      <w:pPr>
        <w:widowControl w:val="0"/>
        <w:shd w:val="clear" w:color="auto" w:fill="auto"/>
        <w:spacing w:line="560" w:lineRule="exact"/>
        <w:ind w:firstLine="480" w:firstLineChars="200"/>
        <w:jc w:val="both"/>
        <w:rPr>
          <w:b w:val="0"/>
          <w:sz w:val="24"/>
          <w:szCs w:val="24"/>
        </w:rPr>
      </w:pPr>
      <w:r>
        <w:rPr>
          <w:rFonts w:hint="eastAsia"/>
          <w:b w:val="0"/>
          <w:sz w:val="24"/>
          <w:szCs w:val="24"/>
        </w:rPr>
        <w:t>2.2加强内部管理，制定完善规章制度和科学工作流程，在醒目位置公开免费从业人员预防性体检检查对象、确保健康检查流程、健康检查项目和健康证领取程序等信息；</w:t>
      </w:r>
    </w:p>
    <w:p w14:paraId="31E2C5CF">
      <w:pPr>
        <w:widowControl w:val="0"/>
        <w:shd w:val="clear" w:color="auto" w:fill="auto"/>
        <w:spacing w:line="560" w:lineRule="exact"/>
        <w:ind w:firstLine="480" w:firstLineChars="200"/>
        <w:jc w:val="both"/>
        <w:rPr>
          <w:b w:val="0"/>
          <w:sz w:val="24"/>
          <w:szCs w:val="24"/>
        </w:rPr>
      </w:pPr>
      <w:r>
        <w:rPr>
          <w:rFonts w:hint="eastAsia"/>
          <w:b w:val="0"/>
          <w:sz w:val="24"/>
          <w:szCs w:val="24"/>
        </w:rPr>
        <w:t>2.3认真核实从业人员预防性体检人员身份，及时向被检者告知健康检查结果，对明确用人单位的，还应及时通知用人单位，病充分保护受检者的隐私；</w:t>
      </w:r>
    </w:p>
    <w:p w14:paraId="17019674">
      <w:pPr>
        <w:widowControl w:val="0"/>
        <w:shd w:val="clear" w:color="auto" w:fill="auto"/>
        <w:spacing w:line="560" w:lineRule="exact"/>
        <w:ind w:firstLine="480" w:firstLineChars="200"/>
        <w:jc w:val="both"/>
        <w:rPr>
          <w:b w:val="0"/>
          <w:sz w:val="24"/>
          <w:szCs w:val="24"/>
        </w:rPr>
      </w:pPr>
      <w:r>
        <w:rPr>
          <w:rFonts w:hint="eastAsia"/>
          <w:b w:val="0"/>
          <w:sz w:val="24"/>
          <w:szCs w:val="24"/>
        </w:rPr>
        <w:t>2.4从业人员预防性体检健康检查原始资料作为档案保存2年以上；</w:t>
      </w:r>
    </w:p>
    <w:p w14:paraId="5E61E66C">
      <w:pPr>
        <w:widowControl w:val="0"/>
        <w:shd w:val="clear" w:color="auto" w:fill="auto"/>
        <w:spacing w:line="560" w:lineRule="exact"/>
        <w:ind w:firstLine="480" w:firstLineChars="200"/>
        <w:jc w:val="both"/>
        <w:rPr>
          <w:b w:val="0"/>
          <w:sz w:val="24"/>
          <w:szCs w:val="24"/>
        </w:rPr>
      </w:pPr>
      <w:r>
        <w:rPr>
          <w:rFonts w:hint="eastAsia"/>
          <w:b w:val="0"/>
          <w:sz w:val="24"/>
          <w:szCs w:val="24"/>
        </w:rPr>
        <w:t>2.4健康体检中查出范患有手癣、指甲癣、手部湿疹、发生于手部的银屑病或者鳞屑、渗出性皮肤病以及患有痢疾、伤寒、病毒性肝炎、活动性肺结核等传染病人员，不得发放《健康合格证》。</w:t>
      </w:r>
    </w:p>
    <w:p w14:paraId="16D71411">
      <w:pPr>
        <w:widowControl w:val="0"/>
        <w:shd w:val="clear" w:color="auto" w:fill="auto"/>
        <w:spacing w:line="560" w:lineRule="exact"/>
        <w:ind w:firstLine="480" w:firstLineChars="200"/>
        <w:jc w:val="both"/>
        <w:rPr>
          <w:b w:val="0"/>
          <w:sz w:val="24"/>
          <w:szCs w:val="24"/>
        </w:rPr>
      </w:pPr>
      <w:r>
        <w:rPr>
          <w:rFonts w:hint="eastAsia"/>
          <w:b w:val="0"/>
          <w:sz w:val="24"/>
          <w:szCs w:val="24"/>
        </w:rPr>
        <w:t>2.5对发现的传染病病例按照传染病疫情报告制度进行上报、收集、汇总。</w:t>
      </w:r>
    </w:p>
    <w:p w14:paraId="1455198E">
      <w:pPr>
        <w:widowControl w:val="0"/>
        <w:shd w:val="clear" w:color="auto" w:fill="auto"/>
        <w:spacing w:line="560" w:lineRule="exact"/>
        <w:ind w:firstLine="480" w:firstLineChars="200"/>
        <w:jc w:val="both"/>
        <w:rPr>
          <w:b w:val="0"/>
          <w:sz w:val="24"/>
          <w:szCs w:val="24"/>
        </w:rPr>
      </w:pPr>
      <w:r>
        <w:rPr>
          <w:rFonts w:hint="eastAsia"/>
          <w:b w:val="0"/>
          <w:sz w:val="24"/>
          <w:szCs w:val="24"/>
        </w:rPr>
        <w:t>二、服务的内容：</w:t>
      </w:r>
      <w:bookmarkStart w:id="8" w:name="_Toc22753"/>
      <w:r>
        <w:rPr>
          <w:rFonts w:hint="eastAsia"/>
          <w:b w:val="0"/>
          <w:sz w:val="24"/>
          <w:szCs w:val="24"/>
        </w:rPr>
        <w:t>根据相关法律法规，从业人员预防性体检的项目：以往病史，肝、脾触诊，皮肤检查、胸部透视，痢疾、伤寒带菌检查，肝功能检查，发现谷丙转氨酶异常的应当进行甲型肝炎抗体测定、戊型肝炎抗体测定（自费项目）</w:t>
      </w:r>
    </w:p>
    <w:p w14:paraId="6CF7C327">
      <w:pPr>
        <w:widowControl w:val="0"/>
        <w:shd w:val="clear" w:color="auto" w:fill="auto"/>
        <w:spacing w:line="560" w:lineRule="exact"/>
        <w:ind w:firstLine="480" w:firstLineChars="200"/>
        <w:jc w:val="both"/>
        <w:rPr>
          <w:b w:val="0"/>
          <w:sz w:val="24"/>
          <w:szCs w:val="24"/>
        </w:rPr>
      </w:pPr>
      <w:r>
        <w:rPr>
          <w:rFonts w:hint="eastAsia"/>
          <w:b w:val="0"/>
          <w:sz w:val="24"/>
          <w:szCs w:val="24"/>
        </w:rPr>
        <w:t>三、项目总投资及资金筹措</w:t>
      </w:r>
      <w:bookmarkEnd w:id="3"/>
      <w:bookmarkEnd w:id="8"/>
    </w:p>
    <w:p w14:paraId="1DC23F5E">
      <w:pPr>
        <w:widowControl w:val="0"/>
        <w:shd w:val="clear" w:color="auto" w:fill="auto"/>
        <w:spacing w:line="560" w:lineRule="exact"/>
        <w:ind w:firstLine="480" w:firstLineChars="200"/>
        <w:jc w:val="both"/>
        <w:rPr>
          <w:b w:val="0"/>
          <w:sz w:val="24"/>
          <w:szCs w:val="24"/>
        </w:rPr>
      </w:pPr>
      <w:r>
        <w:rPr>
          <w:rFonts w:hint="eastAsia"/>
          <w:b w:val="0"/>
          <w:sz w:val="24"/>
          <w:szCs w:val="24"/>
        </w:rPr>
        <w:t>项目总投资</w:t>
      </w:r>
      <w:r>
        <w:rPr>
          <w:b w:val="0"/>
          <w:sz w:val="24"/>
          <w:szCs w:val="24"/>
        </w:rPr>
        <w:t>46.75</w:t>
      </w:r>
      <w:r>
        <w:rPr>
          <w:rFonts w:hint="eastAsia"/>
          <w:b w:val="0"/>
          <w:sz w:val="24"/>
          <w:szCs w:val="24"/>
        </w:rPr>
        <w:t>万元，202</w:t>
      </w:r>
      <w:r>
        <w:rPr>
          <w:b w:val="0"/>
          <w:sz w:val="24"/>
          <w:szCs w:val="24"/>
        </w:rPr>
        <w:t>3</w:t>
      </w:r>
      <w:r>
        <w:rPr>
          <w:rFonts w:hint="eastAsia"/>
          <w:b w:val="0"/>
          <w:sz w:val="24"/>
          <w:szCs w:val="24"/>
        </w:rPr>
        <w:t>年付给相关</w:t>
      </w:r>
      <w:r>
        <w:rPr>
          <w:b w:val="0"/>
          <w:sz w:val="24"/>
          <w:szCs w:val="24"/>
        </w:rPr>
        <w:t>实施单位、公司等</w:t>
      </w:r>
      <w:r>
        <w:rPr>
          <w:rFonts w:hint="eastAsia"/>
          <w:b w:val="0"/>
          <w:sz w:val="24"/>
          <w:szCs w:val="24"/>
        </w:rPr>
        <w:t>合计</w:t>
      </w:r>
      <w:r>
        <w:rPr>
          <w:b w:val="0"/>
          <w:sz w:val="24"/>
          <w:szCs w:val="24"/>
        </w:rPr>
        <w:t>45.25</w:t>
      </w:r>
      <w:r>
        <w:rPr>
          <w:rFonts w:hint="eastAsia"/>
          <w:b w:val="0"/>
          <w:sz w:val="24"/>
          <w:szCs w:val="24"/>
        </w:rPr>
        <w:t>万元。</w:t>
      </w:r>
    </w:p>
    <w:p w14:paraId="39A1B1DD">
      <w:pPr>
        <w:widowControl w:val="0"/>
        <w:shd w:val="clear" w:color="auto" w:fill="auto"/>
        <w:spacing w:line="560" w:lineRule="exact"/>
        <w:ind w:firstLine="480" w:firstLineChars="200"/>
        <w:jc w:val="both"/>
        <w:rPr>
          <w:b w:val="0"/>
          <w:sz w:val="24"/>
          <w:szCs w:val="24"/>
        </w:rPr>
      </w:pPr>
      <w:r>
        <w:rPr>
          <w:rFonts w:hint="eastAsia"/>
          <w:b w:val="0"/>
          <w:sz w:val="24"/>
          <w:szCs w:val="24"/>
        </w:rPr>
        <w:t>项目总投资</w:t>
      </w:r>
      <w:r>
        <w:rPr>
          <w:b w:val="0"/>
          <w:sz w:val="24"/>
          <w:szCs w:val="24"/>
        </w:rPr>
        <w:t>46.75</w:t>
      </w:r>
      <w:r>
        <w:rPr>
          <w:rFonts w:hint="eastAsia"/>
          <w:b w:val="0"/>
          <w:sz w:val="24"/>
          <w:szCs w:val="24"/>
        </w:rPr>
        <w:t>万元。资金来源为县财政资金。</w:t>
      </w:r>
    </w:p>
    <w:p w14:paraId="0613A4BD">
      <w:pPr>
        <w:widowControl w:val="0"/>
        <w:shd w:val="clear" w:color="auto" w:fill="auto"/>
        <w:spacing w:line="560" w:lineRule="exact"/>
        <w:ind w:firstLine="480" w:firstLineChars="200"/>
        <w:jc w:val="both"/>
        <w:rPr>
          <w:b w:val="0"/>
          <w:sz w:val="24"/>
          <w:szCs w:val="24"/>
        </w:rPr>
      </w:pPr>
      <w:bookmarkStart w:id="9" w:name="_Toc45394916"/>
      <w:bookmarkStart w:id="10" w:name="_Toc19505"/>
      <w:bookmarkStart w:id="11" w:name="_Toc320086743"/>
      <w:r>
        <w:rPr>
          <w:rFonts w:hint="eastAsia"/>
          <w:b w:val="0"/>
          <w:sz w:val="24"/>
          <w:szCs w:val="24"/>
        </w:rPr>
        <w:t>3.1建设时间</w:t>
      </w:r>
      <w:bookmarkEnd w:id="9"/>
      <w:bookmarkEnd w:id="10"/>
      <w:bookmarkEnd w:id="11"/>
    </w:p>
    <w:p w14:paraId="1A0D352F">
      <w:pPr>
        <w:widowControl w:val="0"/>
        <w:shd w:val="clear" w:color="auto" w:fill="auto"/>
        <w:spacing w:line="560" w:lineRule="exact"/>
        <w:ind w:firstLine="480" w:firstLineChars="200"/>
        <w:jc w:val="both"/>
        <w:rPr>
          <w:b w:val="0"/>
          <w:sz w:val="24"/>
          <w:szCs w:val="24"/>
        </w:rPr>
      </w:pPr>
      <w:r>
        <w:rPr>
          <w:rFonts w:hint="eastAsia"/>
          <w:b w:val="0"/>
          <w:sz w:val="24"/>
          <w:szCs w:val="24"/>
        </w:rPr>
        <w:t>项目建设时间：</w:t>
      </w:r>
      <w:r>
        <w:rPr>
          <w:b w:val="0"/>
          <w:sz w:val="24"/>
          <w:szCs w:val="24"/>
        </w:rPr>
        <w:t>2023</w:t>
      </w:r>
      <w:r>
        <w:rPr>
          <w:rFonts w:hint="eastAsia"/>
          <w:b w:val="0"/>
          <w:sz w:val="24"/>
          <w:szCs w:val="24"/>
        </w:rPr>
        <w:t>年</w:t>
      </w:r>
      <w:r>
        <w:rPr>
          <w:b w:val="0"/>
          <w:sz w:val="24"/>
          <w:szCs w:val="24"/>
        </w:rPr>
        <w:t>12</w:t>
      </w:r>
      <w:r>
        <w:rPr>
          <w:rFonts w:hint="eastAsia"/>
          <w:b w:val="0"/>
          <w:sz w:val="24"/>
          <w:szCs w:val="24"/>
        </w:rPr>
        <w:t>月</w:t>
      </w:r>
      <w:r>
        <w:rPr>
          <w:b w:val="0"/>
          <w:sz w:val="24"/>
          <w:szCs w:val="24"/>
        </w:rPr>
        <w:t>31</w:t>
      </w:r>
      <w:r>
        <w:rPr>
          <w:rFonts w:hint="eastAsia"/>
          <w:b w:val="0"/>
          <w:sz w:val="24"/>
          <w:szCs w:val="24"/>
        </w:rPr>
        <w:t>日前完成。</w:t>
      </w:r>
    </w:p>
    <w:p w14:paraId="7A10F3E7">
      <w:pPr>
        <w:widowControl w:val="0"/>
        <w:shd w:val="clear" w:color="auto" w:fill="auto"/>
        <w:spacing w:line="560" w:lineRule="exact"/>
        <w:ind w:firstLine="480" w:firstLineChars="200"/>
        <w:jc w:val="both"/>
        <w:rPr>
          <w:b w:val="0"/>
          <w:sz w:val="24"/>
          <w:szCs w:val="24"/>
        </w:rPr>
      </w:pPr>
      <w:bookmarkStart w:id="12" w:name="_Toc14795"/>
      <w:bookmarkStart w:id="13" w:name="_Toc45394917"/>
      <w:r>
        <w:rPr>
          <w:rFonts w:hint="eastAsia"/>
          <w:b w:val="0"/>
          <w:sz w:val="24"/>
          <w:szCs w:val="24"/>
        </w:rPr>
        <w:t>3.2结论</w:t>
      </w:r>
      <w:bookmarkEnd w:id="12"/>
      <w:bookmarkEnd w:id="13"/>
    </w:p>
    <w:p w14:paraId="0B78BBC2">
      <w:pPr>
        <w:widowControl w:val="0"/>
        <w:shd w:val="clear" w:color="auto" w:fill="auto"/>
        <w:spacing w:line="560" w:lineRule="exact"/>
        <w:ind w:firstLine="480" w:firstLineChars="200"/>
        <w:jc w:val="both"/>
        <w:rPr>
          <w:b w:val="0"/>
          <w:sz w:val="24"/>
          <w:szCs w:val="24"/>
        </w:rPr>
      </w:pPr>
      <w:r>
        <w:rPr>
          <w:rFonts w:hint="eastAsia"/>
          <w:b w:val="0"/>
          <w:sz w:val="24"/>
          <w:szCs w:val="24"/>
        </w:rPr>
        <w:t>本项目的建设全面落实了习近平新时代中国特色社会主义思想和党的十九大精神，积极推进“以人为本”理念，通过对餐饮服务行业、公共服务行业从业人员进行预防性健康检查，发现患有痢疾、伤寒、病毒性肝炎、活动期肺结核、化脓性、渗出性或接触性皮肤病等不适合从事该行业的人员立即调离直接为顾客服务的工作，治愈后方可恢复从事原工作。以此创造良好的食品和公共场所卫生条件，减少疾病通过餐饮、公共服务行业对社会人群带来的健康危害，预防疾病的传播，保护广大人民群众身体健康。对完善县城功能、提升县城健康水平、改善县城卫生环境及促进县城经济社会全面协调可持续发展，具有重要的现实和历史意义。</w:t>
      </w:r>
    </w:p>
    <w:p w14:paraId="78F7B2BD">
      <w:pPr>
        <w:widowControl w:val="0"/>
        <w:shd w:val="clear" w:color="auto" w:fill="auto"/>
        <w:spacing w:line="560" w:lineRule="exact"/>
        <w:ind w:firstLine="480" w:firstLineChars="200"/>
        <w:jc w:val="both"/>
        <w:rPr>
          <w:b w:val="0"/>
          <w:sz w:val="24"/>
          <w:szCs w:val="24"/>
        </w:rPr>
      </w:pPr>
      <w:bookmarkStart w:id="14" w:name="_Toc16658"/>
      <w:r>
        <w:rPr>
          <w:rFonts w:hint="eastAsia"/>
          <w:b w:val="0"/>
          <w:sz w:val="24"/>
          <w:szCs w:val="24"/>
        </w:rPr>
        <w:t>四、绩效评价工作情况及评价结论</w:t>
      </w:r>
      <w:bookmarkEnd w:id="14"/>
    </w:p>
    <w:p w14:paraId="776A65FE">
      <w:pPr>
        <w:widowControl w:val="0"/>
        <w:shd w:val="clear" w:color="auto" w:fill="auto"/>
        <w:spacing w:line="560" w:lineRule="exact"/>
        <w:ind w:firstLine="480" w:firstLineChars="200"/>
        <w:jc w:val="both"/>
        <w:rPr>
          <w:b w:val="0"/>
          <w:sz w:val="24"/>
          <w:szCs w:val="24"/>
        </w:rPr>
      </w:pPr>
      <w:bookmarkStart w:id="15" w:name="_Toc2595"/>
      <w:r>
        <w:rPr>
          <w:rFonts w:hint="eastAsia"/>
          <w:b w:val="0"/>
          <w:sz w:val="24"/>
          <w:szCs w:val="24"/>
        </w:rPr>
        <w:t>（一）评价范围及目的</w:t>
      </w:r>
      <w:bookmarkEnd w:id="15"/>
    </w:p>
    <w:p w14:paraId="2B7A7855">
      <w:pPr>
        <w:widowControl w:val="0"/>
        <w:shd w:val="clear" w:color="auto" w:fill="auto"/>
        <w:spacing w:line="560" w:lineRule="exact"/>
        <w:ind w:firstLine="480" w:firstLineChars="200"/>
        <w:jc w:val="both"/>
        <w:rPr>
          <w:b w:val="0"/>
          <w:sz w:val="24"/>
          <w:szCs w:val="24"/>
        </w:rPr>
      </w:pPr>
      <w:r>
        <w:rPr>
          <w:rFonts w:hint="eastAsia"/>
          <w:b w:val="0"/>
          <w:sz w:val="24"/>
          <w:szCs w:val="24"/>
        </w:rPr>
        <w:t>本次评价的范围是202</w:t>
      </w:r>
      <w:r>
        <w:rPr>
          <w:b w:val="0"/>
          <w:sz w:val="24"/>
          <w:szCs w:val="24"/>
        </w:rPr>
        <w:t>3</w:t>
      </w:r>
      <w:r>
        <w:rPr>
          <w:rFonts w:hint="eastAsia"/>
          <w:b w:val="0"/>
          <w:sz w:val="24"/>
          <w:szCs w:val="24"/>
        </w:rPr>
        <w:t>年从业人员预防性体检经费资金，评价其绩效目标设定情况，资金投入和使用情况，为实现设定的绩效目标所制定的制度、采取的措施等，以及绩效目标最终的实现程度及效果。通过评价，深入了解202</w:t>
      </w:r>
      <w:r>
        <w:rPr>
          <w:b w:val="0"/>
          <w:sz w:val="24"/>
          <w:szCs w:val="24"/>
        </w:rPr>
        <w:t>3</w:t>
      </w:r>
      <w:r>
        <w:rPr>
          <w:rFonts w:hint="eastAsia"/>
          <w:b w:val="0"/>
          <w:sz w:val="24"/>
          <w:szCs w:val="24"/>
        </w:rPr>
        <w:t>年从业人员预防性体检经费的决策、产出、过程和效益方面的详细情况，总结项目资金使用中的主要经验及存在问题，提出有针对性和可操作性的政策建议，不断提高财政资金管理水平和使用效益，为预算安排提供重要依据。</w:t>
      </w:r>
    </w:p>
    <w:p w14:paraId="4643B3F9">
      <w:pPr>
        <w:widowControl w:val="0"/>
        <w:shd w:val="clear" w:color="auto" w:fill="auto"/>
        <w:spacing w:line="560" w:lineRule="exact"/>
        <w:ind w:firstLine="480" w:firstLineChars="200"/>
        <w:jc w:val="both"/>
        <w:rPr>
          <w:b w:val="0"/>
          <w:sz w:val="24"/>
          <w:szCs w:val="24"/>
        </w:rPr>
      </w:pPr>
      <w:bookmarkStart w:id="16" w:name="_Toc26786"/>
      <w:r>
        <w:rPr>
          <w:rFonts w:hint="eastAsia"/>
          <w:b w:val="0"/>
          <w:sz w:val="24"/>
          <w:szCs w:val="24"/>
        </w:rPr>
        <w:t>（二）评价指标体系</w:t>
      </w:r>
      <w:bookmarkEnd w:id="16"/>
    </w:p>
    <w:p w14:paraId="292F88CB">
      <w:pPr>
        <w:widowControl w:val="0"/>
        <w:shd w:val="clear" w:color="auto" w:fill="auto"/>
        <w:spacing w:line="560" w:lineRule="exact"/>
        <w:ind w:firstLine="480" w:firstLineChars="200"/>
        <w:jc w:val="both"/>
        <w:rPr>
          <w:b w:val="0"/>
          <w:sz w:val="24"/>
          <w:szCs w:val="24"/>
        </w:rPr>
      </w:pPr>
      <w:r>
        <w:rPr>
          <w:rFonts w:hint="eastAsia"/>
          <w:b w:val="0"/>
          <w:sz w:val="24"/>
          <w:szCs w:val="24"/>
        </w:rPr>
        <w:t>本次绩效评价指标体系包括项目决策、项目过程、项目产出、项目效益 4 个一级指标，满分为 100 分。其中：项目决策（</w:t>
      </w:r>
      <w:r>
        <w:rPr>
          <w:rFonts w:hint="eastAsia"/>
          <w:b w:val="0"/>
          <w:sz w:val="24"/>
          <w:szCs w:val="24"/>
          <w:lang w:val="en-US" w:eastAsia="zh-CN"/>
        </w:rPr>
        <w:t>20</w:t>
      </w:r>
      <w:r>
        <w:rPr>
          <w:rFonts w:hint="eastAsia"/>
          <w:b w:val="0"/>
          <w:sz w:val="24"/>
          <w:szCs w:val="24"/>
        </w:rPr>
        <w:t>分）主要评价项目立项、绩效目标、资金投入情况，重点关注项目绩效目标设定情况、预算编制和资金分配情况。项目过程（</w:t>
      </w:r>
      <w:r>
        <w:rPr>
          <w:rFonts w:hint="eastAsia"/>
          <w:b w:val="0"/>
          <w:sz w:val="24"/>
          <w:szCs w:val="24"/>
          <w:lang w:val="en-US" w:eastAsia="zh-CN"/>
        </w:rPr>
        <w:t>20</w:t>
      </w:r>
      <w:r>
        <w:rPr>
          <w:rFonts w:hint="eastAsia"/>
          <w:b w:val="0"/>
          <w:sz w:val="24"/>
          <w:szCs w:val="24"/>
        </w:rPr>
        <w:t>分）资金管理和组织实施情况，其中资金方面重点关注资金支出的合法合规性和绩效自评情况，组织实施重点关注管理制度的健全性和制度执行的有效性的情况。项目产出（</w:t>
      </w:r>
      <w:r>
        <w:rPr>
          <w:rFonts w:hint="eastAsia"/>
          <w:b w:val="0"/>
          <w:sz w:val="24"/>
          <w:szCs w:val="24"/>
          <w:lang w:val="en-US" w:eastAsia="zh-CN"/>
        </w:rPr>
        <w:t>30</w:t>
      </w:r>
      <w:r>
        <w:rPr>
          <w:rFonts w:hint="eastAsia"/>
          <w:b w:val="0"/>
          <w:sz w:val="24"/>
          <w:szCs w:val="24"/>
        </w:rPr>
        <w:t>分）主要评价项目在本年度的实际产出数量、产出质量、产出成本等产出完成情况，根据项目申报内容，重点核实产出数量是否达到设定目标、产出质量、产出成本是否符合设定标准。项目效益（</w:t>
      </w:r>
      <w:r>
        <w:rPr>
          <w:rFonts w:hint="eastAsia"/>
          <w:b w:val="0"/>
          <w:sz w:val="24"/>
          <w:szCs w:val="24"/>
          <w:lang w:val="en-US" w:eastAsia="zh-CN"/>
        </w:rPr>
        <w:t>30</w:t>
      </w:r>
      <w:r>
        <w:rPr>
          <w:rFonts w:hint="eastAsia"/>
          <w:b w:val="0"/>
          <w:sz w:val="24"/>
          <w:szCs w:val="24"/>
        </w:rPr>
        <w:t>分）主要评价社会效益、经济效益、生态效益、可持续影响及服务对象满意度情况，重点关注项目在社会发展方面发挥的实际作用情况和社会公众等服务对象的满意度情况。</w:t>
      </w:r>
    </w:p>
    <w:p w14:paraId="77E6E927">
      <w:pPr>
        <w:widowControl w:val="0"/>
        <w:shd w:val="clear" w:color="auto" w:fill="auto"/>
        <w:spacing w:line="560" w:lineRule="exact"/>
        <w:ind w:firstLine="480" w:firstLineChars="200"/>
        <w:jc w:val="both"/>
        <w:rPr>
          <w:b w:val="0"/>
          <w:sz w:val="24"/>
          <w:szCs w:val="24"/>
        </w:rPr>
      </w:pPr>
      <w:bookmarkStart w:id="17" w:name="_Toc2560"/>
      <w:r>
        <w:rPr>
          <w:rFonts w:hint="eastAsia"/>
          <w:b w:val="0"/>
          <w:sz w:val="24"/>
          <w:szCs w:val="24"/>
        </w:rPr>
        <w:t>（三）评价方法与实施</w:t>
      </w:r>
      <w:bookmarkEnd w:id="17"/>
    </w:p>
    <w:p w14:paraId="493A2946">
      <w:pPr>
        <w:widowControl w:val="0"/>
        <w:shd w:val="clear" w:color="auto" w:fill="auto"/>
        <w:spacing w:line="560" w:lineRule="exact"/>
        <w:ind w:firstLine="480" w:firstLineChars="200"/>
        <w:jc w:val="both"/>
        <w:rPr>
          <w:b w:val="0"/>
          <w:sz w:val="24"/>
          <w:szCs w:val="24"/>
        </w:rPr>
      </w:pPr>
      <w:r>
        <w:rPr>
          <w:rFonts w:hint="eastAsia"/>
          <w:b w:val="0"/>
          <w:sz w:val="24"/>
          <w:szCs w:val="24"/>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14:paraId="203B7E7F">
      <w:pPr>
        <w:widowControl w:val="0"/>
        <w:shd w:val="clear" w:color="auto" w:fill="auto"/>
        <w:spacing w:line="560" w:lineRule="exact"/>
        <w:ind w:firstLine="480" w:firstLineChars="200"/>
        <w:jc w:val="both"/>
        <w:rPr>
          <w:b w:val="0"/>
          <w:sz w:val="24"/>
          <w:szCs w:val="24"/>
        </w:rPr>
      </w:pPr>
      <w:r>
        <w:rPr>
          <w:rFonts w:hint="eastAsia"/>
          <w:b w:val="0"/>
          <w:sz w:val="24"/>
          <w:szCs w:val="24"/>
        </w:rPr>
        <w:t>1.成本效益分析法，通过将投入与产出、效益进行关联性分析，评价绩效目标实现程度。</w:t>
      </w:r>
    </w:p>
    <w:p w14:paraId="2D8E8295">
      <w:pPr>
        <w:widowControl w:val="0"/>
        <w:shd w:val="clear" w:color="auto" w:fill="auto"/>
        <w:spacing w:line="560" w:lineRule="exact"/>
        <w:ind w:firstLine="480" w:firstLineChars="200"/>
        <w:jc w:val="both"/>
        <w:rPr>
          <w:b w:val="0"/>
          <w:sz w:val="24"/>
          <w:szCs w:val="24"/>
        </w:rPr>
      </w:pPr>
      <w:r>
        <w:rPr>
          <w:rFonts w:hint="eastAsia"/>
          <w:b w:val="0"/>
          <w:sz w:val="24"/>
          <w:szCs w:val="24"/>
        </w:rPr>
        <w:t>2.比较法，通过对绩效目标与实施效果、历史与当期情况的比较，综合分析绩效目标实现程度。</w:t>
      </w:r>
    </w:p>
    <w:p w14:paraId="0825185E">
      <w:pPr>
        <w:widowControl w:val="0"/>
        <w:shd w:val="clear" w:color="auto" w:fill="auto"/>
        <w:spacing w:line="560" w:lineRule="exact"/>
        <w:ind w:firstLine="480" w:firstLineChars="200"/>
        <w:jc w:val="both"/>
        <w:rPr>
          <w:b w:val="0"/>
          <w:sz w:val="24"/>
          <w:szCs w:val="24"/>
        </w:rPr>
      </w:pPr>
      <w:r>
        <w:rPr>
          <w:rFonts w:hint="eastAsia"/>
          <w:b w:val="0"/>
          <w:sz w:val="24"/>
          <w:szCs w:val="24"/>
        </w:rPr>
        <w:t>3.因素分析法，通过综合分析影响绩效目标实现、实施效果的内外因素，评价绩效目标实现程度。</w:t>
      </w:r>
    </w:p>
    <w:p w14:paraId="2F8EC7C9">
      <w:pPr>
        <w:widowControl w:val="0"/>
        <w:shd w:val="clear" w:color="auto" w:fill="auto"/>
        <w:spacing w:line="560" w:lineRule="exact"/>
        <w:ind w:firstLine="480" w:firstLineChars="200"/>
        <w:jc w:val="both"/>
        <w:rPr>
          <w:b w:val="0"/>
          <w:sz w:val="24"/>
          <w:szCs w:val="24"/>
        </w:rPr>
      </w:pPr>
      <w:r>
        <w:rPr>
          <w:rFonts w:hint="eastAsia"/>
          <w:b w:val="0"/>
          <w:sz w:val="24"/>
          <w:szCs w:val="24"/>
        </w:rPr>
        <w:t>4.公众评判法，通过公众问卷及抽样调查等对财政支出效果进行评判，评价绩效目标实现程度。</w:t>
      </w:r>
    </w:p>
    <w:p w14:paraId="488CF84D">
      <w:pPr>
        <w:widowControl w:val="0"/>
        <w:shd w:val="clear" w:color="auto" w:fill="auto"/>
        <w:spacing w:line="560" w:lineRule="exact"/>
        <w:ind w:firstLine="480" w:firstLineChars="200"/>
        <w:jc w:val="both"/>
        <w:rPr>
          <w:b w:val="0"/>
          <w:sz w:val="24"/>
          <w:szCs w:val="24"/>
        </w:rPr>
      </w:pPr>
      <w:bookmarkStart w:id="18" w:name="_Toc29062"/>
      <w:r>
        <w:rPr>
          <w:rFonts w:hint="eastAsia"/>
          <w:b w:val="0"/>
          <w:sz w:val="24"/>
          <w:szCs w:val="24"/>
        </w:rPr>
        <w:t>（四）评价结论</w:t>
      </w:r>
      <w:bookmarkEnd w:id="18"/>
    </w:p>
    <w:p w14:paraId="13ED8047">
      <w:pPr>
        <w:widowControl w:val="0"/>
        <w:shd w:val="clear" w:color="auto" w:fill="auto"/>
        <w:spacing w:line="560" w:lineRule="exact"/>
        <w:ind w:firstLine="480" w:firstLineChars="200"/>
        <w:jc w:val="both"/>
        <w:rPr>
          <w:b w:val="0"/>
          <w:sz w:val="24"/>
          <w:szCs w:val="24"/>
        </w:rPr>
      </w:pPr>
      <w:r>
        <w:rPr>
          <w:rFonts w:hint="eastAsia"/>
          <w:b w:val="0"/>
          <w:sz w:val="24"/>
          <w:szCs w:val="24"/>
        </w:rPr>
        <w:t>根据评价指标体系对本项目的绩效进行评价, 从业人员预防性体检项目综合评价得分</w:t>
      </w:r>
      <w:r>
        <w:rPr>
          <w:b w:val="0"/>
          <w:sz w:val="24"/>
          <w:szCs w:val="24"/>
        </w:rPr>
        <w:t>80.5</w:t>
      </w:r>
      <w:r>
        <w:rPr>
          <w:rFonts w:hint="eastAsia"/>
          <w:b w:val="0"/>
          <w:sz w:val="24"/>
          <w:szCs w:val="24"/>
        </w:rPr>
        <w:t>分，评价等级为“良”。202</w:t>
      </w:r>
      <w:r>
        <w:rPr>
          <w:b w:val="0"/>
          <w:sz w:val="24"/>
          <w:szCs w:val="24"/>
        </w:rPr>
        <w:t>3</w:t>
      </w:r>
      <w:r>
        <w:rPr>
          <w:rFonts w:hint="eastAsia"/>
          <w:b w:val="0"/>
          <w:sz w:val="24"/>
          <w:szCs w:val="24"/>
        </w:rPr>
        <w:t>年度从业人员预防性体检项目基本按照计划完成年度工作任务，实现了年度绩效目标，取得了较好的社会、经济和生态效益，服务对象满意度高。但是，项目还存在绩效指标设定不明确、细化程度不高等问题。</w:t>
      </w:r>
    </w:p>
    <w:p w14:paraId="62C95CA4">
      <w:pPr>
        <w:widowControl w:val="0"/>
        <w:shd w:val="clear" w:color="auto" w:fill="auto"/>
        <w:spacing w:line="560" w:lineRule="exact"/>
        <w:ind w:firstLine="480" w:firstLineChars="200"/>
        <w:jc w:val="both"/>
        <w:rPr>
          <w:b w:val="0"/>
          <w:sz w:val="24"/>
          <w:szCs w:val="24"/>
        </w:rPr>
      </w:pPr>
    </w:p>
    <w:p w14:paraId="09A425D7">
      <w:pPr>
        <w:widowControl w:val="0"/>
        <w:shd w:val="clear" w:color="auto" w:fill="auto"/>
        <w:spacing w:line="560" w:lineRule="exact"/>
        <w:ind w:firstLine="480" w:firstLineChars="200"/>
        <w:jc w:val="both"/>
        <w:rPr>
          <w:b w:val="0"/>
          <w:sz w:val="24"/>
          <w:szCs w:val="24"/>
        </w:rPr>
      </w:pPr>
    </w:p>
    <w:p w14:paraId="3A6D7217">
      <w:pPr>
        <w:widowControl w:val="0"/>
        <w:shd w:val="clear" w:color="auto" w:fill="auto"/>
        <w:spacing w:line="560" w:lineRule="exact"/>
        <w:ind w:firstLine="480" w:firstLineChars="200"/>
        <w:jc w:val="both"/>
        <w:rPr>
          <w:b w:val="0"/>
          <w:sz w:val="24"/>
          <w:szCs w:val="24"/>
        </w:rPr>
      </w:pPr>
    </w:p>
    <w:p w14:paraId="10623E5B">
      <w:pPr>
        <w:widowControl w:val="0"/>
        <w:shd w:val="clear" w:color="auto" w:fill="auto"/>
        <w:spacing w:line="560" w:lineRule="exact"/>
        <w:ind w:firstLine="480" w:firstLineChars="200"/>
        <w:jc w:val="both"/>
        <w:rPr>
          <w:b w:val="0"/>
          <w:sz w:val="24"/>
          <w:szCs w:val="24"/>
        </w:rPr>
      </w:pPr>
    </w:p>
    <w:p w14:paraId="3301C7E8">
      <w:r>
        <w:rPr>
          <w:rFonts w:hint="eastAsia"/>
        </w:rPr>
        <w:t>202</w:t>
      </w:r>
      <w:r>
        <w:t>3</w:t>
      </w:r>
      <w:r>
        <w:rPr>
          <w:rFonts w:hint="eastAsia"/>
        </w:rPr>
        <w:t>年度怀远县从业人员预防性体检项目支出绩效评价报告</w:t>
      </w:r>
    </w:p>
    <w:p w14:paraId="4BF92A28">
      <w:pPr>
        <w:widowControl w:val="0"/>
        <w:shd w:val="clear" w:color="auto" w:fill="auto"/>
        <w:spacing w:line="560" w:lineRule="exact"/>
        <w:ind w:firstLine="482" w:firstLineChars="200"/>
        <w:jc w:val="both"/>
        <w:rPr>
          <w:b/>
          <w:bCs/>
          <w:sz w:val="24"/>
          <w:szCs w:val="24"/>
        </w:rPr>
      </w:pPr>
      <w:bookmarkStart w:id="19" w:name="_Toc13647"/>
      <w:r>
        <w:rPr>
          <w:rFonts w:hint="eastAsia"/>
          <w:b/>
          <w:bCs/>
          <w:sz w:val="24"/>
          <w:szCs w:val="24"/>
        </w:rPr>
        <w:t>一、项目基本情况</w:t>
      </w:r>
      <w:bookmarkEnd w:id="19"/>
    </w:p>
    <w:p w14:paraId="129F2DA4">
      <w:pPr>
        <w:widowControl w:val="0"/>
        <w:shd w:val="clear" w:color="auto" w:fill="auto"/>
        <w:spacing w:line="560" w:lineRule="exact"/>
        <w:ind w:firstLine="480" w:firstLineChars="200"/>
        <w:jc w:val="both"/>
        <w:rPr>
          <w:b w:val="0"/>
          <w:sz w:val="24"/>
          <w:szCs w:val="24"/>
        </w:rPr>
      </w:pPr>
      <w:r>
        <w:rPr>
          <w:rFonts w:hint="eastAsia"/>
          <w:b w:val="0"/>
          <w:sz w:val="24"/>
          <w:szCs w:val="24"/>
        </w:rPr>
        <w:t>（一）项目概况</w:t>
      </w:r>
    </w:p>
    <w:p w14:paraId="6F1AD9DB">
      <w:pPr>
        <w:widowControl w:val="0"/>
        <w:shd w:val="clear" w:color="auto" w:fill="auto"/>
        <w:spacing w:line="560" w:lineRule="exact"/>
        <w:ind w:firstLine="480" w:firstLineChars="200"/>
        <w:jc w:val="both"/>
        <w:rPr>
          <w:b w:val="0"/>
          <w:sz w:val="24"/>
          <w:szCs w:val="24"/>
        </w:rPr>
      </w:pPr>
      <w:bookmarkStart w:id="20" w:name="_Toc31308"/>
      <w:bookmarkStart w:id="21" w:name="_Toc31247"/>
      <w:r>
        <w:rPr>
          <w:rFonts w:hint="eastAsia"/>
          <w:b w:val="0"/>
          <w:sz w:val="24"/>
          <w:szCs w:val="24"/>
        </w:rPr>
        <w:t>1、项目立项背景及实施目的。</w:t>
      </w:r>
      <w:bookmarkEnd w:id="20"/>
      <w:bookmarkEnd w:id="21"/>
    </w:p>
    <w:p w14:paraId="534E93A0">
      <w:pPr>
        <w:widowControl w:val="0"/>
        <w:shd w:val="clear" w:color="auto" w:fill="auto"/>
        <w:spacing w:line="560" w:lineRule="exact"/>
        <w:ind w:firstLine="480" w:firstLineChars="200"/>
        <w:jc w:val="both"/>
        <w:rPr>
          <w:b w:val="0"/>
          <w:sz w:val="24"/>
          <w:szCs w:val="24"/>
        </w:rPr>
      </w:pPr>
      <w:bookmarkStart w:id="22" w:name="_Toc28238"/>
      <w:bookmarkStart w:id="23" w:name="_Toc19977"/>
      <w:r>
        <w:rPr>
          <w:rFonts w:hint="eastAsia"/>
          <w:b w:val="0"/>
          <w:sz w:val="24"/>
          <w:szCs w:val="24"/>
        </w:rPr>
        <w:t>通过对餐饮服务行业、公共服务行业从业人员进行预防性健康检查，发现患有痢疾、伤寒、病毒性肝炎、活动期肺结核、化脓性、渗出性或接触性皮肤病等不适合从事该行业的人员立即调离直接为顾客服务的工作，治愈后方可恢复从事原工作。以此创造良好的食品和公共场所卫生条件，减少疾病通过餐饮、公共服务行业对社会人群带来的健康危害，预防疾病的传播，保护广大人民群众身体健康。</w:t>
      </w:r>
    </w:p>
    <w:p w14:paraId="4B658A06">
      <w:pPr>
        <w:widowControl w:val="0"/>
        <w:shd w:val="clear" w:color="auto" w:fill="auto"/>
        <w:spacing w:line="560" w:lineRule="exact"/>
        <w:ind w:firstLine="480" w:firstLineChars="200"/>
        <w:jc w:val="both"/>
        <w:rPr>
          <w:b w:val="0"/>
          <w:sz w:val="24"/>
          <w:szCs w:val="24"/>
        </w:rPr>
      </w:pPr>
      <w:r>
        <w:rPr>
          <w:rFonts w:hint="eastAsia"/>
          <w:b w:val="0"/>
          <w:sz w:val="24"/>
          <w:szCs w:val="24"/>
        </w:rPr>
        <w:t>2、项目主要内容及实施情况</w:t>
      </w:r>
      <w:bookmarkEnd w:id="22"/>
      <w:bookmarkEnd w:id="23"/>
    </w:p>
    <w:p w14:paraId="64012F03">
      <w:pPr>
        <w:widowControl w:val="0"/>
        <w:shd w:val="clear" w:color="auto" w:fill="auto"/>
        <w:spacing w:line="560" w:lineRule="exact"/>
        <w:ind w:firstLine="480" w:firstLineChars="200"/>
        <w:jc w:val="both"/>
        <w:rPr>
          <w:b w:val="0"/>
          <w:sz w:val="24"/>
          <w:szCs w:val="24"/>
        </w:rPr>
      </w:pPr>
      <w:r>
        <w:rPr>
          <w:rFonts w:hint="eastAsia"/>
          <w:b w:val="0"/>
          <w:sz w:val="24"/>
          <w:szCs w:val="24"/>
        </w:rPr>
        <w:t>2.1项目立项时间</w:t>
      </w:r>
    </w:p>
    <w:p w14:paraId="4B72681B">
      <w:pPr>
        <w:widowControl w:val="0"/>
        <w:shd w:val="clear" w:color="auto" w:fill="auto"/>
        <w:spacing w:line="560" w:lineRule="exact"/>
        <w:ind w:firstLine="480" w:firstLineChars="200"/>
        <w:jc w:val="both"/>
        <w:rPr>
          <w:b w:val="0"/>
          <w:sz w:val="24"/>
          <w:szCs w:val="24"/>
        </w:rPr>
      </w:pPr>
      <w:r>
        <w:rPr>
          <w:rFonts w:hint="eastAsia"/>
          <w:b w:val="0"/>
          <w:sz w:val="24"/>
          <w:szCs w:val="24"/>
        </w:rPr>
        <w:t>项目于202</w:t>
      </w:r>
      <w:r>
        <w:rPr>
          <w:b w:val="0"/>
          <w:sz w:val="24"/>
          <w:szCs w:val="24"/>
        </w:rPr>
        <w:t>2</w:t>
      </w:r>
      <w:r>
        <w:rPr>
          <w:rFonts w:hint="eastAsia"/>
          <w:b w:val="0"/>
          <w:sz w:val="24"/>
          <w:szCs w:val="24"/>
        </w:rPr>
        <w:t>年9月初由怀远县卫生健康委员会 、怀远县疾病预防控制中心</w:t>
      </w:r>
      <w:r>
        <w:rPr>
          <w:b w:val="0"/>
          <w:sz w:val="24"/>
          <w:szCs w:val="24"/>
        </w:rPr>
        <w:t>、</w:t>
      </w:r>
      <w:r>
        <w:rPr>
          <w:rFonts w:hint="eastAsia"/>
          <w:b w:val="0"/>
          <w:sz w:val="24"/>
          <w:szCs w:val="24"/>
        </w:rPr>
        <w:t>怀远县财政局立项，具体由定点医疗机构（县人民医院、县疾病预防控制中心、县卫生学校附属医院、龙亢农场医院、荆塗医院、爱心中西医院、上和医院、新站医院、阳光医院）组织实施。</w:t>
      </w:r>
    </w:p>
    <w:p w14:paraId="54F676DE">
      <w:pPr>
        <w:widowControl w:val="0"/>
        <w:shd w:val="clear" w:color="auto" w:fill="auto"/>
        <w:spacing w:line="560" w:lineRule="exact"/>
        <w:ind w:firstLine="480" w:firstLineChars="200"/>
        <w:jc w:val="both"/>
        <w:rPr>
          <w:b w:val="0"/>
          <w:sz w:val="24"/>
          <w:szCs w:val="24"/>
        </w:rPr>
      </w:pPr>
      <w:r>
        <w:rPr>
          <w:rFonts w:hint="eastAsia"/>
          <w:b w:val="0"/>
          <w:sz w:val="24"/>
          <w:szCs w:val="24"/>
        </w:rPr>
        <w:t>2.2项目批复单位</w:t>
      </w:r>
    </w:p>
    <w:p w14:paraId="520D76ED">
      <w:pPr>
        <w:widowControl w:val="0"/>
        <w:shd w:val="clear" w:color="auto" w:fill="auto"/>
        <w:spacing w:line="560" w:lineRule="exact"/>
        <w:ind w:firstLine="480" w:firstLineChars="200"/>
        <w:jc w:val="both"/>
        <w:rPr>
          <w:b w:val="0"/>
          <w:sz w:val="24"/>
          <w:szCs w:val="24"/>
        </w:rPr>
      </w:pPr>
      <w:r>
        <w:rPr>
          <w:rFonts w:hint="eastAsia"/>
          <w:b w:val="0"/>
          <w:sz w:val="24"/>
          <w:szCs w:val="24"/>
        </w:rPr>
        <w:t>项目预算由怀远县财政局批复。</w:t>
      </w:r>
    </w:p>
    <w:p w14:paraId="2375617A">
      <w:pPr>
        <w:widowControl w:val="0"/>
        <w:shd w:val="clear" w:color="auto" w:fill="auto"/>
        <w:spacing w:line="560" w:lineRule="exact"/>
        <w:ind w:firstLine="480" w:firstLineChars="200"/>
        <w:jc w:val="both"/>
        <w:rPr>
          <w:b w:val="0"/>
          <w:sz w:val="24"/>
          <w:szCs w:val="24"/>
        </w:rPr>
      </w:pPr>
      <w:r>
        <w:rPr>
          <w:rFonts w:hint="eastAsia"/>
          <w:b w:val="0"/>
          <w:sz w:val="24"/>
          <w:szCs w:val="24"/>
        </w:rPr>
        <w:t>2.3项目具体内容</w:t>
      </w:r>
    </w:p>
    <w:p w14:paraId="5705B14E">
      <w:pPr>
        <w:widowControl w:val="0"/>
        <w:shd w:val="clear" w:color="auto" w:fill="auto"/>
        <w:spacing w:line="560" w:lineRule="exact"/>
        <w:ind w:firstLine="480" w:firstLineChars="200"/>
        <w:jc w:val="both"/>
        <w:rPr>
          <w:b w:val="0"/>
          <w:sz w:val="24"/>
          <w:szCs w:val="24"/>
        </w:rPr>
      </w:pPr>
      <w:bookmarkStart w:id="24" w:name="_Toc9775"/>
      <w:bookmarkStart w:id="25" w:name="_Toc32503"/>
      <w:r>
        <w:rPr>
          <w:rFonts w:hint="eastAsia"/>
          <w:b w:val="0"/>
          <w:sz w:val="24"/>
          <w:szCs w:val="24"/>
        </w:rPr>
        <w:t>根据相关法律法规，从业人员预防性体检的项目：以往病史，肝、脾触诊，皮肤检查、胸部透视，痢疾、伤寒带菌检查，肝功能检查，发现谷丙转氨酶异常的应当进行甲型肝炎抗体测定、戊型肝炎抗体测定（自费项目）</w:t>
      </w:r>
    </w:p>
    <w:p w14:paraId="46CB8154">
      <w:pPr>
        <w:widowControl w:val="0"/>
        <w:shd w:val="clear" w:color="auto" w:fill="auto"/>
        <w:spacing w:line="560" w:lineRule="exact"/>
        <w:ind w:firstLine="480" w:firstLineChars="200"/>
        <w:jc w:val="both"/>
        <w:rPr>
          <w:b w:val="0"/>
          <w:sz w:val="24"/>
          <w:szCs w:val="24"/>
        </w:rPr>
      </w:pPr>
      <w:r>
        <w:rPr>
          <w:rFonts w:hint="eastAsia"/>
          <w:b w:val="0"/>
          <w:sz w:val="24"/>
          <w:szCs w:val="24"/>
        </w:rPr>
        <w:t>3、项目预算投入和使用情况</w:t>
      </w:r>
      <w:bookmarkEnd w:id="24"/>
      <w:bookmarkEnd w:id="25"/>
    </w:p>
    <w:p w14:paraId="01A138BB">
      <w:pPr>
        <w:widowControl w:val="0"/>
        <w:shd w:val="clear" w:color="auto" w:fill="auto"/>
        <w:spacing w:line="560" w:lineRule="exact"/>
        <w:ind w:firstLine="480" w:firstLineChars="200"/>
        <w:jc w:val="both"/>
        <w:rPr>
          <w:b w:val="0"/>
          <w:sz w:val="24"/>
          <w:szCs w:val="24"/>
        </w:rPr>
      </w:pPr>
      <w:r>
        <w:rPr>
          <w:rFonts w:hint="eastAsia"/>
          <w:b w:val="0"/>
          <w:sz w:val="24"/>
          <w:szCs w:val="24"/>
        </w:rPr>
        <w:t>202</w:t>
      </w:r>
      <w:r>
        <w:rPr>
          <w:b w:val="0"/>
          <w:sz w:val="24"/>
          <w:szCs w:val="24"/>
        </w:rPr>
        <w:t>3</w:t>
      </w:r>
      <w:r>
        <w:rPr>
          <w:rFonts w:hint="eastAsia"/>
          <w:b w:val="0"/>
          <w:sz w:val="24"/>
          <w:szCs w:val="24"/>
        </w:rPr>
        <w:t>年1月，怀远县疾病预防控制中心项目预算</w:t>
      </w:r>
      <w:r>
        <w:rPr>
          <w:b w:val="0"/>
          <w:sz w:val="24"/>
          <w:szCs w:val="24"/>
        </w:rPr>
        <w:t>46.75</w:t>
      </w:r>
      <w:r>
        <w:rPr>
          <w:rFonts w:hint="eastAsia"/>
          <w:b w:val="0"/>
          <w:sz w:val="24"/>
          <w:szCs w:val="24"/>
        </w:rPr>
        <w:t>万元。202</w:t>
      </w:r>
      <w:r>
        <w:rPr>
          <w:b w:val="0"/>
          <w:sz w:val="24"/>
          <w:szCs w:val="24"/>
        </w:rPr>
        <w:t>3</w:t>
      </w:r>
      <w:r>
        <w:rPr>
          <w:rFonts w:hint="eastAsia"/>
          <w:b w:val="0"/>
          <w:sz w:val="24"/>
          <w:szCs w:val="24"/>
        </w:rPr>
        <w:t>年实际支出</w:t>
      </w:r>
      <w:r>
        <w:rPr>
          <w:b w:val="0"/>
          <w:sz w:val="24"/>
          <w:szCs w:val="24"/>
        </w:rPr>
        <w:t>45.25</w:t>
      </w:r>
      <w:r>
        <w:rPr>
          <w:rFonts w:hint="eastAsia"/>
          <w:b w:val="0"/>
          <w:sz w:val="24"/>
          <w:szCs w:val="24"/>
        </w:rPr>
        <w:t>万元，预算执行率达</w:t>
      </w:r>
      <w:r>
        <w:rPr>
          <w:b w:val="0"/>
          <w:sz w:val="24"/>
          <w:szCs w:val="24"/>
        </w:rPr>
        <w:t>96.79</w:t>
      </w:r>
      <w:r>
        <w:rPr>
          <w:rFonts w:hint="eastAsia"/>
          <w:b w:val="0"/>
          <w:sz w:val="24"/>
          <w:szCs w:val="24"/>
        </w:rPr>
        <w:t>%。专项资金使用情况如下（单位：元）：</w:t>
      </w:r>
    </w:p>
    <w:tbl>
      <w:tblPr>
        <w:tblStyle w:val="17"/>
        <w:tblW w:w="866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361"/>
        <w:gridCol w:w="1710"/>
        <w:gridCol w:w="1552"/>
        <w:gridCol w:w="1403"/>
        <w:gridCol w:w="854"/>
      </w:tblGrid>
      <w:tr w14:paraId="6AD13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8660" w:type="dxa"/>
            <w:gridSpan w:val="6"/>
            <w:shd w:val="clear" w:color="auto" w:fill="auto"/>
            <w:vAlign w:val="center"/>
          </w:tcPr>
          <w:p w14:paraId="08FBE117">
            <w:pPr>
              <w:rPr>
                <w:b w:val="0"/>
                <w:sz w:val="24"/>
                <w:szCs w:val="24"/>
              </w:rPr>
            </w:pPr>
            <w:r>
              <w:rPr>
                <w:rFonts w:hint="eastAsia"/>
                <w:b w:val="0"/>
                <w:sz w:val="24"/>
                <w:szCs w:val="24"/>
              </w:rPr>
              <w:t>怀远县从业人员预防性体检资金分配表</w:t>
            </w:r>
          </w:p>
        </w:tc>
      </w:tr>
      <w:tr w14:paraId="0494B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80" w:type="dxa"/>
            <w:shd w:val="clear" w:color="auto" w:fill="auto"/>
            <w:vAlign w:val="center"/>
          </w:tcPr>
          <w:p w14:paraId="6A26D2BD">
            <w:pPr>
              <w:rPr>
                <w:b w:val="0"/>
                <w:sz w:val="24"/>
                <w:szCs w:val="24"/>
              </w:rPr>
            </w:pPr>
            <w:r>
              <w:rPr>
                <w:rFonts w:hint="eastAsia"/>
                <w:b w:val="0"/>
                <w:sz w:val="24"/>
                <w:szCs w:val="24"/>
              </w:rPr>
              <w:t>序号</w:t>
            </w:r>
          </w:p>
        </w:tc>
        <w:tc>
          <w:tcPr>
            <w:tcW w:w="2361" w:type="dxa"/>
            <w:shd w:val="clear" w:color="auto" w:fill="auto"/>
            <w:vAlign w:val="center"/>
          </w:tcPr>
          <w:p w14:paraId="3EDD0325">
            <w:pPr>
              <w:rPr>
                <w:b w:val="0"/>
                <w:sz w:val="24"/>
                <w:szCs w:val="24"/>
              </w:rPr>
            </w:pPr>
            <w:r>
              <w:rPr>
                <w:rFonts w:hint="eastAsia"/>
                <w:b w:val="0"/>
                <w:sz w:val="24"/>
                <w:szCs w:val="24"/>
              </w:rPr>
              <w:t>单位</w:t>
            </w:r>
          </w:p>
        </w:tc>
        <w:tc>
          <w:tcPr>
            <w:tcW w:w="1710" w:type="dxa"/>
            <w:shd w:val="clear" w:color="auto" w:fill="auto"/>
            <w:vAlign w:val="center"/>
          </w:tcPr>
          <w:p w14:paraId="1AC60118">
            <w:pPr>
              <w:rPr>
                <w:b w:val="0"/>
                <w:sz w:val="24"/>
                <w:szCs w:val="24"/>
              </w:rPr>
            </w:pPr>
            <w:r>
              <w:rPr>
                <w:rFonts w:hint="eastAsia"/>
                <w:b w:val="0"/>
                <w:sz w:val="24"/>
                <w:szCs w:val="24"/>
              </w:rPr>
              <w:t>申报项目</w:t>
            </w:r>
          </w:p>
        </w:tc>
        <w:tc>
          <w:tcPr>
            <w:tcW w:w="1552" w:type="dxa"/>
            <w:shd w:val="clear" w:color="auto" w:fill="auto"/>
            <w:vAlign w:val="center"/>
          </w:tcPr>
          <w:p w14:paraId="02A160B7">
            <w:pPr>
              <w:rPr>
                <w:b w:val="0"/>
                <w:sz w:val="24"/>
                <w:szCs w:val="24"/>
              </w:rPr>
            </w:pPr>
            <w:r>
              <w:rPr>
                <w:rFonts w:hint="eastAsia"/>
                <w:b w:val="0"/>
                <w:sz w:val="24"/>
                <w:szCs w:val="24"/>
              </w:rPr>
              <w:t>奖补标准</w:t>
            </w:r>
          </w:p>
        </w:tc>
        <w:tc>
          <w:tcPr>
            <w:tcW w:w="1403" w:type="dxa"/>
            <w:shd w:val="clear" w:color="auto" w:fill="auto"/>
            <w:vAlign w:val="center"/>
          </w:tcPr>
          <w:p w14:paraId="00193230">
            <w:pPr>
              <w:rPr>
                <w:b w:val="0"/>
                <w:sz w:val="24"/>
                <w:szCs w:val="24"/>
              </w:rPr>
            </w:pPr>
            <w:r>
              <w:rPr>
                <w:rFonts w:hint="eastAsia"/>
                <w:b w:val="0"/>
                <w:sz w:val="24"/>
                <w:szCs w:val="24"/>
              </w:rPr>
              <w:t>县级奖补金额（元）</w:t>
            </w:r>
          </w:p>
        </w:tc>
        <w:tc>
          <w:tcPr>
            <w:tcW w:w="854" w:type="dxa"/>
            <w:shd w:val="clear" w:color="auto" w:fill="auto"/>
            <w:vAlign w:val="center"/>
          </w:tcPr>
          <w:p w14:paraId="14178992">
            <w:pPr>
              <w:rPr>
                <w:b w:val="0"/>
                <w:sz w:val="24"/>
                <w:szCs w:val="24"/>
              </w:rPr>
            </w:pPr>
            <w:r>
              <w:rPr>
                <w:rFonts w:hint="eastAsia"/>
                <w:b w:val="0"/>
                <w:sz w:val="24"/>
                <w:szCs w:val="24"/>
              </w:rPr>
              <w:t>备注</w:t>
            </w:r>
          </w:p>
        </w:tc>
      </w:tr>
      <w:tr w14:paraId="039D8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780" w:type="dxa"/>
            <w:shd w:val="clear" w:color="auto" w:fill="FFFFFF"/>
            <w:vAlign w:val="center"/>
          </w:tcPr>
          <w:p w14:paraId="4E8013D4">
            <w:pPr>
              <w:rPr>
                <w:b w:val="0"/>
                <w:sz w:val="24"/>
                <w:szCs w:val="24"/>
              </w:rPr>
            </w:pPr>
            <w:r>
              <w:rPr>
                <w:rFonts w:hint="eastAsia"/>
                <w:b w:val="0"/>
                <w:sz w:val="24"/>
                <w:szCs w:val="24"/>
              </w:rPr>
              <w:t>1</w:t>
            </w:r>
          </w:p>
        </w:tc>
        <w:tc>
          <w:tcPr>
            <w:tcW w:w="2361" w:type="dxa"/>
            <w:shd w:val="clear" w:color="auto" w:fill="auto"/>
            <w:vAlign w:val="center"/>
          </w:tcPr>
          <w:p w14:paraId="0285247A">
            <w:pPr>
              <w:rPr>
                <w:b w:val="0"/>
                <w:sz w:val="24"/>
                <w:szCs w:val="24"/>
              </w:rPr>
            </w:pPr>
            <w:r>
              <w:rPr>
                <w:rFonts w:hint="eastAsia"/>
                <w:b w:val="0"/>
                <w:sz w:val="24"/>
                <w:szCs w:val="24"/>
              </w:rPr>
              <w:t>安徽省怀远县人民医院</w:t>
            </w:r>
          </w:p>
        </w:tc>
        <w:tc>
          <w:tcPr>
            <w:tcW w:w="1710" w:type="dxa"/>
            <w:shd w:val="clear" w:color="auto" w:fill="auto"/>
            <w:vAlign w:val="center"/>
          </w:tcPr>
          <w:p w14:paraId="2EBC960A">
            <w:pPr>
              <w:rPr>
                <w:b w:val="0"/>
                <w:sz w:val="24"/>
                <w:szCs w:val="24"/>
              </w:rPr>
            </w:pPr>
            <w:r>
              <w:rPr>
                <w:rFonts w:hint="eastAsia"/>
                <w:b w:val="0"/>
                <w:sz w:val="24"/>
                <w:szCs w:val="24"/>
              </w:rPr>
              <w:t>从业人员预防性体检</w:t>
            </w:r>
          </w:p>
        </w:tc>
        <w:tc>
          <w:tcPr>
            <w:tcW w:w="1552" w:type="dxa"/>
            <w:vMerge w:val="restart"/>
            <w:shd w:val="clear" w:color="auto" w:fill="auto"/>
            <w:vAlign w:val="center"/>
          </w:tcPr>
          <w:p w14:paraId="1F4B9A91">
            <w:pPr>
              <w:rPr>
                <w:rFonts w:hint="eastAsia" w:eastAsia="仿宋"/>
                <w:b w:val="0"/>
                <w:sz w:val="24"/>
                <w:szCs w:val="24"/>
                <w:lang w:val="en-US" w:eastAsia="zh-CN"/>
              </w:rPr>
            </w:pPr>
            <w:r>
              <w:rPr>
                <w:rFonts w:hint="eastAsia"/>
                <w:b w:val="0"/>
                <w:sz w:val="24"/>
                <w:szCs w:val="24"/>
                <w:lang w:val="en-US" w:eastAsia="zh-CN"/>
              </w:rPr>
              <w:t>13.49元/人</w:t>
            </w:r>
          </w:p>
        </w:tc>
        <w:tc>
          <w:tcPr>
            <w:tcW w:w="1403" w:type="dxa"/>
            <w:shd w:val="clear" w:color="auto" w:fill="auto"/>
            <w:vAlign w:val="center"/>
          </w:tcPr>
          <w:p w14:paraId="23265BE6">
            <w:pPr>
              <w:rPr>
                <w:b w:val="0"/>
                <w:sz w:val="24"/>
                <w:szCs w:val="24"/>
              </w:rPr>
            </w:pPr>
            <w:r>
              <w:rPr>
                <w:b w:val="0"/>
                <w:sz w:val="24"/>
                <w:szCs w:val="24"/>
              </w:rPr>
              <w:t>20630</w:t>
            </w:r>
          </w:p>
        </w:tc>
        <w:tc>
          <w:tcPr>
            <w:tcW w:w="854" w:type="dxa"/>
            <w:shd w:val="clear" w:color="auto" w:fill="auto"/>
            <w:vAlign w:val="center"/>
          </w:tcPr>
          <w:p w14:paraId="6C00FF15">
            <w:pPr>
              <w:rPr>
                <w:b w:val="0"/>
                <w:sz w:val="24"/>
                <w:szCs w:val="24"/>
              </w:rPr>
            </w:pPr>
          </w:p>
        </w:tc>
      </w:tr>
      <w:tr w14:paraId="4F52D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80" w:type="dxa"/>
            <w:shd w:val="clear" w:color="auto" w:fill="FFFFFF"/>
            <w:vAlign w:val="center"/>
          </w:tcPr>
          <w:p w14:paraId="425BE7AF">
            <w:pPr>
              <w:rPr>
                <w:b w:val="0"/>
                <w:sz w:val="24"/>
                <w:szCs w:val="24"/>
              </w:rPr>
            </w:pPr>
            <w:r>
              <w:rPr>
                <w:rFonts w:hint="eastAsia"/>
                <w:b w:val="0"/>
                <w:sz w:val="24"/>
                <w:szCs w:val="24"/>
              </w:rPr>
              <w:t>2</w:t>
            </w:r>
          </w:p>
        </w:tc>
        <w:tc>
          <w:tcPr>
            <w:tcW w:w="2361" w:type="dxa"/>
            <w:shd w:val="clear" w:color="auto" w:fill="auto"/>
            <w:vAlign w:val="center"/>
          </w:tcPr>
          <w:p w14:paraId="17CA3164">
            <w:pPr>
              <w:rPr>
                <w:b w:val="0"/>
                <w:sz w:val="24"/>
                <w:szCs w:val="24"/>
              </w:rPr>
            </w:pPr>
            <w:r>
              <w:rPr>
                <w:rFonts w:hint="eastAsia"/>
                <w:b w:val="0"/>
                <w:sz w:val="24"/>
                <w:szCs w:val="24"/>
              </w:rPr>
              <w:t>怀远县疾病预防控制中心</w:t>
            </w:r>
          </w:p>
        </w:tc>
        <w:tc>
          <w:tcPr>
            <w:tcW w:w="1710" w:type="dxa"/>
            <w:shd w:val="clear" w:color="auto" w:fill="auto"/>
            <w:vAlign w:val="center"/>
          </w:tcPr>
          <w:p w14:paraId="63B931A7">
            <w:pPr>
              <w:rPr>
                <w:b w:val="0"/>
                <w:sz w:val="24"/>
                <w:szCs w:val="24"/>
              </w:rPr>
            </w:pPr>
            <w:r>
              <w:rPr>
                <w:rFonts w:hint="eastAsia"/>
                <w:b w:val="0"/>
                <w:sz w:val="24"/>
                <w:szCs w:val="24"/>
              </w:rPr>
              <w:t>从业人员预防性体检</w:t>
            </w:r>
          </w:p>
        </w:tc>
        <w:tc>
          <w:tcPr>
            <w:tcW w:w="1552" w:type="dxa"/>
            <w:vMerge w:val="continue"/>
            <w:shd w:val="clear" w:color="auto" w:fill="auto"/>
            <w:vAlign w:val="center"/>
          </w:tcPr>
          <w:p w14:paraId="4337C45F">
            <w:pPr>
              <w:rPr>
                <w:b w:val="0"/>
                <w:sz w:val="24"/>
                <w:szCs w:val="24"/>
              </w:rPr>
            </w:pPr>
          </w:p>
        </w:tc>
        <w:tc>
          <w:tcPr>
            <w:tcW w:w="1403" w:type="dxa"/>
            <w:shd w:val="clear" w:color="auto" w:fill="auto"/>
            <w:vAlign w:val="center"/>
          </w:tcPr>
          <w:p w14:paraId="61FF0BAB">
            <w:pPr>
              <w:rPr>
                <w:b w:val="0"/>
                <w:sz w:val="24"/>
                <w:szCs w:val="24"/>
              </w:rPr>
            </w:pPr>
            <w:r>
              <w:rPr>
                <w:rFonts w:hint="eastAsia"/>
                <w:b w:val="0"/>
                <w:sz w:val="24"/>
                <w:szCs w:val="24"/>
              </w:rPr>
              <w:t>55408.8</w:t>
            </w:r>
          </w:p>
        </w:tc>
        <w:tc>
          <w:tcPr>
            <w:tcW w:w="854" w:type="dxa"/>
            <w:shd w:val="clear" w:color="auto" w:fill="auto"/>
            <w:vAlign w:val="center"/>
          </w:tcPr>
          <w:p w14:paraId="36FCCAC5">
            <w:pPr>
              <w:rPr>
                <w:b w:val="0"/>
                <w:sz w:val="24"/>
                <w:szCs w:val="24"/>
              </w:rPr>
            </w:pPr>
          </w:p>
        </w:tc>
      </w:tr>
      <w:tr w14:paraId="40492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80" w:type="dxa"/>
            <w:shd w:val="clear" w:color="auto" w:fill="FFFFFF"/>
            <w:vAlign w:val="center"/>
          </w:tcPr>
          <w:p w14:paraId="27F059A2">
            <w:pPr>
              <w:rPr>
                <w:b w:val="0"/>
                <w:sz w:val="24"/>
                <w:szCs w:val="24"/>
              </w:rPr>
            </w:pPr>
            <w:r>
              <w:rPr>
                <w:rFonts w:hint="eastAsia"/>
                <w:b w:val="0"/>
                <w:sz w:val="24"/>
                <w:szCs w:val="24"/>
              </w:rPr>
              <w:t>3</w:t>
            </w:r>
          </w:p>
        </w:tc>
        <w:tc>
          <w:tcPr>
            <w:tcW w:w="2361" w:type="dxa"/>
            <w:shd w:val="clear" w:color="auto" w:fill="auto"/>
            <w:vAlign w:val="center"/>
          </w:tcPr>
          <w:p w14:paraId="1F4179DD">
            <w:pPr>
              <w:rPr>
                <w:b w:val="0"/>
                <w:sz w:val="24"/>
                <w:szCs w:val="24"/>
              </w:rPr>
            </w:pPr>
            <w:r>
              <w:rPr>
                <w:rFonts w:hint="eastAsia"/>
                <w:b w:val="0"/>
                <w:sz w:val="24"/>
                <w:szCs w:val="24"/>
              </w:rPr>
              <w:t>安徽省怀远县卫生学校附属医院</w:t>
            </w:r>
          </w:p>
        </w:tc>
        <w:tc>
          <w:tcPr>
            <w:tcW w:w="1710" w:type="dxa"/>
            <w:shd w:val="clear" w:color="auto" w:fill="auto"/>
            <w:vAlign w:val="center"/>
          </w:tcPr>
          <w:p w14:paraId="3C05A2B7">
            <w:pPr>
              <w:rPr>
                <w:b w:val="0"/>
                <w:sz w:val="24"/>
                <w:szCs w:val="24"/>
              </w:rPr>
            </w:pPr>
            <w:r>
              <w:rPr>
                <w:rFonts w:hint="eastAsia"/>
                <w:b w:val="0"/>
                <w:sz w:val="24"/>
                <w:szCs w:val="24"/>
              </w:rPr>
              <w:t>从业人员预防性体检</w:t>
            </w:r>
          </w:p>
        </w:tc>
        <w:tc>
          <w:tcPr>
            <w:tcW w:w="1552" w:type="dxa"/>
            <w:vMerge w:val="continue"/>
            <w:shd w:val="clear" w:color="auto" w:fill="auto"/>
            <w:vAlign w:val="center"/>
          </w:tcPr>
          <w:p w14:paraId="2F803567">
            <w:pPr>
              <w:rPr>
                <w:b w:val="0"/>
                <w:sz w:val="24"/>
                <w:szCs w:val="24"/>
              </w:rPr>
            </w:pPr>
          </w:p>
        </w:tc>
        <w:tc>
          <w:tcPr>
            <w:tcW w:w="1403" w:type="dxa"/>
            <w:shd w:val="clear" w:color="auto" w:fill="auto"/>
            <w:vAlign w:val="center"/>
          </w:tcPr>
          <w:p w14:paraId="675D9EE2">
            <w:pPr>
              <w:rPr>
                <w:b w:val="0"/>
                <w:sz w:val="24"/>
                <w:szCs w:val="24"/>
              </w:rPr>
            </w:pPr>
            <w:r>
              <w:rPr>
                <w:b w:val="0"/>
                <w:sz w:val="24"/>
                <w:szCs w:val="24"/>
              </w:rPr>
              <w:t>5476.2</w:t>
            </w:r>
          </w:p>
        </w:tc>
        <w:tc>
          <w:tcPr>
            <w:tcW w:w="854" w:type="dxa"/>
            <w:shd w:val="clear" w:color="auto" w:fill="auto"/>
            <w:vAlign w:val="center"/>
          </w:tcPr>
          <w:p w14:paraId="3EBABA04">
            <w:pPr>
              <w:rPr>
                <w:b w:val="0"/>
                <w:sz w:val="24"/>
                <w:szCs w:val="24"/>
              </w:rPr>
            </w:pPr>
          </w:p>
        </w:tc>
      </w:tr>
      <w:tr w14:paraId="799B5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80" w:type="dxa"/>
            <w:shd w:val="clear" w:color="auto" w:fill="FFFFFF"/>
            <w:vAlign w:val="center"/>
          </w:tcPr>
          <w:p w14:paraId="30023AE7">
            <w:pPr>
              <w:rPr>
                <w:b w:val="0"/>
                <w:sz w:val="24"/>
                <w:szCs w:val="24"/>
              </w:rPr>
            </w:pPr>
            <w:r>
              <w:rPr>
                <w:rFonts w:hint="eastAsia"/>
                <w:b w:val="0"/>
                <w:sz w:val="24"/>
                <w:szCs w:val="24"/>
              </w:rPr>
              <w:t>4</w:t>
            </w:r>
          </w:p>
        </w:tc>
        <w:tc>
          <w:tcPr>
            <w:tcW w:w="2361" w:type="dxa"/>
            <w:shd w:val="clear" w:color="auto" w:fill="auto"/>
            <w:vAlign w:val="center"/>
          </w:tcPr>
          <w:p w14:paraId="1C7D6356">
            <w:pPr>
              <w:rPr>
                <w:b w:val="0"/>
                <w:sz w:val="24"/>
                <w:szCs w:val="24"/>
              </w:rPr>
            </w:pPr>
            <w:r>
              <w:rPr>
                <w:rFonts w:hint="eastAsia"/>
                <w:b w:val="0"/>
                <w:sz w:val="24"/>
                <w:szCs w:val="24"/>
              </w:rPr>
              <w:t>怀远龙亢农场医院</w:t>
            </w:r>
          </w:p>
        </w:tc>
        <w:tc>
          <w:tcPr>
            <w:tcW w:w="1710" w:type="dxa"/>
            <w:shd w:val="clear" w:color="auto" w:fill="auto"/>
            <w:vAlign w:val="center"/>
          </w:tcPr>
          <w:p w14:paraId="7BF69D38">
            <w:pPr>
              <w:rPr>
                <w:b w:val="0"/>
                <w:sz w:val="24"/>
                <w:szCs w:val="24"/>
              </w:rPr>
            </w:pPr>
            <w:r>
              <w:rPr>
                <w:rFonts w:hint="eastAsia"/>
                <w:b w:val="0"/>
                <w:sz w:val="24"/>
                <w:szCs w:val="24"/>
              </w:rPr>
              <w:t>从业人员预防性体检</w:t>
            </w:r>
          </w:p>
        </w:tc>
        <w:tc>
          <w:tcPr>
            <w:tcW w:w="1552" w:type="dxa"/>
            <w:vMerge w:val="continue"/>
            <w:shd w:val="clear" w:color="auto" w:fill="auto"/>
            <w:vAlign w:val="center"/>
          </w:tcPr>
          <w:p w14:paraId="297FF2B5">
            <w:pPr>
              <w:rPr>
                <w:b w:val="0"/>
                <w:sz w:val="24"/>
                <w:szCs w:val="24"/>
              </w:rPr>
            </w:pPr>
          </w:p>
        </w:tc>
        <w:tc>
          <w:tcPr>
            <w:tcW w:w="1403" w:type="dxa"/>
            <w:shd w:val="clear" w:color="auto" w:fill="auto"/>
            <w:vAlign w:val="center"/>
          </w:tcPr>
          <w:p w14:paraId="700A1914">
            <w:pPr>
              <w:rPr>
                <w:b w:val="0"/>
                <w:sz w:val="24"/>
                <w:szCs w:val="24"/>
              </w:rPr>
            </w:pPr>
            <w:r>
              <w:rPr>
                <w:rFonts w:hint="eastAsia"/>
                <w:b w:val="0"/>
                <w:sz w:val="24"/>
                <w:szCs w:val="24"/>
              </w:rPr>
              <w:t>37615</w:t>
            </w:r>
          </w:p>
        </w:tc>
        <w:tc>
          <w:tcPr>
            <w:tcW w:w="854" w:type="dxa"/>
            <w:shd w:val="clear" w:color="auto" w:fill="auto"/>
            <w:vAlign w:val="center"/>
          </w:tcPr>
          <w:p w14:paraId="22047928">
            <w:pPr>
              <w:rPr>
                <w:b w:val="0"/>
                <w:sz w:val="24"/>
                <w:szCs w:val="24"/>
              </w:rPr>
            </w:pPr>
          </w:p>
        </w:tc>
      </w:tr>
      <w:tr w14:paraId="4C84C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80" w:type="dxa"/>
            <w:shd w:val="clear" w:color="auto" w:fill="FFFFFF"/>
            <w:vAlign w:val="center"/>
          </w:tcPr>
          <w:p w14:paraId="47131E5E">
            <w:pPr>
              <w:rPr>
                <w:b w:val="0"/>
                <w:sz w:val="24"/>
                <w:szCs w:val="24"/>
              </w:rPr>
            </w:pPr>
            <w:r>
              <w:rPr>
                <w:rFonts w:hint="eastAsia"/>
                <w:b w:val="0"/>
                <w:sz w:val="24"/>
                <w:szCs w:val="24"/>
              </w:rPr>
              <w:t>5</w:t>
            </w:r>
          </w:p>
        </w:tc>
        <w:tc>
          <w:tcPr>
            <w:tcW w:w="2361" w:type="dxa"/>
            <w:shd w:val="clear" w:color="auto" w:fill="auto"/>
            <w:vAlign w:val="center"/>
          </w:tcPr>
          <w:p w14:paraId="4959BBA3">
            <w:pPr>
              <w:rPr>
                <w:b w:val="0"/>
                <w:sz w:val="24"/>
                <w:szCs w:val="24"/>
              </w:rPr>
            </w:pPr>
            <w:r>
              <w:rPr>
                <w:rFonts w:hint="eastAsia"/>
                <w:b w:val="0"/>
                <w:sz w:val="24"/>
                <w:szCs w:val="24"/>
              </w:rPr>
              <w:t>怀远荆塗医院</w:t>
            </w:r>
          </w:p>
        </w:tc>
        <w:tc>
          <w:tcPr>
            <w:tcW w:w="1710" w:type="dxa"/>
            <w:shd w:val="clear" w:color="auto" w:fill="auto"/>
            <w:vAlign w:val="center"/>
          </w:tcPr>
          <w:p w14:paraId="228CF8EA">
            <w:pPr>
              <w:rPr>
                <w:b w:val="0"/>
                <w:sz w:val="24"/>
                <w:szCs w:val="24"/>
              </w:rPr>
            </w:pPr>
            <w:r>
              <w:rPr>
                <w:rFonts w:hint="eastAsia"/>
                <w:b w:val="0"/>
                <w:sz w:val="24"/>
                <w:szCs w:val="24"/>
              </w:rPr>
              <w:t>从业人员预防性体检</w:t>
            </w:r>
          </w:p>
        </w:tc>
        <w:tc>
          <w:tcPr>
            <w:tcW w:w="1552" w:type="dxa"/>
            <w:vMerge w:val="continue"/>
            <w:shd w:val="clear" w:color="auto" w:fill="auto"/>
            <w:vAlign w:val="center"/>
          </w:tcPr>
          <w:p w14:paraId="5FB5E22D">
            <w:pPr>
              <w:rPr>
                <w:b w:val="0"/>
                <w:sz w:val="24"/>
                <w:szCs w:val="24"/>
              </w:rPr>
            </w:pPr>
          </w:p>
        </w:tc>
        <w:tc>
          <w:tcPr>
            <w:tcW w:w="1403" w:type="dxa"/>
            <w:shd w:val="clear" w:color="auto" w:fill="auto"/>
            <w:vAlign w:val="center"/>
          </w:tcPr>
          <w:p w14:paraId="3D7A6560">
            <w:pPr>
              <w:rPr>
                <w:b w:val="0"/>
                <w:sz w:val="24"/>
                <w:szCs w:val="24"/>
              </w:rPr>
            </w:pPr>
            <w:r>
              <w:rPr>
                <w:rFonts w:hint="eastAsia"/>
                <w:b w:val="0"/>
                <w:sz w:val="24"/>
                <w:szCs w:val="24"/>
              </w:rPr>
              <w:t>32790</w:t>
            </w:r>
          </w:p>
        </w:tc>
        <w:tc>
          <w:tcPr>
            <w:tcW w:w="854" w:type="dxa"/>
            <w:shd w:val="clear" w:color="auto" w:fill="auto"/>
            <w:vAlign w:val="center"/>
          </w:tcPr>
          <w:p w14:paraId="00EA8863">
            <w:pPr>
              <w:rPr>
                <w:b w:val="0"/>
                <w:sz w:val="24"/>
                <w:szCs w:val="24"/>
              </w:rPr>
            </w:pPr>
          </w:p>
        </w:tc>
      </w:tr>
      <w:tr w14:paraId="6FFC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80" w:type="dxa"/>
            <w:shd w:val="clear" w:color="auto" w:fill="FFFFFF"/>
            <w:vAlign w:val="center"/>
          </w:tcPr>
          <w:p w14:paraId="34038095">
            <w:pPr>
              <w:rPr>
                <w:b w:val="0"/>
                <w:sz w:val="24"/>
                <w:szCs w:val="24"/>
              </w:rPr>
            </w:pPr>
            <w:r>
              <w:rPr>
                <w:rFonts w:hint="eastAsia"/>
                <w:b w:val="0"/>
                <w:sz w:val="24"/>
                <w:szCs w:val="24"/>
              </w:rPr>
              <w:t>6</w:t>
            </w:r>
          </w:p>
        </w:tc>
        <w:tc>
          <w:tcPr>
            <w:tcW w:w="2361" w:type="dxa"/>
            <w:shd w:val="clear" w:color="auto" w:fill="auto"/>
            <w:vAlign w:val="center"/>
          </w:tcPr>
          <w:p w14:paraId="3698603D">
            <w:pPr>
              <w:rPr>
                <w:b w:val="0"/>
                <w:sz w:val="24"/>
                <w:szCs w:val="24"/>
              </w:rPr>
            </w:pPr>
            <w:r>
              <w:rPr>
                <w:rFonts w:hint="eastAsia"/>
                <w:b w:val="0"/>
                <w:sz w:val="24"/>
                <w:szCs w:val="24"/>
              </w:rPr>
              <w:t>怀远爱心中西医院</w:t>
            </w:r>
          </w:p>
        </w:tc>
        <w:tc>
          <w:tcPr>
            <w:tcW w:w="1710" w:type="dxa"/>
            <w:shd w:val="clear" w:color="auto" w:fill="auto"/>
            <w:vAlign w:val="center"/>
          </w:tcPr>
          <w:p w14:paraId="7495466A">
            <w:pPr>
              <w:rPr>
                <w:b w:val="0"/>
                <w:sz w:val="24"/>
                <w:szCs w:val="24"/>
              </w:rPr>
            </w:pPr>
            <w:r>
              <w:rPr>
                <w:rFonts w:hint="eastAsia"/>
                <w:b w:val="0"/>
                <w:sz w:val="24"/>
                <w:szCs w:val="24"/>
              </w:rPr>
              <w:t>从业人员预防性体检</w:t>
            </w:r>
          </w:p>
        </w:tc>
        <w:tc>
          <w:tcPr>
            <w:tcW w:w="1552" w:type="dxa"/>
            <w:vMerge w:val="continue"/>
            <w:shd w:val="clear" w:color="auto" w:fill="auto"/>
            <w:vAlign w:val="center"/>
          </w:tcPr>
          <w:p w14:paraId="639640B3">
            <w:pPr>
              <w:rPr>
                <w:b w:val="0"/>
                <w:sz w:val="24"/>
                <w:szCs w:val="24"/>
              </w:rPr>
            </w:pPr>
          </w:p>
        </w:tc>
        <w:tc>
          <w:tcPr>
            <w:tcW w:w="1403" w:type="dxa"/>
            <w:shd w:val="clear" w:color="auto" w:fill="auto"/>
            <w:vAlign w:val="center"/>
          </w:tcPr>
          <w:p w14:paraId="52B1A2B6">
            <w:pPr>
              <w:rPr>
                <w:b w:val="0"/>
                <w:sz w:val="24"/>
                <w:szCs w:val="24"/>
              </w:rPr>
            </w:pPr>
            <w:r>
              <w:rPr>
                <w:b w:val="0"/>
                <w:sz w:val="24"/>
                <w:szCs w:val="24"/>
              </w:rPr>
              <w:t>138320</w:t>
            </w:r>
          </w:p>
        </w:tc>
        <w:tc>
          <w:tcPr>
            <w:tcW w:w="854" w:type="dxa"/>
            <w:shd w:val="clear" w:color="auto" w:fill="auto"/>
            <w:vAlign w:val="center"/>
          </w:tcPr>
          <w:p w14:paraId="727E79D8">
            <w:pPr>
              <w:rPr>
                <w:b w:val="0"/>
                <w:sz w:val="24"/>
                <w:szCs w:val="24"/>
              </w:rPr>
            </w:pPr>
          </w:p>
        </w:tc>
      </w:tr>
      <w:tr w14:paraId="18AFF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80" w:type="dxa"/>
            <w:shd w:val="clear" w:color="auto" w:fill="FFFFFF"/>
            <w:vAlign w:val="center"/>
          </w:tcPr>
          <w:p w14:paraId="172A5601">
            <w:pPr>
              <w:rPr>
                <w:rFonts w:hint="eastAsia" w:eastAsia="仿宋"/>
                <w:b w:val="0"/>
                <w:sz w:val="24"/>
                <w:szCs w:val="24"/>
                <w:lang w:eastAsia="zh-CN"/>
              </w:rPr>
            </w:pPr>
            <w:r>
              <w:rPr>
                <w:rFonts w:hint="eastAsia"/>
                <w:b w:val="0"/>
                <w:sz w:val="24"/>
                <w:szCs w:val="24"/>
                <w:lang w:val="en-US" w:eastAsia="zh-CN"/>
              </w:rPr>
              <w:t>7</w:t>
            </w:r>
          </w:p>
        </w:tc>
        <w:tc>
          <w:tcPr>
            <w:tcW w:w="2361" w:type="dxa"/>
            <w:shd w:val="clear" w:color="auto" w:fill="auto"/>
            <w:vAlign w:val="center"/>
          </w:tcPr>
          <w:p w14:paraId="3ECF30C9">
            <w:pPr>
              <w:rPr>
                <w:b w:val="0"/>
                <w:sz w:val="24"/>
                <w:szCs w:val="24"/>
              </w:rPr>
            </w:pPr>
            <w:r>
              <w:rPr>
                <w:rFonts w:hint="eastAsia"/>
                <w:b w:val="0"/>
                <w:sz w:val="24"/>
                <w:szCs w:val="24"/>
              </w:rPr>
              <w:t>怀远上和医院</w:t>
            </w:r>
          </w:p>
        </w:tc>
        <w:tc>
          <w:tcPr>
            <w:tcW w:w="1710" w:type="dxa"/>
            <w:shd w:val="clear" w:color="auto" w:fill="auto"/>
            <w:vAlign w:val="center"/>
          </w:tcPr>
          <w:p w14:paraId="35C44353">
            <w:pPr>
              <w:rPr>
                <w:b w:val="0"/>
                <w:sz w:val="24"/>
                <w:szCs w:val="24"/>
              </w:rPr>
            </w:pPr>
            <w:r>
              <w:rPr>
                <w:rFonts w:hint="eastAsia"/>
                <w:b w:val="0"/>
                <w:sz w:val="24"/>
                <w:szCs w:val="24"/>
              </w:rPr>
              <w:t>从业人员预防性体检</w:t>
            </w:r>
          </w:p>
        </w:tc>
        <w:tc>
          <w:tcPr>
            <w:tcW w:w="1552" w:type="dxa"/>
            <w:vMerge w:val="continue"/>
            <w:shd w:val="clear" w:color="auto" w:fill="auto"/>
            <w:vAlign w:val="center"/>
          </w:tcPr>
          <w:p w14:paraId="3A7735E2">
            <w:pPr>
              <w:rPr>
                <w:b w:val="0"/>
                <w:sz w:val="24"/>
                <w:szCs w:val="24"/>
              </w:rPr>
            </w:pPr>
          </w:p>
        </w:tc>
        <w:tc>
          <w:tcPr>
            <w:tcW w:w="1403" w:type="dxa"/>
            <w:shd w:val="clear" w:color="auto" w:fill="auto"/>
            <w:vAlign w:val="center"/>
          </w:tcPr>
          <w:p w14:paraId="1BA34697">
            <w:pPr>
              <w:rPr>
                <w:b w:val="0"/>
                <w:sz w:val="24"/>
                <w:szCs w:val="24"/>
              </w:rPr>
            </w:pPr>
            <w:r>
              <w:rPr>
                <w:rFonts w:hint="eastAsia"/>
                <w:b w:val="0"/>
                <w:sz w:val="24"/>
                <w:szCs w:val="24"/>
              </w:rPr>
              <w:t>13380</w:t>
            </w:r>
          </w:p>
        </w:tc>
        <w:tc>
          <w:tcPr>
            <w:tcW w:w="854" w:type="dxa"/>
            <w:shd w:val="clear" w:color="auto" w:fill="auto"/>
            <w:vAlign w:val="center"/>
          </w:tcPr>
          <w:p w14:paraId="0861D804">
            <w:pPr>
              <w:rPr>
                <w:b w:val="0"/>
                <w:sz w:val="24"/>
                <w:szCs w:val="24"/>
              </w:rPr>
            </w:pPr>
          </w:p>
        </w:tc>
      </w:tr>
      <w:tr w14:paraId="62B8E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80" w:type="dxa"/>
            <w:shd w:val="clear" w:color="auto" w:fill="FFFFFF"/>
            <w:vAlign w:val="center"/>
          </w:tcPr>
          <w:p w14:paraId="0D29BE4A">
            <w:pPr>
              <w:rPr>
                <w:rFonts w:hint="eastAsia" w:eastAsia="仿宋"/>
                <w:b w:val="0"/>
                <w:sz w:val="24"/>
                <w:szCs w:val="24"/>
                <w:lang w:eastAsia="zh-CN"/>
              </w:rPr>
            </w:pPr>
            <w:r>
              <w:rPr>
                <w:rFonts w:hint="eastAsia"/>
                <w:b w:val="0"/>
                <w:sz w:val="24"/>
                <w:szCs w:val="24"/>
                <w:lang w:val="en-US" w:eastAsia="zh-CN"/>
              </w:rPr>
              <w:t>8</w:t>
            </w:r>
          </w:p>
        </w:tc>
        <w:tc>
          <w:tcPr>
            <w:tcW w:w="2361" w:type="dxa"/>
            <w:shd w:val="clear" w:color="auto" w:fill="auto"/>
            <w:vAlign w:val="center"/>
          </w:tcPr>
          <w:p w14:paraId="1FDDC706">
            <w:pPr>
              <w:rPr>
                <w:b w:val="0"/>
                <w:sz w:val="24"/>
                <w:szCs w:val="24"/>
              </w:rPr>
            </w:pPr>
            <w:r>
              <w:rPr>
                <w:rFonts w:hint="eastAsia"/>
                <w:b w:val="0"/>
                <w:sz w:val="24"/>
                <w:szCs w:val="24"/>
              </w:rPr>
              <w:t>怀远新站医院</w:t>
            </w:r>
          </w:p>
        </w:tc>
        <w:tc>
          <w:tcPr>
            <w:tcW w:w="1710" w:type="dxa"/>
            <w:shd w:val="clear" w:color="auto" w:fill="auto"/>
            <w:vAlign w:val="center"/>
          </w:tcPr>
          <w:p w14:paraId="03F63635">
            <w:pPr>
              <w:rPr>
                <w:b w:val="0"/>
                <w:sz w:val="24"/>
                <w:szCs w:val="24"/>
              </w:rPr>
            </w:pPr>
            <w:r>
              <w:rPr>
                <w:rFonts w:hint="eastAsia"/>
                <w:b w:val="0"/>
                <w:sz w:val="24"/>
                <w:szCs w:val="24"/>
              </w:rPr>
              <w:t>从业人员预防性体检</w:t>
            </w:r>
          </w:p>
        </w:tc>
        <w:tc>
          <w:tcPr>
            <w:tcW w:w="1552" w:type="dxa"/>
            <w:vMerge w:val="continue"/>
            <w:shd w:val="clear" w:color="auto" w:fill="auto"/>
            <w:vAlign w:val="center"/>
          </w:tcPr>
          <w:p w14:paraId="378B162E">
            <w:pPr>
              <w:rPr>
                <w:b w:val="0"/>
                <w:sz w:val="24"/>
                <w:szCs w:val="24"/>
              </w:rPr>
            </w:pPr>
          </w:p>
        </w:tc>
        <w:tc>
          <w:tcPr>
            <w:tcW w:w="1403" w:type="dxa"/>
            <w:shd w:val="clear" w:color="auto" w:fill="auto"/>
            <w:vAlign w:val="center"/>
          </w:tcPr>
          <w:p w14:paraId="6213F6DC">
            <w:pPr>
              <w:rPr>
                <w:b w:val="0"/>
                <w:sz w:val="24"/>
                <w:szCs w:val="24"/>
              </w:rPr>
            </w:pPr>
            <w:r>
              <w:rPr>
                <w:rFonts w:hint="eastAsia"/>
                <w:b w:val="0"/>
                <w:sz w:val="24"/>
                <w:szCs w:val="24"/>
              </w:rPr>
              <w:t>47985</w:t>
            </w:r>
          </w:p>
        </w:tc>
        <w:tc>
          <w:tcPr>
            <w:tcW w:w="854" w:type="dxa"/>
            <w:shd w:val="clear" w:color="auto" w:fill="auto"/>
            <w:vAlign w:val="center"/>
          </w:tcPr>
          <w:p w14:paraId="5A66DAC1">
            <w:pPr>
              <w:rPr>
                <w:b w:val="0"/>
                <w:sz w:val="24"/>
                <w:szCs w:val="24"/>
              </w:rPr>
            </w:pPr>
          </w:p>
        </w:tc>
      </w:tr>
      <w:tr w14:paraId="6FD6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80" w:type="dxa"/>
            <w:shd w:val="clear" w:color="auto" w:fill="FFFFFF"/>
            <w:vAlign w:val="center"/>
          </w:tcPr>
          <w:p w14:paraId="18482778">
            <w:pPr>
              <w:rPr>
                <w:rFonts w:hint="eastAsia" w:eastAsia="仿宋"/>
                <w:b w:val="0"/>
                <w:sz w:val="24"/>
                <w:szCs w:val="24"/>
                <w:lang w:eastAsia="zh-CN"/>
              </w:rPr>
            </w:pPr>
            <w:r>
              <w:rPr>
                <w:rFonts w:hint="eastAsia"/>
                <w:b w:val="0"/>
                <w:sz w:val="24"/>
                <w:szCs w:val="24"/>
                <w:lang w:val="en-US" w:eastAsia="zh-CN"/>
              </w:rPr>
              <w:t>9</w:t>
            </w:r>
          </w:p>
        </w:tc>
        <w:tc>
          <w:tcPr>
            <w:tcW w:w="2361" w:type="dxa"/>
            <w:shd w:val="clear" w:color="auto" w:fill="auto"/>
            <w:vAlign w:val="center"/>
          </w:tcPr>
          <w:p w14:paraId="44C65D3D">
            <w:pPr>
              <w:rPr>
                <w:b w:val="0"/>
                <w:sz w:val="24"/>
                <w:szCs w:val="24"/>
              </w:rPr>
            </w:pPr>
            <w:r>
              <w:rPr>
                <w:rFonts w:hint="eastAsia"/>
                <w:b w:val="0"/>
                <w:sz w:val="24"/>
                <w:szCs w:val="24"/>
              </w:rPr>
              <w:t>怀远阳光医院</w:t>
            </w:r>
          </w:p>
        </w:tc>
        <w:tc>
          <w:tcPr>
            <w:tcW w:w="1710" w:type="dxa"/>
            <w:shd w:val="clear" w:color="auto" w:fill="auto"/>
            <w:vAlign w:val="center"/>
          </w:tcPr>
          <w:p w14:paraId="59C0C2AD">
            <w:pPr>
              <w:rPr>
                <w:b w:val="0"/>
                <w:sz w:val="24"/>
                <w:szCs w:val="24"/>
              </w:rPr>
            </w:pPr>
            <w:r>
              <w:rPr>
                <w:rFonts w:hint="eastAsia"/>
                <w:b w:val="0"/>
                <w:sz w:val="24"/>
                <w:szCs w:val="24"/>
              </w:rPr>
              <w:t>从业人员预防性体检</w:t>
            </w:r>
          </w:p>
        </w:tc>
        <w:tc>
          <w:tcPr>
            <w:tcW w:w="1552" w:type="dxa"/>
            <w:vMerge w:val="continue"/>
            <w:shd w:val="clear" w:color="auto" w:fill="auto"/>
            <w:vAlign w:val="center"/>
          </w:tcPr>
          <w:p w14:paraId="1FD4677A">
            <w:pPr>
              <w:rPr>
                <w:b w:val="0"/>
                <w:sz w:val="24"/>
                <w:szCs w:val="24"/>
              </w:rPr>
            </w:pPr>
          </w:p>
        </w:tc>
        <w:tc>
          <w:tcPr>
            <w:tcW w:w="1403" w:type="dxa"/>
            <w:shd w:val="clear" w:color="auto" w:fill="auto"/>
            <w:vAlign w:val="center"/>
          </w:tcPr>
          <w:p w14:paraId="4CA509CB">
            <w:pPr>
              <w:rPr>
                <w:b w:val="0"/>
                <w:sz w:val="24"/>
                <w:szCs w:val="24"/>
              </w:rPr>
            </w:pPr>
            <w:r>
              <w:rPr>
                <w:rFonts w:hint="eastAsia"/>
                <w:b w:val="0"/>
                <w:sz w:val="24"/>
                <w:szCs w:val="24"/>
              </w:rPr>
              <w:t>100895</w:t>
            </w:r>
          </w:p>
        </w:tc>
        <w:tc>
          <w:tcPr>
            <w:tcW w:w="854" w:type="dxa"/>
            <w:shd w:val="clear" w:color="auto" w:fill="auto"/>
            <w:vAlign w:val="center"/>
          </w:tcPr>
          <w:p w14:paraId="58E48E6C">
            <w:pPr>
              <w:rPr>
                <w:b w:val="0"/>
                <w:sz w:val="24"/>
                <w:szCs w:val="24"/>
              </w:rPr>
            </w:pPr>
          </w:p>
        </w:tc>
      </w:tr>
      <w:tr w14:paraId="44C9E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80" w:type="dxa"/>
            <w:shd w:val="clear" w:color="auto" w:fill="FFFFFF"/>
            <w:vAlign w:val="center"/>
          </w:tcPr>
          <w:p w14:paraId="649887B1">
            <w:pPr>
              <w:jc w:val="left"/>
              <w:rPr>
                <w:b w:val="0"/>
                <w:sz w:val="24"/>
                <w:szCs w:val="24"/>
              </w:rPr>
            </w:pPr>
          </w:p>
        </w:tc>
        <w:tc>
          <w:tcPr>
            <w:tcW w:w="4071" w:type="dxa"/>
            <w:gridSpan w:val="2"/>
            <w:shd w:val="clear" w:color="auto" w:fill="auto"/>
            <w:vAlign w:val="center"/>
          </w:tcPr>
          <w:p w14:paraId="0B87B887">
            <w:pPr>
              <w:jc w:val="left"/>
              <w:rPr>
                <w:b w:val="0"/>
                <w:sz w:val="24"/>
                <w:szCs w:val="24"/>
              </w:rPr>
            </w:pPr>
            <w:r>
              <w:rPr>
                <w:rFonts w:hint="eastAsia"/>
                <w:b w:val="0"/>
                <w:sz w:val="24"/>
                <w:szCs w:val="24"/>
              </w:rPr>
              <w:t>合计</w:t>
            </w:r>
          </w:p>
        </w:tc>
        <w:tc>
          <w:tcPr>
            <w:tcW w:w="1552" w:type="dxa"/>
            <w:vMerge w:val="continue"/>
            <w:shd w:val="clear" w:color="auto" w:fill="auto"/>
            <w:vAlign w:val="center"/>
          </w:tcPr>
          <w:p w14:paraId="7A598952">
            <w:pPr>
              <w:jc w:val="left"/>
              <w:rPr>
                <w:b w:val="0"/>
                <w:sz w:val="24"/>
                <w:szCs w:val="24"/>
              </w:rPr>
            </w:pPr>
          </w:p>
        </w:tc>
        <w:tc>
          <w:tcPr>
            <w:tcW w:w="1403" w:type="dxa"/>
            <w:shd w:val="clear" w:color="auto" w:fill="auto"/>
            <w:vAlign w:val="center"/>
          </w:tcPr>
          <w:p w14:paraId="372FC4FB">
            <w:pPr>
              <w:jc w:val="left"/>
              <w:rPr>
                <w:b w:val="0"/>
                <w:sz w:val="24"/>
                <w:szCs w:val="24"/>
              </w:rPr>
            </w:pPr>
            <w:r>
              <w:rPr>
                <w:rFonts w:hint="eastAsia"/>
                <w:b w:val="0"/>
                <w:sz w:val="24"/>
                <w:szCs w:val="24"/>
              </w:rPr>
              <w:t>452500</w:t>
            </w:r>
          </w:p>
        </w:tc>
        <w:tc>
          <w:tcPr>
            <w:tcW w:w="854" w:type="dxa"/>
            <w:shd w:val="clear" w:color="auto" w:fill="auto"/>
            <w:vAlign w:val="center"/>
          </w:tcPr>
          <w:p w14:paraId="2D48682E">
            <w:pPr>
              <w:jc w:val="left"/>
              <w:rPr>
                <w:b w:val="0"/>
                <w:sz w:val="24"/>
                <w:szCs w:val="24"/>
              </w:rPr>
            </w:pPr>
          </w:p>
        </w:tc>
      </w:tr>
    </w:tbl>
    <w:p w14:paraId="5D929752">
      <w:pPr>
        <w:widowControl w:val="0"/>
        <w:shd w:val="clear" w:color="auto" w:fill="auto"/>
        <w:spacing w:line="560" w:lineRule="exact"/>
        <w:ind w:firstLine="480" w:firstLineChars="200"/>
        <w:jc w:val="both"/>
        <w:rPr>
          <w:b w:val="0"/>
          <w:sz w:val="24"/>
          <w:szCs w:val="24"/>
        </w:rPr>
      </w:pPr>
      <w:r>
        <w:rPr>
          <w:rFonts w:hint="eastAsia"/>
          <w:b w:val="0"/>
          <w:sz w:val="24"/>
          <w:szCs w:val="24"/>
        </w:rPr>
        <w:t>（二）项目绩效目标</w:t>
      </w:r>
    </w:p>
    <w:p w14:paraId="7CABEA6F">
      <w:pPr>
        <w:widowControl w:val="0"/>
        <w:shd w:val="clear" w:color="auto" w:fill="auto"/>
        <w:spacing w:line="560" w:lineRule="exact"/>
        <w:ind w:firstLine="480" w:firstLineChars="200"/>
        <w:jc w:val="both"/>
        <w:rPr>
          <w:b w:val="0"/>
          <w:sz w:val="24"/>
          <w:szCs w:val="24"/>
        </w:rPr>
      </w:pPr>
      <w:r>
        <w:rPr>
          <w:rFonts w:hint="eastAsia"/>
          <w:b w:val="0"/>
          <w:sz w:val="24"/>
          <w:szCs w:val="24"/>
        </w:rPr>
        <w:t>202</w:t>
      </w:r>
      <w:r>
        <w:rPr>
          <w:b w:val="0"/>
          <w:sz w:val="24"/>
          <w:szCs w:val="24"/>
        </w:rPr>
        <w:t>3</w:t>
      </w:r>
      <w:r>
        <w:rPr>
          <w:rFonts w:hint="eastAsia"/>
          <w:b w:val="0"/>
          <w:sz w:val="24"/>
          <w:szCs w:val="24"/>
        </w:rPr>
        <w:t>年怀远县从业人员预防性体检项目的总体目标为：对辖区内从事食品和生活饮用水生产经营人员；直接从事化妆品和消毒生产的人员；从事药品、保健品销售人员；公共场所直接为顾客服务人员开展</w:t>
      </w:r>
      <w:r>
        <w:rPr>
          <w:b w:val="0"/>
          <w:sz w:val="24"/>
          <w:szCs w:val="24"/>
        </w:rPr>
        <w:t>预防性体检</w:t>
      </w:r>
      <w:r>
        <w:rPr>
          <w:rFonts w:hint="eastAsia"/>
          <w:b w:val="0"/>
          <w:sz w:val="24"/>
          <w:szCs w:val="24"/>
        </w:rPr>
        <w:t>。整体提升怀远县城区健康环境水平和广大人民群众的满意度、获得感和幸福感，助力怀远县建设成为环境友好型的现代化县城。</w:t>
      </w:r>
    </w:p>
    <w:p w14:paraId="7C3165C7">
      <w:pPr>
        <w:widowControl w:val="0"/>
        <w:shd w:val="clear" w:color="auto" w:fill="auto"/>
        <w:spacing w:line="560" w:lineRule="exact"/>
        <w:ind w:firstLine="482" w:firstLineChars="200"/>
        <w:jc w:val="both"/>
        <w:rPr>
          <w:b/>
          <w:bCs/>
          <w:sz w:val="24"/>
          <w:szCs w:val="24"/>
        </w:rPr>
      </w:pPr>
      <w:bookmarkStart w:id="26" w:name="_Toc25852"/>
      <w:r>
        <w:rPr>
          <w:rFonts w:hint="eastAsia"/>
          <w:b/>
          <w:bCs/>
          <w:sz w:val="24"/>
          <w:szCs w:val="24"/>
        </w:rPr>
        <w:t>二、绩效评价工作开展情况</w:t>
      </w:r>
      <w:bookmarkEnd w:id="26"/>
    </w:p>
    <w:p w14:paraId="4FA88D71">
      <w:pPr>
        <w:widowControl w:val="0"/>
        <w:shd w:val="clear" w:color="auto" w:fill="auto"/>
        <w:spacing w:line="560" w:lineRule="exact"/>
        <w:ind w:firstLine="480" w:firstLineChars="200"/>
        <w:jc w:val="both"/>
        <w:rPr>
          <w:b w:val="0"/>
          <w:sz w:val="24"/>
          <w:szCs w:val="24"/>
        </w:rPr>
      </w:pPr>
      <w:r>
        <w:rPr>
          <w:rFonts w:hint="eastAsia"/>
          <w:b w:val="0"/>
          <w:sz w:val="24"/>
          <w:szCs w:val="24"/>
        </w:rPr>
        <w:t>（一）绩效评价目的、对象和范围</w:t>
      </w:r>
    </w:p>
    <w:p w14:paraId="2B886F31">
      <w:pPr>
        <w:widowControl w:val="0"/>
        <w:shd w:val="clear" w:color="auto" w:fill="auto"/>
        <w:spacing w:line="560" w:lineRule="exact"/>
        <w:ind w:firstLine="480" w:firstLineChars="200"/>
        <w:jc w:val="both"/>
        <w:rPr>
          <w:b w:val="0"/>
          <w:sz w:val="24"/>
          <w:szCs w:val="24"/>
        </w:rPr>
      </w:pPr>
      <w:r>
        <w:rPr>
          <w:rFonts w:hint="eastAsia"/>
          <w:b w:val="0"/>
          <w:sz w:val="24"/>
          <w:szCs w:val="24"/>
        </w:rPr>
        <w:t>1.评价目的</w:t>
      </w:r>
    </w:p>
    <w:p w14:paraId="62422254">
      <w:pPr>
        <w:widowControl w:val="0"/>
        <w:shd w:val="clear" w:color="auto" w:fill="auto"/>
        <w:spacing w:line="560" w:lineRule="exact"/>
        <w:ind w:firstLine="480" w:firstLineChars="200"/>
        <w:jc w:val="both"/>
        <w:rPr>
          <w:b w:val="0"/>
          <w:sz w:val="24"/>
          <w:szCs w:val="24"/>
        </w:rPr>
      </w:pPr>
      <w:r>
        <w:rPr>
          <w:rFonts w:hint="eastAsia"/>
          <w:b w:val="0"/>
          <w:sz w:val="24"/>
          <w:szCs w:val="24"/>
        </w:rPr>
        <w:t>了解怀远县疾病预防控制中心从业人员预防性体检项目的使用和效益情况，通过对202</w:t>
      </w:r>
      <w:r>
        <w:rPr>
          <w:b w:val="0"/>
          <w:sz w:val="24"/>
          <w:szCs w:val="24"/>
        </w:rPr>
        <w:t>3</w:t>
      </w:r>
      <w:r>
        <w:rPr>
          <w:rFonts w:hint="eastAsia"/>
          <w:b w:val="0"/>
          <w:sz w:val="24"/>
          <w:szCs w:val="24"/>
        </w:rPr>
        <w:t>年度从业人员预防性体检项目的立项投入、过程、产出和效果四个方面进行客观、公正的评价，总结本项目实施过程中的经验，发现问题，提出改进该项目立项投入、组织实施、运行管理的具体建议，进一步加强项目管理，提高财政资金的使用效益，为下一步预算资金安排提供重要参考。</w:t>
      </w:r>
    </w:p>
    <w:p w14:paraId="2FE34576">
      <w:pPr>
        <w:widowControl w:val="0"/>
        <w:shd w:val="clear" w:color="auto" w:fill="auto"/>
        <w:spacing w:line="560" w:lineRule="exact"/>
        <w:ind w:firstLine="480" w:firstLineChars="200"/>
        <w:jc w:val="both"/>
        <w:rPr>
          <w:b w:val="0"/>
          <w:sz w:val="24"/>
          <w:szCs w:val="24"/>
        </w:rPr>
      </w:pPr>
      <w:r>
        <w:rPr>
          <w:rFonts w:hint="eastAsia"/>
          <w:b w:val="0"/>
          <w:sz w:val="24"/>
          <w:szCs w:val="24"/>
        </w:rPr>
        <w:t>2.评价对象与范围</w:t>
      </w:r>
    </w:p>
    <w:p w14:paraId="27F82958">
      <w:pPr>
        <w:widowControl w:val="0"/>
        <w:shd w:val="clear" w:color="auto" w:fill="auto"/>
        <w:spacing w:line="560" w:lineRule="exact"/>
        <w:ind w:firstLine="480" w:firstLineChars="200"/>
        <w:jc w:val="both"/>
        <w:rPr>
          <w:b w:val="0"/>
          <w:sz w:val="24"/>
          <w:szCs w:val="24"/>
        </w:rPr>
      </w:pPr>
      <w:r>
        <w:rPr>
          <w:rFonts w:hint="eastAsia"/>
          <w:b w:val="0"/>
          <w:sz w:val="24"/>
          <w:szCs w:val="24"/>
        </w:rPr>
        <w:t>评价对象与范围：对从事食品、饮用水生产经营人员、化妆品生产人员，主要检查病毒性肝炎、痢疾、伤寒、活动性肺结核、皮肤病及其他有碍食品卫生的疾病，以上人员每年体检1次。公共场所中的桑拿、洗浴、交际场所（茶室、酒吧、咖啡馆）、文化娱乐场所（歌舞厅、夜总会、卡拉OK厅、KTV量贩）、美容美发厅（室）、旅店业、游泳场所直接为顾客服务的人员主要检查病毒性肝炎、痢疾、伤寒、活动性肺结核、艾滋病，皮肤病以及其他有碍公共卫生的疾病，每年体检1次。</w:t>
      </w:r>
    </w:p>
    <w:p w14:paraId="55C3D2C9">
      <w:pPr>
        <w:widowControl w:val="0"/>
        <w:shd w:val="clear" w:color="auto" w:fill="auto"/>
        <w:spacing w:line="560" w:lineRule="exact"/>
        <w:ind w:firstLine="480" w:firstLineChars="200"/>
        <w:jc w:val="both"/>
        <w:rPr>
          <w:b w:val="0"/>
          <w:sz w:val="24"/>
          <w:szCs w:val="24"/>
        </w:rPr>
      </w:pPr>
      <w:r>
        <w:rPr>
          <w:rFonts w:hint="eastAsia"/>
          <w:b w:val="0"/>
          <w:sz w:val="24"/>
          <w:szCs w:val="24"/>
        </w:rPr>
        <w:t>（二）绩效评价原则、评价指标体系、评价方法及评价标准</w:t>
      </w:r>
    </w:p>
    <w:p w14:paraId="6DC5383D">
      <w:pPr>
        <w:widowControl w:val="0"/>
        <w:shd w:val="clear" w:color="auto" w:fill="auto"/>
        <w:spacing w:line="560" w:lineRule="exact"/>
        <w:ind w:firstLine="480" w:firstLineChars="200"/>
        <w:jc w:val="both"/>
        <w:rPr>
          <w:b w:val="0"/>
          <w:sz w:val="24"/>
          <w:szCs w:val="24"/>
        </w:rPr>
      </w:pPr>
      <w:bookmarkStart w:id="27" w:name="_Toc29742"/>
      <w:bookmarkStart w:id="28" w:name="_Toc10082"/>
      <w:r>
        <w:rPr>
          <w:rFonts w:hint="eastAsia"/>
          <w:b w:val="0"/>
          <w:sz w:val="24"/>
          <w:szCs w:val="24"/>
        </w:rPr>
        <w:t>1、评价原则</w:t>
      </w:r>
      <w:bookmarkEnd w:id="27"/>
      <w:bookmarkEnd w:id="28"/>
    </w:p>
    <w:p w14:paraId="40AC78B6">
      <w:pPr>
        <w:widowControl w:val="0"/>
        <w:shd w:val="clear" w:color="auto" w:fill="auto"/>
        <w:spacing w:line="560" w:lineRule="exact"/>
        <w:ind w:firstLine="480" w:firstLineChars="200"/>
        <w:jc w:val="both"/>
        <w:rPr>
          <w:b w:val="0"/>
          <w:sz w:val="24"/>
          <w:szCs w:val="24"/>
        </w:rPr>
      </w:pPr>
      <w:r>
        <w:rPr>
          <w:rFonts w:hint="eastAsia"/>
          <w:b w:val="0"/>
          <w:sz w:val="24"/>
          <w:szCs w:val="24"/>
        </w:rPr>
        <w:t>科学规范原则。绩效评价应当严格执行规定的程序，按照科学可行的要求，采用定量与定性分析相结合的方法。</w:t>
      </w:r>
    </w:p>
    <w:p w14:paraId="68DCEC42">
      <w:pPr>
        <w:widowControl w:val="0"/>
        <w:shd w:val="clear" w:color="auto" w:fill="auto"/>
        <w:spacing w:line="560" w:lineRule="exact"/>
        <w:ind w:firstLine="480" w:firstLineChars="200"/>
        <w:jc w:val="both"/>
        <w:rPr>
          <w:b w:val="0"/>
          <w:sz w:val="24"/>
          <w:szCs w:val="24"/>
        </w:rPr>
      </w:pPr>
      <w:r>
        <w:rPr>
          <w:rFonts w:hint="eastAsia"/>
          <w:b w:val="0"/>
          <w:sz w:val="24"/>
          <w:szCs w:val="24"/>
        </w:rPr>
        <w:t>公正公开原则。绩效评价应当符合真实、客观、公正的要求，依法公开并接受监督。</w:t>
      </w:r>
    </w:p>
    <w:p w14:paraId="70B18BEB">
      <w:pPr>
        <w:widowControl w:val="0"/>
        <w:shd w:val="clear" w:color="auto" w:fill="auto"/>
        <w:spacing w:line="560" w:lineRule="exact"/>
        <w:ind w:firstLine="480" w:firstLineChars="200"/>
        <w:jc w:val="both"/>
        <w:rPr>
          <w:b w:val="0"/>
          <w:sz w:val="24"/>
          <w:szCs w:val="24"/>
        </w:rPr>
      </w:pPr>
      <w:r>
        <w:rPr>
          <w:rFonts w:hint="eastAsia"/>
          <w:b w:val="0"/>
          <w:sz w:val="24"/>
          <w:szCs w:val="24"/>
        </w:rPr>
        <w:t>2、绩效目标完成情况</w:t>
      </w:r>
    </w:p>
    <w:p w14:paraId="10B777DE">
      <w:pPr>
        <w:widowControl w:val="0"/>
        <w:shd w:val="clear" w:color="auto" w:fill="auto"/>
        <w:spacing w:line="560" w:lineRule="exact"/>
        <w:ind w:firstLine="480" w:firstLineChars="200"/>
        <w:jc w:val="both"/>
        <w:rPr>
          <w:b w:val="0"/>
          <w:sz w:val="24"/>
          <w:szCs w:val="24"/>
        </w:rPr>
      </w:pPr>
      <w:r>
        <w:rPr>
          <w:rFonts w:hint="eastAsia"/>
          <w:b w:val="0"/>
          <w:sz w:val="24"/>
          <w:szCs w:val="24"/>
        </w:rPr>
        <w:t>项目绩效评价小组遵循科学规范、公正公开，分级分类和绩效相关原则，通过审计材料、核对数据、询问查验、阅卷分析、抽查项目现场和实际效果对比等方法，全面评价了“202</w:t>
      </w:r>
      <w:r>
        <w:rPr>
          <w:b w:val="0"/>
          <w:sz w:val="24"/>
          <w:szCs w:val="24"/>
        </w:rPr>
        <w:t>3</w:t>
      </w:r>
      <w:r>
        <w:rPr>
          <w:rFonts w:hint="eastAsia"/>
          <w:b w:val="0"/>
          <w:sz w:val="24"/>
          <w:szCs w:val="24"/>
        </w:rPr>
        <w:t xml:space="preserve">年度怀远县从业人员预防性体检”综合绩效，得出绩效评价结论是：项目有实际具体社会需求和量化目标，符合国家法规和政策，项目决策正确； </w:t>
      </w:r>
    </w:p>
    <w:p w14:paraId="6B0A132C">
      <w:pPr>
        <w:widowControl w:val="0"/>
        <w:shd w:val="clear" w:color="auto" w:fill="auto"/>
        <w:spacing w:line="560" w:lineRule="exact"/>
        <w:ind w:firstLine="480" w:firstLineChars="200"/>
        <w:jc w:val="both"/>
        <w:rPr>
          <w:b w:val="0"/>
          <w:sz w:val="24"/>
          <w:szCs w:val="24"/>
        </w:rPr>
      </w:pPr>
      <w:r>
        <w:rPr>
          <w:rFonts w:hint="eastAsia"/>
          <w:b w:val="0"/>
          <w:sz w:val="24"/>
          <w:szCs w:val="24"/>
        </w:rPr>
        <w:t>从资金分配、使用、执行到监督有章可循，进度、质量管理实施有效，管理水平较高，项目绩效较好。怀远县按所属各县区的综合得分计算平均分，得出评价结果为：良</w:t>
      </w:r>
    </w:p>
    <w:p w14:paraId="1E073392">
      <w:pPr>
        <w:widowControl w:val="0"/>
        <w:shd w:val="clear" w:color="auto" w:fill="auto"/>
        <w:spacing w:line="560" w:lineRule="exact"/>
        <w:ind w:firstLine="480" w:firstLineChars="200"/>
        <w:jc w:val="both"/>
        <w:rPr>
          <w:b w:val="0"/>
          <w:sz w:val="24"/>
          <w:szCs w:val="24"/>
        </w:rPr>
      </w:pPr>
      <w:r>
        <w:rPr>
          <w:rFonts w:hint="eastAsia"/>
          <w:b w:val="0"/>
          <w:sz w:val="24"/>
          <w:szCs w:val="24"/>
        </w:rPr>
        <w:t>发挥社会效益，从业人员预防性体检</w:t>
      </w:r>
      <w:bookmarkStart w:id="29" w:name="_Toc20173"/>
      <w:bookmarkStart w:id="30" w:name="_Toc32154"/>
      <w:r>
        <w:rPr>
          <w:rFonts w:hint="eastAsia"/>
          <w:b w:val="0"/>
          <w:sz w:val="24"/>
          <w:szCs w:val="24"/>
        </w:rPr>
        <w:t>有利于创造良好的食品和公共场所卫生条件，减少疾病通过餐饮、公共服务行业对社会人群带来的健康危害，预防疾病的传播，保护广大人民群众身体健康。</w:t>
      </w:r>
    </w:p>
    <w:p w14:paraId="01DB5F24">
      <w:pPr>
        <w:widowControl w:val="0"/>
        <w:shd w:val="clear" w:color="auto" w:fill="auto"/>
        <w:spacing w:line="560" w:lineRule="exact"/>
        <w:ind w:firstLine="480" w:firstLineChars="200"/>
        <w:jc w:val="both"/>
        <w:rPr>
          <w:b w:val="0"/>
          <w:sz w:val="24"/>
          <w:szCs w:val="24"/>
        </w:rPr>
      </w:pPr>
      <w:r>
        <w:rPr>
          <w:rFonts w:hint="eastAsia"/>
          <w:b w:val="0"/>
          <w:sz w:val="24"/>
          <w:szCs w:val="24"/>
        </w:rPr>
        <w:t>3、评价等级</w:t>
      </w:r>
      <w:bookmarkEnd w:id="29"/>
      <w:bookmarkEnd w:id="30"/>
    </w:p>
    <w:p w14:paraId="70C99B73">
      <w:pPr>
        <w:widowControl w:val="0"/>
        <w:shd w:val="clear" w:color="auto" w:fill="auto"/>
        <w:spacing w:line="560" w:lineRule="exact"/>
        <w:ind w:firstLine="480" w:firstLineChars="200"/>
        <w:jc w:val="both"/>
        <w:rPr>
          <w:b w:val="0"/>
          <w:sz w:val="24"/>
          <w:szCs w:val="24"/>
        </w:rPr>
      </w:pPr>
      <w:r>
        <w:rPr>
          <w:rFonts w:hint="eastAsia"/>
          <w:b w:val="0"/>
          <w:sz w:val="24"/>
          <w:szCs w:val="24"/>
        </w:rPr>
        <w:t>绩效评价结果采取评分和评级相结合的方式，本项目具体分值和等级的设定：总分设置为100分，等级划分为四档：</w:t>
      </w:r>
      <w:r>
        <w:rPr>
          <w:rFonts w:ascii="Calibri" w:hAnsi="Calibri" w:cs="Calibri"/>
          <w:b w:val="0"/>
          <w:sz w:val="24"/>
          <w:szCs w:val="24"/>
        </w:rPr>
        <w:t> </w:t>
      </w:r>
      <w:r>
        <w:rPr>
          <w:rFonts w:hint="eastAsia"/>
          <w:b w:val="0"/>
          <w:sz w:val="24"/>
          <w:szCs w:val="24"/>
        </w:rPr>
        <w:t>90(含）-100</w:t>
      </w:r>
      <w:r>
        <w:rPr>
          <w:rFonts w:ascii="Calibri" w:hAnsi="Calibri" w:cs="Calibri"/>
          <w:b w:val="0"/>
          <w:sz w:val="24"/>
          <w:szCs w:val="24"/>
        </w:rPr>
        <w:t> </w:t>
      </w:r>
      <w:r>
        <w:rPr>
          <w:rFonts w:hint="eastAsia"/>
          <w:b w:val="0"/>
          <w:sz w:val="24"/>
          <w:szCs w:val="24"/>
        </w:rPr>
        <w:t>分为优、80 (含）- 90分为良、</w:t>
      </w:r>
      <w:r>
        <w:rPr>
          <w:rFonts w:ascii="Calibri" w:hAnsi="Calibri" w:cs="Calibri"/>
          <w:b w:val="0"/>
          <w:sz w:val="24"/>
          <w:szCs w:val="24"/>
        </w:rPr>
        <w:t> </w:t>
      </w:r>
      <w:r>
        <w:rPr>
          <w:rFonts w:hint="eastAsia"/>
          <w:b w:val="0"/>
          <w:sz w:val="24"/>
          <w:szCs w:val="24"/>
        </w:rPr>
        <w:t>60(含）-80分为中、</w:t>
      </w:r>
      <w:r>
        <w:rPr>
          <w:rFonts w:ascii="Calibri" w:hAnsi="Calibri" w:cs="Calibri"/>
          <w:b w:val="0"/>
          <w:sz w:val="24"/>
          <w:szCs w:val="24"/>
        </w:rPr>
        <w:t> </w:t>
      </w:r>
      <w:r>
        <w:rPr>
          <w:rFonts w:hint="eastAsia"/>
          <w:b w:val="0"/>
          <w:sz w:val="24"/>
          <w:szCs w:val="24"/>
        </w:rPr>
        <w:t>60分以下为差。</w:t>
      </w:r>
    </w:p>
    <w:p w14:paraId="4AD738DB">
      <w:pPr>
        <w:widowControl w:val="0"/>
        <w:shd w:val="clear" w:color="auto" w:fill="auto"/>
        <w:spacing w:line="560" w:lineRule="exact"/>
        <w:ind w:firstLine="480" w:firstLineChars="200"/>
        <w:jc w:val="both"/>
        <w:rPr>
          <w:b w:val="0"/>
          <w:sz w:val="24"/>
          <w:szCs w:val="24"/>
        </w:rPr>
      </w:pPr>
      <w:r>
        <w:rPr>
          <w:rFonts w:hint="eastAsia"/>
          <w:b w:val="0"/>
          <w:sz w:val="24"/>
          <w:szCs w:val="24"/>
        </w:rPr>
        <w:t>（三）绩效评价工作过程</w:t>
      </w:r>
    </w:p>
    <w:p w14:paraId="24408D14">
      <w:pPr>
        <w:widowControl w:val="0"/>
        <w:shd w:val="clear" w:color="auto" w:fill="auto"/>
        <w:spacing w:line="560" w:lineRule="exact"/>
        <w:ind w:firstLine="480" w:firstLineChars="200"/>
        <w:jc w:val="both"/>
        <w:rPr>
          <w:b w:val="0"/>
          <w:sz w:val="24"/>
          <w:szCs w:val="24"/>
        </w:rPr>
      </w:pPr>
      <w:bookmarkStart w:id="31" w:name="_Toc22859"/>
      <w:bookmarkStart w:id="32" w:name="_Toc12409"/>
      <w:r>
        <w:rPr>
          <w:rFonts w:hint="eastAsia"/>
          <w:b w:val="0"/>
          <w:sz w:val="24"/>
          <w:szCs w:val="24"/>
        </w:rPr>
        <w:t>1、前期准备</w:t>
      </w:r>
      <w:bookmarkEnd w:id="31"/>
      <w:bookmarkEnd w:id="32"/>
    </w:p>
    <w:p w14:paraId="3585803E">
      <w:pPr>
        <w:widowControl w:val="0"/>
        <w:shd w:val="clear" w:color="auto" w:fill="auto"/>
        <w:spacing w:line="560" w:lineRule="exact"/>
        <w:ind w:firstLine="480" w:firstLineChars="200"/>
        <w:jc w:val="both"/>
        <w:rPr>
          <w:b w:val="0"/>
          <w:sz w:val="24"/>
          <w:szCs w:val="24"/>
        </w:rPr>
      </w:pPr>
      <w:r>
        <w:rPr>
          <w:rFonts w:hint="eastAsia"/>
          <w:b w:val="0"/>
          <w:sz w:val="24"/>
          <w:szCs w:val="24"/>
        </w:rPr>
        <w:t>20</w:t>
      </w:r>
      <w:r>
        <w:rPr>
          <w:rFonts w:hint="eastAsia"/>
          <w:b w:val="0"/>
          <w:sz w:val="24"/>
          <w:szCs w:val="24"/>
          <w:lang w:val="en-US" w:eastAsia="zh-CN"/>
        </w:rPr>
        <w:t>24</w:t>
      </w:r>
      <w:r>
        <w:rPr>
          <w:rFonts w:hint="eastAsia"/>
          <w:b w:val="0"/>
          <w:sz w:val="24"/>
          <w:szCs w:val="24"/>
        </w:rPr>
        <w:t>年</w:t>
      </w:r>
      <w:r>
        <w:rPr>
          <w:rFonts w:hint="eastAsia"/>
          <w:b w:val="0"/>
          <w:sz w:val="24"/>
          <w:szCs w:val="24"/>
          <w:lang w:val="en-US" w:eastAsia="zh-CN"/>
        </w:rPr>
        <w:t>12</w:t>
      </w:r>
      <w:r>
        <w:rPr>
          <w:rFonts w:hint="eastAsia"/>
          <w:b w:val="0"/>
          <w:sz w:val="24"/>
          <w:szCs w:val="24"/>
        </w:rPr>
        <w:t>月，开始前期准备工作，单位自评，财政组织，评价组通过对评价对象前期调研，确定了评价的目的、方法以及评价的原则，根据项目的内容和特征制定了评价指标体系及评价标准以及评价实施方案，了解个性指标，修正并确定所需资料清单、社会效益调查问卷，最终确定实施方案。</w:t>
      </w:r>
    </w:p>
    <w:p w14:paraId="6F4F0582">
      <w:pPr>
        <w:widowControl w:val="0"/>
        <w:shd w:val="clear" w:color="auto" w:fill="auto"/>
        <w:spacing w:line="560" w:lineRule="exact"/>
        <w:ind w:firstLine="480" w:firstLineChars="200"/>
        <w:jc w:val="both"/>
        <w:rPr>
          <w:b w:val="0"/>
          <w:sz w:val="24"/>
          <w:szCs w:val="24"/>
        </w:rPr>
      </w:pPr>
      <w:bookmarkStart w:id="33" w:name="_Toc19319"/>
      <w:bookmarkStart w:id="34" w:name="_Toc29233"/>
      <w:r>
        <w:rPr>
          <w:rFonts w:hint="eastAsia"/>
          <w:b w:val="0"/>
          <w:sz w:val="24"/>
          <w:szCs w:val="24"/>
        </w:rPr>
        <w:t>2、组织实施</w:t>
      </w:r>
      <w:bookmarkEnd w:id="33"/>
      <w:bookmarkEnd w:id="34"/>
    </w:p>
    <w:p w14:paraId="5F52D6FD">
      <w:pPr>
        <w:widowControl w:val="0"/>
        <w:shd w:val="clear" w:color="auto" w:fill="auto"/>
        <w:spacing w:line="560" w:lineRule="exact"/>
        <w:ind w:firstLine="480" w:firstLineChars="200"/>
        <w:jc w:val="both"/>
        <w:rPr>
          <w:b w:val="0"/>
          <w:sz w:val="24"/>
          <w:szCs w:val="24"/>
        </w:rPr>
      </w:pPr>
      <w:r>
        <w:rPr>
          <w:rFonts w:hint="eastAsia"/>
          <w:b w:val="0"/>
          <w:sz w:val="24"/>
          <w:szCs w:val="24"/>
        </w:rPr>
        <w:t>20</w:t>
      </w:r>
      <w:r>
        <w:rPr>
          <w:rFonts w:hint="eastAsia"/>
          <w:b w:val="0"/>
          <w:sz w:val="24"/>
          <w:szCs w:val="24"/>
          <w:lang w:val="en-US" w:eastAsia="zh-CN"/>
        </w:rPr>
        <w:t>24</w:t>
      </w:r>
      <w:r>
        <w:rPr>
          <w:rFonts w:hint="eastAsia"/>
          <w:b w:val="0"/>
          <w:sz w:val="24"/>
          <w:szCs w:val="24"/>
        </w:rPr>
        <w:t>年</w:t>
      </w:r>
      <w:r>
        <w:rPr>
          <w:rFonts w:hint="eastAsia"/>
          <w:b w:val="0"/>
          <w:sz w:val="24"/>
          <w:szCs w:val="24"/>
          <w:lang w:val="en-US" w:eastAsia="zh-CN"/>
        </w:rPr>
        <w:t>12</w:t>
      </w:r>
      <w:r>
        <w:rPr>
          <w:rFonts w:hint="eastAsia"/>
          <w:b w:val="0"/>
          <w:sz w:val="24"/>
          <w:szCs w:val="24"/>
        </w:rPr>
        <w:t>月，评价工作进入实施阶段，整理项目相关信息，确立项目绩效目标，设计绩效评价指标体系，查阅财务会计资料，电话微信回访。</w:t>
      </w:r>
    </w:p>
    <w:p w14:paraId="2D698F4F">
      <w:pPr>
        <w:widowControl w:val="0"/>
        <w:shd w:val="clear" w:color="auto" w:fill="auto"/>
        <w:spacing w:line="560" w:lineRule="exact"/>
        <w:ind w:firstLine="480" w:firstLineChars="200"/>
        <w:jc w:val="both"/>
        <w:rPr>
          <w:b w:val="0"/>
          <w:sz w:val="24"/>
          <w:szCs w:val="24"/>
        </w:rPr>
      </w:pPr>
      <w:bookmarkStart w:id="35" w:name="_Toc10257"/>
      <w:bookmarkStart w:id="36" w:name="_Toc8989"/>
      <w:r>
        <w:rPr>
          <w:rFonts w:hint="eastAsia"/>
          <w:b w:val="0"/>
          <w:sz w:val="24"/>
          <w:szCs w:val="24"/>
        </w:rPr>
        <w:t>3、分析评价</w:t>
      </w:r>
      <w:bookmarkEnd w:id="35"/>
      <w:bookmarkEnd w:id="36"/>
      <w:bookmarkStart w:id="100" w:name="_GoBack"/>
      <w:bookmarkEnd w:id="100"/>
    </w:p>
    <w:p w14:paraId="297EF477">
      <w:pPr>
        <w:widowControl w:val="0"/>
        <w:shd w:val="clear" w:color="auto" w:fill="auto"/>
        <w:spacing w:line="560" w:lineRule="exact"/>
        <w:ind w:firstLine="480" w:firstLineChars="200"/>
        <w:jc w:val="both"/>
        <w:rPr>
          <w:b w:val="0"/>
          <w:sz w:val="24"/>
          <w:szCs w:val="24"/>
        </w:rPr>
      </w:pPr>
      <w:r>
        <w:rPr>
          <w:rFonts w:hint="eastAsia"/>
          <w:b w:val="0"/>
          <w:sz w:val="24"/>
          <w:szCs w:val="24"/>
        </w:rPr>
        <w:t>评价组按照绩效评价的原则和规范，对取得的资料进行审査核实，对采集的数据进行分析，分析项目管理情况和资金效益，按照绩效评价指标评分表逐项进行评分、分析，汇总各方评价结果，综合分析并形成评价结论。根据结果进行综合评价并提出提议。</w:t>
      </w:r>
    </w:p>
    <w:p w14:paraId="1052E5C6">
      <w:pPr>
        <w:widowControl w:val="0"/>
        <w:shd w:val="clear" w:color="auto" w:fill="auto"/>
        <w:spacing w:line="560" w:lineRule="exact"/>
        <w:ind w:firstLine="482" w:firstLineChars="200"/>
        <w:jc w:val="both"/>
        <w:rPr>
          <w:b/>
          <w:bCs/>
          <w:sz w:val="24"/>
          <w:szCs w:val="24"/>
        </w:rPr>
      </w:pPr>
      <w:bookmarkStart w:id="37" w:name="_Toc25015"/>
      <w:r>
        <w:rPr>
          <w:rFonts w:hint="eastAsia"/>
          <w:b/>
          <w:bCs/>
          <w:sz w:val="24"/>
          <w:szCs w:val="24"/>
        </w:rPr>
        <w:t>三、综合评价情况及评价结论</w:t>
      </w:r>
      <w:bookmarkEnd w:id="37"/>
    </w:p>
    <w:p w14:paraId="7A9097A4">
      <w:pPr>
        <w:widowControl w:val="0"/>
        <w:shd w:val="clear" w:color="auto" w:fill="auto"/>
        <w:spacing w:line="560" w:lineRule="exact"/>
        <w:ind w:firstLine="480" w:firstLineChars="200"/>
        <w:jc w:val="both"/>
        <w:rPr>
          <w:rFonts w:hint="eastAsia"/>
          <w:b w:val="0"/>
          <w:sz w:val="24"/>
          <w:szCs w:val="24"/>
        </w:rPr>
      </w:pPr>
      <w:r>
        <w:rPr>
          <w:rFonts w:hint="eastAsia"/>
          <w:b w:val="0"/>
          <w:sz w:val="24"/>
          <w:szCs w:val="24"/>
        </w:rPr>
        <w:t>（一）综合</w:t>
      </w:r>
      <w:r>
        <w:rPr>
          <w:b w:val="0"/>
          <w:sz w:val="24"/>
          <w:szCs w:val="24"/>
        </w:rPr>
        <w:t>评价情况</w:t>
      </w:r>
    </w:p>
    <w:p w14:paraId="32133B29">
      <w:pPr>
        <w:widowControl w:val="0"/>
        <w:shd w:val="clear" w:color="auto" w:fill="auto"/>
        <w:spacing w:line="560" w:lineRule="exact"/>
        <w:ind w:firstLine="480" w:firstLineChars="200"/>
        <w:jc w:val="both"/>
        <w:rPr>
          <w:b w:val="0"/>
          <w:sz w:val="24"/>
          <w:szCs w:val="24"/>
        </w:rPr>
      </w:pPr>
      <w:r>
        <w:rPr>
          <w:rFonts w:hint="eastAsia"/>
          <w:b w:val="0"/>
          <w:sz w:val="24"/>
          <w:szCs w:val="24"/>
        </w:rPr>
        <w:t>评价组对项目实施单位提供的资料进行书面评审、项目组现场检查评价、评价分析认为</w:t>
      </w:r>
      <w:r>
        <w:rPr>
          <w:b w:val="0"/>
          <w:sz w:val="24"/>
          <w:szCs w:val="24"/>
        </w:rPr>
        <w:t>2023年</w:t>
      </w:r>
      <w:r>
        <w:rPr>
          <w:rFonts w:hint="eastAsia"/>
          <w:b w:val="0"/>
          <w:sz w:val="24"/>
          <w:szCs w:val="24"/>
        </w:rPr>
        <w:t>从业人员预防性体检</w:t>
      </w:r>
      <w:r>
        <w:rPr>
          <w:b w:val="0"/>
          <w:sz w:val="24"/>
          <w:szCs w:val="24"/>
        </w:rPr>
        <w:t>项目立项依据充分，立项程序规范，绩效目标设置合理，资金到位及时、使用合规，管理制度健全，基本得到有效执行，项目产出完成情况良好，取得了较好的社会、经济和生态效益，服务对象满意度高。</w:t>
      </w:r>
    </w:p>
    <w:p w14:paraId="18A9E34C">
      <w:pPr>
        <w:widowControl w:val="0"/>
        <w:shd w:val="clear" w:color="auto" w:fill="auto"/>
        <w:spacing w:line="560" w:lineRule="exact"/>
        <w:ind w:firstLine="480" w:firstLineChars="200"/>
        <w:jc w:val="both"/>
        <w:rPr>
          <w:b w:val="0"/>
          <w:sz w:val="24"/>
          <w:szCs w:val="24"/>
        </w:rPr>
      </w:pPr>
      <w:r>
        <w:rPr>
          <w:rFonts w:hint="eastAsia"/>
          <w:b w:val="0"/>
          <w:sz w:val="24"/>
          <w:szCs w:val="24"/>
        </w:rPr>
        <w:t>（二）评价结论</w:t>
      </w:r>
    </w:p>
    <w:p w14:paraId="635C90B9">
      <w:pPr>
        <w:widowControl w:val="0"/>
        <w:shd w:val="clear" w:color="auto" w:fill="auto"/>
        <w:spacing w:line="560" w:lineRule="exact"/>
        <w:ind w:firstLine="480" w:firstLineChars="200"/>
        <w:jc w:val="both"/>
        <w:rPr>
          <w:b w:val="0"/>
          <w:sz w:val="24"/>
          <w:szCs w:val="24"/>
        </w:rPr>
      </w:pPr>
      <w:r>
        <w:rPr>
          <w:rFonts w:hint="eastAsia"/>
          <w:b w:val="0"/>
          <w:sz w:val="24"/>
          <w:szCs w:val="24"/>
        </w:rPr>
        <w:t>根据评价指标体系对本项目的绩效进行评价，本项目综合评价得分为</w:t>
      </w:r>
      <w:r>
        <w:rPr>
          <w:b w:val="0"/>
          <w:sz w:val="24"/>
          <w:szCs w:val="24"/>
        </w:rPr>
        <w:t>80.5</w:t>
      </w:r>
      <w:r>
        <w:rPr>
          <w:rFonts w:hint="eastAsia"/>
          <w:b w:val="0"/>
          <w:sz w:val="24"/>
          <w:szCs w:val="24"/>
        </w:rPr>
        <w:t>分，评价等级为“良”。评价得分汇总情况见下表所示：</w:t>
      </w:r>
    </w:p>
    <w:tbl>
      <w:tblPr>
        <w:tblStyle w:val="17"/>
        <w:tblW w:w="9129" w:type="dxa"/>
        <w:tblInd w:w="0" w:type="dxa"/>
        <w:tblLayout w:type="autofit"/>
        <w:tblCellMar>
          <w:top w:w="0" w:type="dxa"/>
          <w:left w:w="0" w:type="dxa"/>
          <w:bottom w:w="0" w:type="dxa"/>
          <w:right w:w="0" w:type="dxa"/>
        </w:tblCellMar>
      </w:tblPr>
      <w:tblGrid>
        <w:gridCol w:w="1500"/>
        <w:gridCol w:w="1146"/>
        <w:gridCol w:w="1532"/>
        <w:gridCol w:w="1819"/>
        <w:gridCol w:w="1261"/>
        <w:gridCol w:w="1871"/>
      </w:tblGrid>
      <w:tr w14:paraId="3886C2A4">
        <w:tblPrEx>
          <w:tblCellMar>
            <w:top w:w="0" w:type="dxa"/>
            <w:left w:w="0" w:type="dxa"/>
            <w:bottom w:w="0" w:type="dxa"/>
            <w:right w:w="0" w:type="dxa"/>
          </w:tblCellMar>
        </w:tblPrEx>
        <w:tc>
          <w:tcPr>
            <w:tcW w:w="15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087FAEFF">
            <w:pPr>
              <w:jc w:val="left"/>
              <w:rPr>
                <w:b w:val="0"/>
                <w:sz w:val="24"/>
                <w:szCs w:val="24"/>
              </w:rPr>
            </w:pPr>
            <w:r>
              <w:rPr>
                <w:rFonts w:hint="eastAsia"/>
                <w:b w:val="0"/>
                <w:sz w:val="24"/>
                <w:szCs w:val="24"/>
              </w:rPr>
              <w:t>评价指标</w:t>
            </w:r>
          </w:p>
        </w:tc>
        <w:tc>
          <w:tcPr>
            <w:tcW w:w="1146"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64EE2698">
            <w:pPr>
              <w:jc w:val="left"/>
              <w:rPr>
                <w:b w:val="0"/>
                <w:sz w:val="24"/>
                <w:szCs w:val="24"/>
              </w:rPr>
            </w:pPr>
            <w:r>
              <w:rPr>
                <w:rFonts w:hint="eastAsia"/>
                <w:b w:val="0"/>
                <w:sz w:val="24"/>
                <w:szCs w:val="24"/>
              </w:rPr>
              <w:t>权重</w:t>
            </w:r>
          </w:p>
        </w:tc>
        <w:tc>
          <w:tcPr>
            <w:tcW w:w="1532"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066C5DA5">
            <w:pPr>
              <w:jc w:val="left"/>
              <w:rPr>
                <w:b w:val="0"/>
                <w:sz w:val="24"/>
                <w:szCs w:val="24"/>
              </w:rPr>
            </w:pPr>
            <w:r>
              <w:rPr>
                <w:rFonts w:hint="eastAsia"/>
                <w:b w:val="0"/>
                <w:sz w:val="24"/>
                <w:szCs w:val="24"/>
              </w:rPr>
              <w:t>评级分值</w:t>
            </w:r>
          </w:p>
        </w:tc>
        <w:tc>
          <w:tcPr>
            <w:tcW w:w="1819"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2EC4BFA8">
            <w:pPr>
              <w:jc w:val="left"/>
              <w:rPr>
                <w:b w:val="0"/>
                <w:sz w:val="24"/>
                <w:szCs w:val="24"/>
              </w:rPr>
            </w:pPr>
            <w:r>
              <w:rPr>
                <w:rFonts w:hint="eastAsia"/>
                <w:b w:val="0"/>
                <w:sz w:val="24"/>
                <w:szCs w:val="24"/>
              </w:rPr>
              <w:t>本项目得分</w:t>
            </w:r>
          </w:p>
        </w:tc>
        <w:tc>
          <w:tcPr>
            <w:tcW w:w="1261"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69DAF79C">
            <w:pPr>
              <w:jc w:val="left"/>
              <w:rPr>
                <w:b w:val="0"/>
                <w:sz w:val="24"/>
                <w:szCs w:val="24"/>
              </w:rPr>
            </w:pPr>
            <w:r>
              <w:rPr>
                <w:rFonts w:hint="eastAsia"/>
                <w:b w:val="0"/>
                <w:sz w:val="24"/>
                <w:szCs w:val="24"/>
              </w:rPr>
              <w:t>得分率</w:t>
            </w:r>
          </w:p>
        </w:tc>
        <w:tc>
          <w:tcPr>
            <w:tcW w:w="1871"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49893A3C">
            <w:pPr>
              <w:jc w:val="left"/>
              <w:rPr>
                <w:b w:val="0"/>
                <w:sz w:val="24"/>
                <w:szCs w:val="24"/>
              </w:rPr>
            </w:pPr>
            <w:r>
              <w:rPr>
                <w:rFonts w:hint="eastAsia"/>
                <w:b w:val="0"/>
                <w:sz w:val="24"/>
                <w:szCs w:val="24"/>
              </w:rPr>
              <w:t>绩效评价</w:t>
            </w:r>
          </w:p>
        </w:tc>
      </w:tr>
      <w:tr w14:paraId="2F95B897">
        <w:tblPrEx>
          <w:tblCellMar>
            <w:top w:w="0" w:type="dxa"/>
            <w:left w:w="0" w:type="dxa"/>
            <w:bottom w:w="0" w:type="dxa"/>
            <w:right w:w="0" w:type="dxa"/>
          </w:tblCellMar>
        </w:tblPrEx>
        <w:tc>
          <w:tcPr>
            <w:tcW w:w="1500"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75281B0D">
            <w:pPr>
              <w:jc w:val="left"/>
              <w:rPr>
                <w:b w:val="0"/>
                <w:sz w:val="24"/>
                <w:szCs w:val="24"/>
              </w:rPr>
            </w:pPr>
            <w:r>
              <w:rPr>
                <w:rFonts w:hint="eastAsia"/>
                <w:b w:val="0"/>
                <w:sz w:val="24"/>
                <w:szCs w:val="24"/>
              </w:rPr>
              <w:t>决策</w:t>
            </w:r>
          </w:p>
        </w:tc>
        <w:tc>
          <w:tcPr>
            <w:tcW w:w="1146" w:type="dxa"/>
            <w:tcBorders>
              <w:top w:val="nil"/>
              <w:left w:val="nil"/>
              <w:bottom w:val="single" w:color="auto" w:sz="8" w:space="0"/>
              <w:right w:val="single" w:color="auto" w:sz="8" w:space="0"/>
            </w:tcBorders>
            <w:tcMar>
              <w:top w:w="0" w:type="dxa"/>
              <w:left w:w="108" w:type="dxa"/>
              <w:bottom w:w="0" w:type="dxa"/>
              <w:right w:w="108" w:type="dxa"/>
            </w:tcMar>
          </w:tcPr>
          <w:p w14:paraId="0A0B1A5F">
            <w:pPr>
              <w:jc w:val="left"/>
              <w:rPr>
                <w:b w:val="0"/>
                <w:sz w:val="24"/>
                <w:szCs w:val="24"/>
              </w:rPr>
            </w:pPr>
            <w:r>
              <w:rPr>
                <w:rFonts w:hint="eastAsia"/>
                <w:b w:val="0"/>
                <w:sz w:val="24"/>
                <w:szCs w:val="24"/>
              </w:rPr>
              <w:t>20%</w:t>
            </w:r>
          </w:p>
        </w:tc>
        <w:tc>
          <w:tcPr>
            <w:tcW w:w="1532" w:type="dxa"/>
            <w:tcBorders>
              <w:top w:val="nil"/>
              <w:left w:val="nil"/>
              <w:bottom w:val="single" w:color="auto" w:sz="8" w:space="0"/>
              <w:right w:val="single" w:color="auto" w:sz="8" w:space="0"/>
            </w:tcBorders>
            <w:tcMar>
              <w:top w:w="0" w:type="dxa"/>
              <w:left w:w="108" w:type="dxa"/>
              <w:bottom w:w="0" w:type="dxa"/>
              <w:right w:w="108" w:type="dxa"/>
            </w:tcMar>
          </w:tcPr>
          <w:p w14:paraId="3BC3B20C">
            <w:pPr>
              <w:jc w:val="left"/>
              <w:rPr>
                <w:b w:val="0"/>
                <w:sz w:val="24"/>
                <w:szCs w:val="24"/>
              </w:rPr>
            </w:pPr>
            <w:r>
              <w:rPr>
                <w:rFonts w:hint="eastAsia"/>
                <w:b w:val="0"/>
                <w:sz w:val="24"/>
                <w:szCs w:val="24"/>
              </w:rPr>
              <w:t>20</w:t>
            </w:r>
          </w:p>
        </w:tc>
        <w:tc>
          <w:tcPr>
            <w:tcW w:w="1819" w:type="dxa"/>
            <w:tcBorders>
              <w:top w:val="nil"/>
              <w:left w:val="nil"/>
              <w:bottom w:val="single" w:color="auto" w:sz="8" w:space="0"/>
              <w:right w:val="single" w:color="auto" w:sz="8" w:space="0"/>
            </w:tcBorders>
            <w:tcMar>
              <w:top w:w="0" w:type="dxa"/>
              <w:left w:w="108" w:type="dxa"/>
              <w:bottom w:w="0" w:type="dxa"/>
              <w:right w:w="108" w:type="dxa"/>
            </w:tcMar>
          </w:tcPr>
          <w:p w14:paraId="7641CF90">
            <w:pPr>
              <w:jc w:val="left"/>
              <w:rPr>
                <w:b w:val="0"/>
                <w:sz w:val="24"/>
                <w:szCs w:val="24"/>
              </w:rPr>
            </w:pPr>
            <w:r>
              <w:rPr>
                <w:b w:val="0"/>
                <w:sz w:val="24"/>
                <w:szCs w:val="24"/>
              </w:rPr>
              <w:t>14</w:t>
            </w:r>
          </w:p>
        </w:tc>
        <w:tc>
          <w:tcPr>
            <w:tcW w:w="1261" w:type="dxa"/>
            <w:tcBorders>
              <w:top w:val="nil"/>
              <w:left w:val="nil"/>
              <w:bottom w:val="single" w:color="auto" w:sz="8" w:space="0"/>
              <w:right w:val="single" w:color="auto" w:sz="8" w:space="0"/>
            </w:tcBorders>
            <w:tcMar>
              <w:top w:w="0" w:type="dxa"/>
              <w:left w:w="108" w:type="dxa"/>
              <w:bottom w:w="0" w:type="dxa"/>
              <w:right w:w="108" w:type="dxa"/>
            </w:tcMar>
          </w:tcPr>
          <w:p w14:paraId="132F392B">
            <w:pPr>
              <w:jc w:val="left"/>
              <w:rPr>
                <w:b w:val="0"/>
                <w:sz w:val="24"/>
                <w:szCs w:val="24"/>
              </w:rPr>
            </w:pPr>
            <w:r>
              <w:rPr>
                <w:rFonts w:hint="eastAsia"/>
                <w:b w:val="0"/>
                <w:sz w:val="24"/>
                <w:szCs w:val="24"/>
              </w:rPr>
              <w:t>7</w:t>
            </w:r>
            <w:r>
              <w:rPr>
                <w:b w:val="0"/>
                <w:sz w:val="24"/>
                <w:szCs w:val="24"/>
              </w:rPr>
              <w:t>0</w:t>
            </w:r>
            <w:r>
              <w:rPr>
                <w:rFonts w:hint="eastAsia"/>
                <w:b w:val="0"/>
                <w:sz w:val="24"/>
                <w:szCs w:val="24"/>
              </w:rPr>
              <w:t>%</w:t>
            </w:r>
          </w:p>
        </w:tc>
        <w:tc>
          <w:tcPr>
            <w:tcW w:w="1871" w:type="dxa"/>
            <w:tcBorders>
              <w:top w:val="nil"/>
              <w:left w:val="nil"/>
              <w:bottom w:val="single" w:color="auto" w:sz="8" w:space="0"/>
              <w:right w:val="single" w:color="auto" w:sz="8" w:space="0"/>
            </w:tcBorders>
            <w:tcMar>
              <w:top w:w="0" w:type="dxa"/>
              <w:left w:w="108" w:type="dxa"/>
              <w:bottom w:w="0" w:type="dxa"/>
              <w:right w:w="108" w:type="dxa"/>
            </w:tcMar>
          </w:tcPr>
          <w:p w14:paraId="601ED7BD">
            <w:pPr>
              <w:jc w:val="left"/>
              <w:rPr>
                <w:b w:val="0"/>
                <w:sz w:val="24"/>
                <w:szCs w:val="24"/>
              </w:rPr>
            </w:pPr>
            <w:r>
              <w:rPr>
                <w:rFonts w:hint="eastAsia"/>
                <w:b w:val="0"/>
                <w:sz w:val="24"/>
                <w:szCs w:val="24"/>
              </w:rPr>
              <w:t>合规可行</w:t>
            </w:r>
          </w:p>
        </w:tc>
      </w:tr>
      <w:tr w14:paraId="63D93B92">
        <w:tblPrEx>
          <w:tblCellMar>
            <w:top w:w="0" w:type="dxa"/>
            <w:left w:w="0" w:type="dxa"/>
            <w:bottom w:w="0" w:type="dxa"/>
            <w:right w:w="0" w:type="dxa"/>
          </w:tblCellMar>
        </w:tblPrEx>
        <w:trPr>
          <w:trHeight w:val="90" w:hRule="atLeast"/>
        </w:trPr>
        <w:tc>
          <w:tcPr>
            <w:tcW w:w="1500"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350172FE">
            <w:pPr>
              <w:jc w:val="left"/>
              <w:rPr>
                <w:b w:val="0"/>
                <w:sz w:val="24"/>
                <w:szCs w:val="24"/>
              </w:rPr>
            </w:pPr>
            <w:r>
              <w:rPr>
                <w:rFonts w:hint="eastAsia"/>
                <w:b w:val="0"/>
                <w:sz w:val="24"/>
                <w:szCs w:val="24"/>
              </w:rPr>
              <w:t>过程</w:t>
            </w:r>
          </w:p>
        </w:tc>
        <w:tc>
          <w:tcPr>
            <w:tcW w:w="1146" w:type="dxa"/>
            <w:tcBorders>
              <w:top w:val="nil"/>
              <w:left w:val="nil"/>
              <w:bottom w:val="single" w:color="auto" w:sz="8" w:space="0"/>
              <w:right w:val="single" w:color="auto" w:sz="8" w:space="0"/>
            </w:tcBorders>
            <w:tcMar>
              <w:top w:w="0" w:type="dxa"/>
              <w:left w:w="108" w:type="dxa"/>
              <w:bottom w:w="0" w:type="dxa"/>
              <w:right w:w="108" w:type="dxa"/>
            </w:tcMar>
          </w:tcPr>
          <w:p w14:paraId="421A308D">
            <w:pPr>
              <w:jc w:val="left"/>
              <w:rPr>
                <w:b w:val="0"/>
                <w:sz w:val="24"/>
                <w:szCs w:val="24"/>
              </w:rPr>
            </w:pPr>
            <w:r>
              <w:rPr>
                <w:rFonts w:hint="eastAsia"/>
                <w:b w:val="0"/>
                <w:sz w:val="24"/>
                <w:szCs w:val="24"/>
              </w:rPr>
              <w:t>20%</w:t>
            </w:r>
          </w:p>
        </w:tc>
        <w:tc>
          <w:tcPr>
            <w:tcW w:w="1532" w:type="dxa"/>
            <w:tcBorders>
              <w:top w:val="nil"/>
              <w:left w:val="nil"/>
              <w:bottom w:val="single" w:color="auto" w:sz="8" w:space="0"/>
              <w:right w:val="single" w:color="auto" w:sz="8" w:space="0"/>
            </w:tcBorders>
            <w:tcMar>
              <w:top w:w="0" w:type="dxa"/>
              <w:left w:w="108" w:type="dxa"/>
              <w:bottom w:w="0" w:type="dxa"/>
              <w:right w:w="108" w:type="dxa"/>
            </w:tcMar>
          </w:tcPr>
          <w:p w14:paraId="0CF44565">
            <w:pPr>
              <w:jc w:val="left"/>
              <w:rPr>
                <w:b w:val="0"/>
                <w:sz w:val="24"/>
                <w:szCs w:val="24"/>
              </w:rPr>
            </w:pPr>
            <w:r>
              <w:rPr>
                <w:rFonts w:hint="eastAsia"/>
                <w:b w:val="0"/>
                <w:sz w:val="24"/>
                <w:szCs w:val="24"/>
              </w:rPr>
              <w:t>20</w:t>
            </w:r>
          </w:p>
        </w:tc>
        <w:tc>
          <w:tcPr>
            <w:tcW w:w="1819" w:type="dxa"/>
            <w:tcBorders>
              <w:top w:val="nil"/>
              <w:left w:val="nil"/>
              <w:bottom w:val="single" w:color="auto" w:sz="8" w:space="0"/>
              <w:right w:val="single" w:color="auto" w:sz="8" w:space="0"/>
            </w:tcBorders>
            <w:tcMar>
              <w:top w:w="0" w:type="dxa"/>
              <w:left w:w="108" w:type="dxa"/>
              <w:bottom w:w="0" w:type="dxa"/>
              <w:right w:w="108" w:type="dxa"/>
            </w:tcMar>
          </w:tcPr>
          <w:p w14:paraId="4EE6F0BA">
            <w:pPr>
              <w:jc w:val="left"/>
              <w:rPr>
                <w:b w:val="0"/>
                <w:sz w:val="24"/>
                <w:szCs w:val="24"/>
              </w:rPr>
            </w:pPr>
            <w:r>
              <w:rPr>
                <w:rFonts w:hint="eastAsia"/>
                <w:b w:val="0"/>
                <w:sz w:val="24"/>
                <w:szCs w:val="24"/>
              </w:rPr>
              <w:t>1</w:t>
            </w:r>
            <w:r>
              <w:rPr>
                <w:b w:val="0"/>
                <w:sz w:val="24"/>
                <w:szCs w:val="24"/>
              </w:rPr>
              <w:t>3</w:t>
            </w:r>
          </w:p>
        </w:tc>
        <w:tc>
          <w:tcPr>
            <w:tcW w:w="1261" w:type="dxa"/>
            <w:tcBorders>
              <w:top w:val="nil"/>
              <w:left w:val="nil"/>
              <w:bottom w:val="single" w:color="auto" w:sz="8" w:space="0"/>
              <w:right w:val="single" w:color="auto" w:sz="8" w:space="0"/>
            </w:tcBorders>
            <w:tcMar>
              <w:top w:w="0" w:type="dxa"/>
              <w:left w:w="108" w:type="dxa"/>
              <w:bottom w:w="0" w:type="dxa"/>
              <w:right w:w="108" w:type="dxa"/>
            </w:tcMar>
          </w:tcPr>
          <w:p w14:paraId="58F1FD95">
            <w:pPr>
              <w:jc w:val="left"/>
              <w:rPr>
                <w:b w:val="0"/>
                <w:sz w:val="24"/>
                <w:szCs w:val="24"/>
              </w:rPr>
            </w:pPr>
            <w:r>
              <w:rPr>
                <w:rFonts w:hint="eastAsia"/>
                <w:b w:val="0"/>
                <w:sz w:val="24"/>
                <w:szCs w:val="24"/>
              </w:rPr>
              <w:t>6</w:t>
            </w:r>
            <w:r>
              <w:rPr>
                <w:b w:val="0"/>
                <w:sz w:val="24"/>
                <w:szCs w:val="24"/>
              </w:rPr>
              <w:t>5</w:t>
            </w:r>
            <w:r>
              <w:rPr>
                <w:rFonts w:hint="eastAsia"/>
                <w:b w:val="0"/>
                <w:sz w:val="24"/>
                <w:szCs w:val="24"/>
              </w:rPr>
              <w:t>%</w:t>
            </w:r>
          </w:p>
        </w:tc>
        <w:tc>
          <w:tcPr>
            <w:tcW w:w="1871" w:type="dxa"/>
            <w:tcBorders>
              <w:top w:val="nil"/>
              <w:left w:val="nil"/>
              <w:bottom w:val="single" w:color="auto" w:sz="8" w:space="0"/>
              <w:right w:val="single" w:color="auto" w:sz="8" w:space="0"/>
            </w:tcBorders>
            <w:tcMar>
              <w:top w:w="0" w:type="dxa"/>
              <w:left w:w="108" w:type="dxa"/>
              <w:bottom w:w="0" w:type="dxa"/>
              <w:right w:w="108" w:type="dxa"/>
            </w:tcMar>
          </w:tcPr>
          <w:p w14:paraId="741D95F9">
            <w:pPr>
              <w:jc w:val="left"/>
              <w:rPr>
                <w:b w:val="0"/>
                <w:sz w:val="24"/>
                <w:szCs w:val="24"/>
              </w:rPr>
            </w:pPr>
            <w:r>
              <w:rPr>
                <w:rFonts w:hint="eastAsia"/>
                <w:b w:val="0"/>
                <w:sz w:val="24"/>
                <w:szCs w:val="24"/>
              </w:rPr>
              <w:t>管理一般</w:t>
            </w:r>
          </w:p>
        </w:tc>
      </w:tr>
      <w:tr w14:paraId="4CBE496B">
        <w:tblPrEx>
          <w:tblCellMar>
            <w:top w:w="0" w:type="dxa"/>
            <w:left w:w="0" w:type="dxa"/>
            <w:bottom w:w="0" w:type="dxa"/>
            <w:right w:w="0" w:type="dxa"/>
          </w:tblCellMar>
        </w:tblPrEx>
        <w:trPr>
          <w:trHeight w:val="565" w:hRule="atLeast"/>
        </w:trPr>
        <w:tc>
          <w:tcPr>
            <w:tcW w:w="1500"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7B518E78">
            <w:pPr>
              <w:jc w:val="left"/>
              <w:rPr>
                <w:b w:val="0"/>
                <w:sz w:val="24"/>
                <w:szCs w:val="24"/>
              </w:rPr>
            </w:pPr>
            <w:r>
              <w:rPr>
                <w:rFonts w:hint="eastAsia"/>
                <w:b w:val="0"/>
                <w:sz w:val="24"/>
                <w:szCs w:val="24"/>
              </w:rPr>
              <w:t>产出</w:t>
            </w:r>
          </w:p>
        </w:tc>
        <w:tc>
          <w:tcPr>
            <w:tcW w:w="1146" w:type="dxa"/>
            <w:tcBorders>
              <w:top w:val="nil"/>
              <w:left w:val="nil"/>
              <w:bottom w:val="single" w:color="auto" w:sz="8" w:space="0"/>
              <w:right w:val="single" w:color="auto" w:sz="8" w:space="0"/>
            </w:tcBorders>
            <w:tcMar>
              <w:top w:w="0" w:type="dxa"/>
              <w:left w:w="108" w:type="dxa"/>
              <w:bottom w:w="0" w:type="dxa"/>
              <w:right w:w="108" w:type="dxa"/>
            </w:tcMar>
          </w:tcPr>
          <w:p w14:paraId="6C8E5126">
            <w:pPr>
              <w:jc w:val="left"/>
              <w:rPr>
                <w:b w:val="0"/>
                <w:sz w:val="24"/>
                <w:szCs w:val="24"/>
              </w:rPr>
            </w:pPr>
            <w:r>
              <w:rPr>
                <w:rFonts w:hint="eastAsia"/>
                <w:b w:val="0"/>
                <w:sz w:val="24"/>
                <w:szCs w:val="24"/>
              </w:rPr>
              <w:t>30%</w:t>
            </w:r>
          </w:p>
        </w:tc>
        <w:tc>
          <w:tcPr>
            <w:tcW w:w="1532" w:type="dxa"/>
            <w:tcBorders>
              <w:top w:val="nil"/>
              <w:left w:val="nil"/>
              <w:bottom w:val="single" w:color="auto" w:sz="8" w:space="0"/>
              <w:right w:val="single" w:color="auto" w:sz="8" w:space="0"/>
            </w:tcBorders>
            <w:tcMar>
              <w:top w:w="0" w:type="dxa"/>
              <w:left w:w="108" w:type="dxa"/>
              <w:bottom w:w="0" w:type="dxa"/>
              <w:right w:w="108" w:type="dxa"/>
            </w:tcMar>
          </w:tcPr>
          <w:p w14:paraId="2AC8E317">
            <w:pPr>
              <w:jc w:val="left"/>
              <w:rPr>
                <w:b w:val="0"/>
                <w:sz w:val="24"/>
                <w:szCs w:val="24"/>
              </w:rPr>
            </w:pPr>
            <w:r>
              <w:rPr>
                <w:rFonts w:hint="eastAsia"/>
                <w:b w:val="0"/>
                <w:sz w:val="24"/>
                <w:szCs w:val="24"/>
              </w:rPr>
              <w:t>30</w:t>
            </w:r>
          </w:p>
        </w:tc>
        <w:tc>
          <w:tcPr>
            <w:tcW w:w="1819" w:type="dxa"/>
            <w:tcBorders>
              <w:top w:val="nil"/>
              <w:left w:val="nil"/>
              <w:bottom w:val="single" w:color="auto" w:sz="8" w:space="0"/>
              <w:right w:val="single" w:color="auto" w:sz="8" w:space="0"/>
            </w:tcBorders>
            <w:tcMar>
              <w:top w:w="0" w:type="dxa"/>
              <w:left w:w="108" w:type="dxa"/>
              <w:bottom w:w="0" w:type="dxa"/>
              <w:right w:w="108" w:type="dxa"/>
            </w:tcMar>
          </w:tcPr>
          <w:p w14:paraId="755CCA09">
            <w:pPr>
              <w:jc w:val="left"/>
              <w:rPr>
                <w:b w:val="0"/>
                <w:sz w:val="24"/>
                <w:szCs w:val="24"/>
              </w:rPr>
            </w:pPr>
            <w:r>
              <w:rPr>
                <w:rFonts w:hint="eastAsia"/>
                <w:b w:val="0"/>
                <w:sz w:val="24"/>
                <w:szCs w:val="24"/>
              </w:rPr>
              <w:t>25</w:t>
            </w:r>
          </w:p>
        </w:tc>
        <w:tc>
          <w:tcPr>
            <w:tcW w:w="1261" w:type="dxa"/>
            <w:tcBorders>
              <w:top w:val="nil"/>
              <w:left w:val="nil"/>
              <w:bottom w:val="single" w:color="auto" w:sz="8" w:space="0"/>
              <w:right w:val="single" w:color="auto" w:sz="8" w:space="0"/>
            </w:tcBorders>
            <w:tcMar>
              <w:top w:w="0" w:type="dxa"/>
              <w:left w:w="108" w:type="dxa"/>
              <w:bottom w:w="0" w:type="dxa"/>
              <w:right w:w="108" w:type="dxa"/>
            </w:tcMar>
          </w:tcPr>
          <w:p w14:paraId="7C619F4B">
            <w:pPr>
              <w:jc w:val="left"/>
              <w:rPr>
                <w:b w:val="0"/>
                <w:sz w:val="24"/>
                <w:szCs w:val="24"/>
              </w:rPr>
            </w:pPr>
            <w:r>
              <w:rPr>
                <w:rFonts w:hint="eastAsia"/>
                <w:b w:val="0"/>
                <w:sz w:val="24"/>
                <w:szCs w:val="24"/>
              </w:rPr>
              <w:t>83.3%</w:t>
            </w:r>
          </w:p>
        </w:tc>
        <w:tc>
          <w:tcPr>
            <w:tcW w:w="1871" w:type="dxa"/>
            <w:tcBorders>
              <w:top w:val="nil"/>
              <w:left w:val="nil"/>
              <w:bottom w:val="single" w:color="auto" w:sz="8" w:space="0"/>
              <w:right w:val="single" w:color="auto" w:sz="8" w:space="0"/>
            </w:tcBorders>
            <w:tcMar>
              <w:top w:w="0" w:type="dxa"/>
              <w:left w:w="108" w:type="dxa"/>
              <w:bottom w:w="0" w:type="dxa"/>
              <w:right w:w="108" w:type="dxa"/>
            </w:tcMar>
          </w:tcPr>
          <w:p w14:paraId="4B5B77A9">
            <w:pPr>
              <w:jc w:val="left"/>
              <w:rPr>
                <w:b w:val="0"/>
                <w:sz w:val="24"/>
                <w:szCs w:val="24"/>
              </w:rPr>
            </w:pPr>
            <w:r>
              <w:rPr>
                <w:rFonts w:hint="eastAsia"/>
                <w:b w:val="0"/>
                <w:sz w:val="24"/>
                <w:szCs w:val="24"/>
              </w:rPr>
              <w:t>产出满意</w:t>
            </w:r>
          </w:p>
        </w:tc>
      </w:tr>
      <w:tr w14:paraId="7981D383">
        <w:tblPrEx>
          <w:tblCellMar>
            <w:top w:w="0" w:type="dxa"/>
            <w:left w:w="0" w:type="dxa"/>
            <w:bottom w:w="0" w:type="dxa"/>
            <w:right w:w="0" w:type="dxa"/>
          </w:tblCellMar>
        </w:tblPrEx>
        <w:tc>
          <w:tcPr>
            <w:tcW w:w="1500"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77BEA53C">
            <w:pPr>
              <w:jc w:val="left"/>
              <w:rPr>
                <w:b w:val="0"/>
                <w:sz w:val="24"/>
                <w:szCs w:val="24"/>
              </w:rPr>
            </w:pPr>
            <w:r>
              <w:rPr>
                <w:rFonts w:hint="eastAsia"/>
                <w:b w:val="0"/>
                <w:sz w:val="24"/>
                <w:szCs w:val="24"/>
              </w:rPr>
              <w:t>效益</w:t>
            </w:r>
          </w:p>
        </w:tc>
        <w:tc>
          <w:tcPr>
            <w:tcW w:w="1146" w:type="dxa"/>
            <w:tcBorders>
              <w:top w:val="nil"/>
              <w:left w:val="nil"/>
              <w:bottom w:val="single" w:color="auto" w:sz="8" w:space="0"/>
              <w:right w:val="single" w:color="auto" w:sz="8" w:space="0"/>
            </w:tcBorders>
            <w:tcMar>
              <w:top w:w="0" w:type="dxa"/>
              <w:left w:w="108" w:type="dxa"/>
              <w:bottom w:w="0" w:type="dxa"/>
              <w:right w:w="108" w:type="dxa"/>
            </w:tcMar>
          </w:tcPr>
          <w:p w14:paraId="432D07C3">
            <w:pPr>
              <w:jc w:val="left"/>
              <w:rPr>
                <w:b w:val="0"/>
                <w:sz w:val="24"/>
                <w:szCs w:val="24"/>
              </w:rPr>
            </w:pPr>
            <w:r>
              <w:rPr>
                <w:rFonts w:hint="eastAsia"/>
                <w:b w:val="0"/>
                <w:sz w:val="24"/>
                <w:szCs w:val="24"/>
              </w:rPr>
              <w:t>30%</w:t>
            </w:r>
          </w:p>
        </w:tc>
        <w:tc>
          <w:tcPr>
            <w:tcW w:w="1532" w:type="dxa"/>
            <w:tcBorders>
              <w:top w:val="nil"/>
              <w:left w:val="nil"/>
              <w:bottom w:val="single" w:color="auto" w:sz="8" w:space="0"/>
              <w:right w:val="single" w:color="auto" w:sz="8" w:space="0"/>
            </w:tcBorders>
            <w:tcMar>
              <w:top w:w="0" w:type="dxa"/>
              <w:left w:w="108" w:type="dxa"/>
              <w:bottom w:w="0" w:type="dxa"/>
              <w:right w:w="108" w:type="dxa"/>
            </w:tcMar>
          </w:tcPr>
          <w:p w14:paraId="13D91945">
            <w:pPr>
              <w:jc w:val="left"/>
              <w:rPr>
                <w:b w:val="0"/>
                <w:sz w:val="24"/>
                <w:szCs w:val="24"/>
              </w:rPr>
            </w:pPr>
            <w:r>
              <w:rPr>
                <w:rFonts w:hint="eastAsia"/>
                <w:b w:val="0"/>
                <w:sz w:val="24"/>
                <w:szCs w:val="24"/>
              </w:rPr>
              <w:t>30</w:t>
            </w:r>
          </w:p>
        </w:tc>
        <w:tc>
          <w:tcPr>
            <w:tcW w:w="1819" w:type="dxa"/>
            <w:tcBorders>
              <w:top w:val="nil"/>
              <w:left w:val="nil"/>
              <w:bottom w:val="single" w:color="auto" w:sz="8" w:space="0"/>
              <w:right w:val="single" w:color="auto" w:sz="8" w:space="0"/>
            </w:tcBorders>
            <w:tcMar>
              <w:top w:w="0" w:type="dxa"/>
              <w:left w:w="108" w:type="dxa"/>
              <w:bottom w:w="0" w:type="dxa"/>
              <w:right w:w="108" w:type="dxa"/>
            </w:tcMar>
          </w:tcPr>
          <w:p w14:paraId="0893B8F4">
            <w:pPr>
              <w:jc w:val="left"/>
              <w:rPr>
                <w:b w:val="0"/>
                <w:sz w:val="24"/>
                <w:szCs w:val="24"/>
              </w:rPr>
            </w:pPr>
            <w:r>
              <w:rPr>
                <w:rFonts w:hint="eastAsia"/>
                <w:b w:val="0"/>
                <w:sz w:val="24"/>
                <w:szCs w:val="24"/>
              </w:rPr>
              <w:t>28.5</w:t>
            </w:r>
          </w:p>
        </w:tc>
        <w:tc>
          <w:tcPr>
            <w:tcW w:w="1261" w:type="dxa"/>
            <w:tcBorders>
              <w:top w:val="nil"/>
              <w:left w:val="nil"/>
              <w:bottom w:val="single" w:color="auto" w:sz="8" w:space="0"/>
              <w:right w:val="single" w:color="auto" w:sz="8" w:space="0"/>
            </w:tcBorders>
            <w:tcMar>
              <w:top w:w="0" w:type="dxa"/>
              <w:left w:w="108" w:type="dxa"/>
              <w:bottom w:w="0" w:type="dxa"/>
              <w:right w:w="108" w:type="dxa"/>
            </w:tcMar>
          </w:tcPr>
          <w:p w14:paraId="37EEBEEB">
            <w:pPr>
              <w:jc w:val="left"/>
              <w:rPr>
                <w:b w:val="0"/>
                <w:sz w:val="24"/>
                <w:szCs w:val="24"/>
              </w:rPr>
            </w:pPr>
            <w:r>
              <w:rPr>
                <w:rFonts w:hint="eastAsia"/>
                <w:b w:val="0"/>
                <w:sz w:val="24"/>
                <w:szCs w:val="24"/>
              </w:rPr>
              <w:t>95%</w:t>
            </w:r>
          </w:p>
        </w:tc>
        <w:tc>
          <w:tcPr>
            <w:tcW w:w="1871" w:type="dxa"/>
            <w:tcBorders>
              <w:top w:val="nil"/>
              <w:left w:val="nil"/>
              <w:bottom w:val="single" w:color="auto" w:sz="8" w:space="0"/>
              <w:right w:val="single" w:color="auto" w:sz="8" w:space="0"/>
            </w:tcBorders>
            <w:tcMar>
              <w:top w:w="0" w:type="dxa"/>
              <w:left w:w="108" w:type="dxa"/>
              <w:bottom w:w="0" w:type="dxa"/>
              <w:right w:w="108" w:type="dxa"/>
            </w:tcMar>
          </w:tcPr>
          <w:p w14:paraId="5DF6E190">
            <w:pPr>
              <w:jc w:val="left"/>
              <w:rPr>
                <w:b w:val="0"/>
                <w:sz w:val="24"/>
                <w:szCs w:val="24"/>
              </w:rPr>
            </w:pPr>
            <w:r>
              <w:rPr>
                <w:rFonts w:hint="eastAsia"/>
                <w:b w:val="0"/>
                <w:sz w:val="24"/>
                <w:szCs w:val="24"/>
              </w:rPr>
              <w:t>效果好</w:t>
            </w:r>
          </w:p>
        </w:tc>
      </w:tr>
      <w:tr w14:paraId="364BF7A3">
        <w:tblPrEx>
          <w:tblCellMar>
            <w:top w:w="0" w:type="dxa"/>
            <w:left w:w="0" w:type="dxa"/>
            <w:bottom w:w="0" w:type="dxa"/>
            <w:right w:w="0" w:type="dxa"/>
          </w:tblCellMar>
        </w:tblPrEx>
        <w:tc>
          <w:tcPr>
            <w:tcW w:w="1500"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38939DEF">
            <w:pPr>
              <w:jc w:val="left"/>
              <w:rPr>
                <w:b w:val="0"/>
                <w:sz w:val="24"/>
                <w:szCs w:val="24"/>
              </w:rPr>
            </w:pPr>
            <w:r>
              <w:rPr>
                <w:rFonts w:hint="eastAsia"/>
                <w:b w:val="0"/>
                <w:sz w:val="24"/>
                <w:szCs w:val="24"/>
              </w:rPr>
              <w:t>合计</w:t>
            </w:r>
          </w:p>
        </w:tc>
        <w:tc>
          <w:tcPr>
            <w:tcW w:w="1146" w:type="dxa"/>
            <w:tcBorders>
              <w:top w:val="nil"/>
              <w:left w:val="nil"/>
              <w:bottom w:val="single" w:color="auto" w:sz="8" w:space="0"/>
              <w:right w:val="single" w:color="auto" w:sz="8" w:space="0"/>
            </w:tcBorders>
            <w:tcMar>
              <w:top w:w="0" w:type="dxa"/>
              <w:left w:w="108" w:type="dxa"/>
              <w:bottom w:w="0" w:type="dxa"/>
              <w:right w:w="108" w:type="dxa"/>
            </w:tcMar>
          </w:tcPr>
          <w:p w14:paraId="6DFC6A66">
            <w:pPr>
              <w:jc w:val="left"/>
              <w:rPr>
                <w:b w:val="0"/>
                <w:sz w:val="24"/>
                <w:szCs w:val="24"/>
              </w:rPr>
            </w:pPr>
            <w:r>
              <w:rPr>
                <w:rFonts w:hint="eastAsia"/>
                <w:b w:val="0"/>
                <w:sz w:val="24"/>
                <w:szCs w:val="24"/>
              </w:rPr>
              <w:t>100%</w:t>
            </w:r>
          </w:p>
        </w:tc>
        <w:tc>
          <w:tcPr>
            <w:tcW w:w="1532" w:type="dxa"/>
            <w:tcBorders>
              <w:top w:val="nil"/>
              <w:left w:val="nil"/>
              <w:bottom w:val="single" w:color="auto" w:sz="8" w:space="0"/>
              <w:right w:val="single" w:color="auto" w:sz="8" w:space="0"/>
            </w:tcBorders>
            <w:tcMar>
              <w:top w:w="0" w:type="dxa"/>
              <w:left w:w="108" w:type="dxa"/>
              <w:bottom w:w="0" w:type="dxa"/>
              <w:right w:w="108" w:type="dxa"/>
            </w:tcMar>
          </w:tcPr>
          <w:p w14:paraId="6D74274A">
            <w:pPr>
              <w:jc w:val="left"/>
              <w:rPr>
                <w:b w:val="0"/>
                <w:sz w:val="24"/>
                <w:szCs w:val="24"/>
              </w:rPr>
            </w:pPr>
            <w:r>
              <w:rPr>
                <w:rFonts w:hint="eastAsia"/>
                <w:b w:val="0"/>
                <w:sz w:val="24"/>
                <w:szCs w:val="24"/>
              </w:rPr>
              <w:t>100</w:t>
            </w:r>
          </w:p>
        </w:tc>
        <w:tc>
          <w:tcPr>
            <w:tcW w:w="1819" w:type="dxa"/>
            <w:tcBorders>
              <w:top w:val="nil"/>
              <w:left w:val="nil"/>
              <w:bottom w:val="single" w:color="auto" w:sz="8" w:space="0"/>
              <w:right w:val="single" w:color="auto" w:sz="8" w:space="0"/>
            </w:tcBorders>
            <w:tcMar>
              <w:top w:w="0" w:type="dxa"/>
              <w:left w:w="108" w:type="dxa"/>
              <w:bottom w:w="0" w:type="dxa"/>
              <w:right w:w="108" w:type="dxa"/>
            </w:tcMar>
          </w:tcPr>
          <w:p w14:paraId="66A56B80">
            <w:pPr>
              <w:jc w:val="left"/>
              <w:rPr>
                <w:b w:val="0"/>
                <w:sz w:val="24"/>
                <w:szCs w:val="24"/>
              </w:rPr>
            </w:pPr>
            <w:r>
              <w:rPr>
                <w:b w:val="0"/>
                <w:sz w:val="24"/>
                <w:szCs w:val="24"/>
              </w:rPr>
              <w:t>80.5</w:t>
            </w:r>
          </w:p>
        </w:tc>
        <w:tc>
          <w:tcPr>
            <w:tcW w:w="1261" w:type="dxa"/>
            <w:tcBorders>
              <w:top w:val="nil"/>
              <w:left w:val="nil"/>
              <w:bottom w:val="single" w:color="auto" w:sz="8" w:space="0"/>
              <w:right w:val="single" w:color="auto" w:sz="8" w:space="0"/>
            </w:tcBorders>
            <w:tcMar>
              <w:top w:w="0" w:type="dxa"/>
              <w:left w:w="108" w:type="dxa"/>
              <w:bottom w:w="0" w:type="dxa"/>
              <w:right w:w="108" w:type="dxa"/>
            </w:tcMar>
          </w:tcPr>
          <w:p w14:paraId="543A192A">
            <w:pPr>
              <w:jc w:val="left"/>
              <w:rPr>
                <w:b w:val="0"/>
                <w:sz w:val="24"/>
                <w:szCs w:val="24"/>
              </w:rPr>
            </w:pPr>
            <w:r>
              <w:rPr>
                <w:b w:val="0"/>
                <w:sz w:val="24"/>
                <w:szCs w:val="24"/>
              </w:rPr>
              <w:t>80.5</w:t>
            </w:r>
            <w:r>
              <w:rPr>
                <w:rFonts w:hint="eastAsia"/>
                <w:b w:val="0"/>
                <w:sz w:val="24"/>
                <w:szCs w:val="24"/>
              </w:rPr>
              <w:t>%</w:t>
            </w:r>
          </w:p>
        </w:tc>
        <w:tc>
          <w:tcPr>
            <w:tcW w:w="1871" w:type="dxa"/>
            <w:tcBorders>
              <w:top w:val="nil"/>
              <w:left w:val="nil"/>
              <w:bottom w:val="single" w:color="auto" w:sz="8" w:space="0"/>
              <w:right w:val="single" w:color="auto" w:sz="8" w:space="0"/>
            </w:tcBorders>
            <w:tcMar>
              <w:top w:w="0" w:type="dxa"/>
              <w:left w:w="108" w:type="dxa"/>
              <w:bottom w:w="0" w:type="dxa"/>
              <w:right w:w="108" w:type="dxa"/>
            </w:tcMar>
          </w:tcPr>
          <w:p w14:paraId="66AEC2A8">
            <w:pPr>
              <w:jc w:val="left"/>
              <w:rPr>
                <w:b w:val="0"/>
                <w:sz w:val="24"/>
                <w:szCs w:val="24"/>
              </w:rPr>
            </w:pPr>
            <w:r>
              <w:rPr>
                <w:rFonts w:hint="eastAsia"/>
                <w:b w:val="0"/>
                <w:sz w:val="24"/>
                <w:szCs w:val="24"/>
              </w:rPr>
              <w:t>良</w:t>
            </w:r>
          </w:p>
        </w:tc>
      </w:tr>
    </w:tbl>
    <w:p w14:paraId="5A4EABA6">
      <w:pPr>
        <w:widowControl w:val="0"/>
        <w:shd w:val="clear" w:color="auto" w:fill="auto"/>
        <w:spacing w:line="560" w:lineRule="exact"/>
        <w:ind w:firstLine="482" w:firstLineChars="200"/>
        <w:jc w:val="both"/>
        <w:rPr>
          <w:b/>
          <w:bCs/>
          <w:sz w:val="24"/>
          <w:szCs w:val="24"/>
        </w:rPr>
      </w:pPr>
      <w:bookmarkStart w:id="38" w:name="_Toc12528"/>
      <w:r>
        <w:rPr>
          <w:rFonts w:hint="eastAsia"/>
          <w:b/>
          <w:bCs/>
          <w:sz w:val="24"/>
          <w:szCs w:val="24"/>
        </w:rPr>
        <w:t>四、绩效评价指标分析</w:t>
      </w:r>
      <w:bookmarkEnd w:id="38"/>
    </w:p>
    <w:p w14:paraId="624CCFC8">
      <w:pPr>
        <w:widowControl w:val="0"/>
        <w:shd w:val="clear" w:color="auto" w:fill="auto"/>
        <w:spacing w:line="560" w:lineRule="exact"/>
        <w:ind w:firstLine="480" w:firstLineChars="200"/>
        <w:jc w:val="both"/>
        <w:rPr>
          <w:b w:val="0"/>
          <w:sz w:val="24"/>
          <w:szCs w:val="24"/>
        </w:rPr>
      </w:pPr>
      <w:r>
        <w:rPr>
          <w:rFonts w:hint="eastAsia"/>
          <w:b w:val="0"/>
          <w:sz w:val="24"/>
          <w:szCs w:val="24"/>
        </w:rPr>
        <w:t>（一）项目决策情况（满分20分，实得1</w:t>
      </w:r>
      <w:r>
        <w:rPr>
          <w:b w:val="0"/>
          <w:sz w:val="24"/>
          <w:szCs w:val="24"/>
        </w:rPr>
        <w:t>4</w:t>
      </w:r>
      <w:r>
        <w:rPr>
          <w:rFonts w:hint="eastAsia"/>
          <w:b w:val="0"/>
          <w:sz w:val="24"/>
          <w:szCs w:val="24"/>
        </w:rPr>
        <w:t>分）</w:t>
      </w:r>
    </w:p>
    <w:p w14:paraId="27DD2424">
      <w:pPr>
        <w:widowControl w:val="0"/>
        <w:shd w:val="clear" w:color="auto" w:fill="auto"/>
        <w:spacing w:line="560" w:lineRule="exact"/>
        <w:ind w:firstLine="480" w:firstLineChars="200"/>
        <w:jc w:val="both"/>
        <w:rPr>
          <w:b w:val="0"/>
          <w:sz w:val="24"/>
          <w:szCs w:val="24"/>
        </w:rPr>
      </w:pPr>
      <w:r>
        <w:rPr>
          <w:rFonts w:hint="eastAsia"/>
          <w:b w:val="0"/>
          <w:sz w:val="24"/>
          <w:szCs w:val="24"/>
        </w:rPr>
        <w:t>项目决策设立1个一级指标，3个二级指标和6个三级指标，具体指标情况如下：</w:t>
      </w:r>
    </w:p>
    <w:tbl>
      <w:tblPr>
        <w:tblStyle w:val="17"/>
        <w:tblpPr w:leftFromText="180" w:rightFromText="180" w:vertAnchor="text" w:horzAnchor="page" w:tblpX="1357" w:tblpY="53"/>
        <w:tblOverlap w:val="never"/>
        <w:tblW w:w="5521" w:type="pct"/>
        <w:tblInd w:w="0" w:type="dxa"/>
        <w:tblLayout w:type="autofit"/>
        <w:tblCellMar>
          <w:top w:w="0" w:type="dxa"/>
          <w:left w:w="0" w:type="dxa"/>
          <w:bottom w:w="0" w:type="dxa"/>
          <w:right w:w="0" w:type="dxa"/>
        </w:tblCellMar>
      </w:tblPr>
      <w:tblGrid>
        <w:gridCol w:w="715"/>
        <w:gridCol w:w="768"/>
        <w:gridCol w:w="768"/>
        <w:gridCol w:w="1258"/>
        <w:gridCol w:w="1030"/>
        <w:gridCol w:w="3368"/>
        <w:gridCol w:w="729"/>
        <w:gridCol w:w="774"/>
      </w:tblGrid>
      <w:tr w14:paraId="13D55A52">
        <w:tblPrEx>
          <w:tblCellMar>
            <w:top w:w="0" w:type="dxa"/>
            <w:left w:w="0" w:type="dxa"/>
            <w:bottom w:w="0" w:type="dxa"/>
            <w:right w:w="0" w:type="dxa"/>
          </w:tblCellMar>
        </w:tblPrEx>
        <w:trPr>
          <w:trHeight w:val="1335" w:hRule="atLeast"/>
        </w:trPr>
        <w:tc>
          <w:tcPr>
            <w:tcW w:w="380" w:type="pc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4D160CD8">
            <w:pPr>
              <w:jc w:val="left"/>
              <w:rPr>
                <w:b w:val="0"/>
                <w:sz w:val="24"/>
                <w:szCs w:val="24"/>
              </w:rPr>
            </w:pPr>
            <w:r>
              <w:rPr>
                <w:rFonts w:hint="eastAsia"/>
                <w:b w:val="0"/>
                <w:sz w:val="24"/>
                <w:szCs w:val="24"/>
              </w:rPr>
              <w:t>序号</w:t>
            </w:r>
          </w:p>
        </w:tc>
        <w:tc>
          <w:tcPr>
            <w:tcW w:w="408" w:type="pc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63CE50C8">
            <w:pPr>
              <w:jc w:val="left"/>
              <w:rPr>
                <w:b w:val="0"/>
                <w:sz w:val="24"/>
                <w:szCs w:val="24"/>
              </w:rPr>
            </w:pPr>
            <w:r>
              <w:rPr>
                <w:rFonts w:hint="eastAsia"/>
                <w:b w:val="0"/>
                <w:sz w:val="24"/>
                <w:szCs w:val="24"/>
              </w:rPr>
              <w:t>一级指标</w:t>
            </w:r>
          </w:p>
        </w:tc>
        <w:tc>
          <w:tcPr>
            <w:tcW w:w="408" w:type="pc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52669B7">
            <w:pPr>
              <w:jc w:val="left"/>
              <w:rPr>
                <w:b w:val="0"/>
                <w:sz w:val="24"/>
                <w:szCs w:val="24"/>
              </w:rPr>
            </w:pPr>
            <w:r>
              <w:rPr>
                <w:rFonts w:hint="eastAsia"/>
                <w:b w:val="0"/>
                <w:sz w:val="24"/>
                <w:szCs w:val="24"/>
              </w:rPr>
              <w:t>二级指标</w:t>
            </w:r>
          </w:p>
        </w:tc>
        <w:tc>
          <w:tcPr>
            <w:tcW w:w="668" w:type="pc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F6FB8EC">
            <w:pPr>
              <w:jc w:val="left"/>
              <w:rPr>
                <w:b w:val="0"/>
                <w:sz w:val="24"/>
                <w:szCs w:val="24"/>
              </w:rPr>
            </w:pPr>
            <w:r>
              <w:rPr>
                <w:rFonts w:hint="eastAsia"/>
                <w:b w:val="0"/>
                <w:sz w:val="24"/>
                <w:szCs w:val="24"/>
              </w:rPr>
              <w:t>三 级</w:t>
            </w:r>
          </w:p>
          <w:p w14:paraId="07A7A600">
            <w:pPr>
              <w:jc w:val="left"/>
              <w:rPr>
                <w:b w:val="0"/>
                <w:sz w:val="24"/>
                <w:szCs w:val="24"/>
              </w:rPr>
            </w:pPr>
            <w:r>
              <w:rPr>
                <w:rFonts w:hint="eastAsia"/>
                <w:b w:val="0"/>
                <w:sz w:val="24"/>
                <w:szCs w:val="24"/>
              </w:rPr>
              <w:t>指 标</w:t>
            </w:r>
          </w:p>
        </w:tc>
        <w:tc>
          <w:tcPr>
            <w:tcW w:w="547" w:type="pc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E985FE4">
            <w:pPr>
              <w:jc w:val="left"/>
              <w:rPr>
                <w:b w:val="0"/>
                <w:sz w:val="24"/>
                <w:szCs w:val="24"/>
              </w:rPr>
            </w:pPr>
            <w:r>
              <w:rPr>
                <w:rFonts w:hint="eastAsia"/>
                <w:b w:val="0"/>
                <w:sz w:val="24"/>
                <w:szCs w:val="24"/>
              </w:rPr>
              <w:t>标准</w:t>
            </w:r>
          </w:p>
          <w:p w14:paraId="56E6CEEB">
            <w:pPr>
              <w:jc w:val="left"/>
              <w:rPr>
                <w:b w:val="0"/>
                <w:sz w:val="24"/>
                <w:szCs w:val="24"/>
              </w:rPr>
            </w:pPr>
            <w:r>
              <w:rPr>
                <w:rFonts w:hint="eastAsia"/>
                <w:b w:val="0"/>
                <w:sz w:val="24"/>
                <w:szCs w:val="24"/>
              </w:rPr>
              <w:t>分值</w:t>
            </w:r>
          </w:p>
        </w:tc>
        <w:tc>
          <w:tcPr>
            <w:tcW w:w="1789" w:type="pc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292B219">
            <w:pPr>
              <w:jc w:val="left"/>
              <w:rPr>
                <w:b w:val="0"/>
                <w:sz w:val="24"/>
                <w:szCs w:val="24"/>
              </w:rPr>
            </w:pPr>
            <w:r>
              <w:rPr>
                <w:rFonts w:hint="eastAsia"/>
                <w:b w:val="0"/>
                <w:sz w:val="24"/>
                <w:szCs w:val="24"/>
              </w:rPr>
              <w:t>评价情况</w:t>
            </w:r>
          </w:p>
        </w:tc>
        <w:tc>
          <w:tcPr>
            <w:tcW w:w="387" w:type="pc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EE4C357">
            <w:pPr>
              <w:jc w:val="left"/>
              <w:rPr>
                <w:b w:val="0"/>
                <w:sz w:val="24"/>
                <w:szCs w:val="24"/>
              </w:rPr>
            </w:pPr>
            <w:r>
              <w:rPr>
                <w:rFonts w:hint="eastAsia"/>
                <w:b w:val="0"/>
                <w:sz w:val="24"/>
                <w:szCs w:val="24"/>
              </w:rPr>
              <w:t>得分</w:t>
            </w:r>
          </w:p>
        </w:tc>
        <w:tc>
          <w:tcPr>
            <w:tcW w:w="411" w:type="pct"/>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2F6066F">
            <w:pPr>
              <w:jc w:val="left"/>
              <w:rPr>
                <w:b w:val="0"/>
                <w:sz w:val="24"/>
                <w:szCs w:val="24"/>
              </w:rPr>
            </w:pPr>
            <w:r>
              <w:rPr>
                <w:rFonts w:hint="eastAsia"/>
                <w:b w:val="0"/>
                <w:sz w:val="24"/>
                <w:szCs w:val="24"/>
              </w:rPr>
              <w:t>扣分</w:t>
            </w:r>
          </w:p>
        </w:tc>
      </w:tr>
      <w:tr w14:paraId="70E86E78">
        <w:tblPrEx>
          <w:tblCellMar>
            <w:top w:w="0" w:type="dxa"/>
            <w:left w:w="0" w:type="dxa"/>
            <w:bottom w:w="0" w:type="dxa"/>
            <w:right w:w="0" w:type="dxa"/>
          </w:tblCellMar>
        </w:tblPrEx>
        <w:trPr>
          <w:trHeight w:val="1172" w:hRule="atLeast"/>
        </w:trPr>
        <w:tc>
          <w:tcPr>
            <w:tcW w:w="380" w:type="pct"/>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377C8947">
            <w:pPr>
              <w:jc w:val="left"/>
              <w:rPr>
                <w:b w:val="0"/>
                <w:sz w:val="24"/>
                <w:szCs w:val="24"/>
              </w:rPr>
            </w:pPr>
            <w:r>
              <w:rPr>
                <w:rFonts w:hint="eastAsia"/>
                <w:b w:val="0"/>
                <w:sz w:val="24"/>
                <w:szCs w:val="24"/>
              </w:rPr>
              <w:t>1</w:t>
            </w:r>
          </w:p>
        </w:tc>
        <w:tc>
          <w:tcPr>
            <w:tcW w:w="408" w:type="pct"/>
            <w:vMerge w:val="restart"/>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7AEACFFA">
            <w:pPr>
              <w:jc w:val="left"/>
              <w:rPr>
                <w:b w:val="0"/>
                <w:sz w:val="24"/>
                <w:szCs w:val="24"/>
              </w:rPr>
            </w:pPr>
            <w:r>
              <w:rPr>
                <w:rFonts w:hint="eastAsia"/>
                <w:b w:val="0"/>
                <w:sz w:val="24"/>
                <w:szCs w:val="24"/>
              </w:rPr>
              <w:t>决策　</w:t>
            </w:r>
          </w:p>
          <w:p w14:paraId="3058006D">
            <w:pPr>
              <w:jc w:val="left"/>
              <w:rPr>
                <w:b w:val="0"/>
                <w:sz w:val="24"/>
                <w:szCs w:val="24"/>
              </w:rPr>
            </w:pPr>
            <w:r>
              <w:rPr>
                <w:rFonts w:hint="eastAsia"/>
                <w:b w:val="0"/>
                <w:sz w:val="24"/>
                <w:szCs w:val="24"/>
              </w:rPr>
              <w:t>（20分）</w:t>
            </w:r>
          </w:p>
          <w:p w14:paraId="7B79149A">
            <w:pPr>
              <w:jc w:val="left"/>
              <w:rPr>
                <w:b w:val="0"/>
                <w:sz w:val="24"/>
                <w:szCs w:val="24"/>
              </w:rPr>
            </w:pPr>
            <w:r>
              <w:rPr>
                <w:rFonts w:hint="eastAsia"/>
                <w:b w:val="0"/>
                <w:sz w:val="24"/>
                <w:szCs w:val="24"/>
              </w:rPr>
              <w:t>　</w:t>
            </w:r>
          </w:p>
        </w:tc>
        <w:tc>
          <w:tcPr>
            <w:tcW w:w="408" w:type="pct"/>
            <w:vMerge w:val="restar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F0F8249">
            <w:pPr>
              <w:jc w:val="left"/>
              <w:rPr>
                <w:b w:val="0"/>
                <w:sz w:val="24"/>
                <w:szCs w:val="24"/>
              </w:rPr>
            </w:pPr>
            <w:r>
              <w:rPr>
                <w:rFonts w:hint="eastAsia"/>
                <w:b w:val="0"/>
                <w:sz w:val="24"/>
                <w:szCs w:val="24"/>
              </w:rPr>
              <w:t>项目立项（6分）　</w:t>
            </w:r>
          </w:p>
        </w:tc>
        <w:tc>
          <w:tcPr>
            <w:tcW w:w="668"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3842305">
            <w:pPr>
              <w:jc w:val="left"/>
              <w:rPr>
                <w:b w:val="0"/>
                <w:sz w:val="24"/>
                <w:szCs w:val="24"/>
              </w:rPr>
            </w:pPr>
            <w:r>
              <w:rPr>
                <w:rFonts w:hint="eastAsia"/>
                <w:b w:val="0"/>
                <w:sz w:val="24"/>
                <w:szCs w:val="24"/>
              </w:rPr>
              <w:t>立项依据充分性</w:t>
            </w:r>
          </w:p>
        </w:tc>
        <w:tc>
          <w:tcPr>
            <w:tcW w:w="54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0F795C9">
            <w:pPr>
              <w:jc w:val="left"/>
              <w:rPr>
                <w:b w:val="0"/>
                <w:sz w:val="24"/>
                <w:szCs w:val="24"/>
              </w:rPr>
            </w:pPr>
            <w:r>
              <w:rPr>
                <w:rFonts w:hint="eastAsia"/>
                <w:b w:val="0"/>
                <w:sz w:val="24"/>
                <w:szCs w:val="24"/>
              </w:rPr>
              <w:t>3</w:t>
            </w:r>
          </w:p>
        </w:tc>
        <w:tc>
          <w:tcPr>
            <w:tcW w:w="1789"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303E5CC">
            <w:pPr>
              <w:jc w:val="left"/>
              <w:rPr>
                <w:b w:val="0"/>
                <w:sz w:val="24"/>
                <w:szCs w:val="24"/>
              </w:rPr>
            </w:pPr>
            <w:r>
              <w:rPr>
                <w:rFonts w:hint="eastAsia"/>
                <w:b w:val="0"/>
                <w:sz w:val="24"/>
                <w:szCs w:val="24"/>
              </w:rPr>
              <w:t>项目立项依据充分，与部门职能紧密相关，立项程序规范，资料齐全，依据评分标准得3分。</w:t>
            </w:r>
          </w:p>
        </w:tc>
        <w:tc>
          <w:tcPr>
            <w:tcW w:w="38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52416D2">
            <w:pPr>
              <w:jc w:val="left"/>
              <w:rPr>
                <w:b w:val="0"/>
                <w:sz w:val="24"/>
                <w:szCs w:val="24"/>
              </w:rPr>
            </w:pPr>
            <w:r>
              <w:rPr>
                <w:rFonts w:hint="eastAsia"/>
                <w:b w:val="0"/>
                <w:sz w:val="24"/>
                <w:szCs w:val="24"/>
              </w:rPr>
              <w:t>3</w:t>
            </w:r>
          </w:p>
        </w:tc>
        <w:tc>
          <w:tcPr>
            <w:tcW w:w="411"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A792B43">
            <w:pPr>
              <w:jc w:val="left"/>
              <w:rPr>
                <w:b w:val="0"/>
                <w:sz w:val="24"/>
                <w:szCs w:val="24"/>
              </w:rPr>
            </w:pPr>
            <w:r>
              <w:rPr>
                <w:rFonts w:hint="eastAsia"/>
                <w:b w:val="0"/>
                <w:sz w:val="24"/>
                <w:szCs w:val="24"/>
              </w:rPr>
              <w:t>0</w:t>
            </w:r>
          </w:p>
        </w:tc>
      </w:tr>
      <w:tr w14:paraId="54F8B644">
        <w:tblPrEx>
          <w:tblCellMar>
            <w:top w:w="0" w:type="dxa"/>
            <w:left w:w="0" w:type="dxa"/>
            <w:bottom w:w="0" w:type="dxa"/>
            <w:right w:w="0" w:type="dxa"/>
          </w:tblCellMar>
        </w:tblPrEx>
        <w:trPr>
          <w:trHeight w:val="851" w:hRule="atLeast"/>
        </w:trPr>
        <w:tc>
          <w:tcPr>
            <w:tcW w:w="380" w:type="pct"/>
            <w:tcBorders>
              <w:top w:val="nil"/>
              <w:left w:val="single" w:color="000000" w:sz="8" w:space="0"/>
              <w:bottom w:val="single" w:color="000000" w:sz="8" w:space="0"/>
              <w:right w:val="single" w:color="000000" w:sz="8" w:space="0"/>
            </w:tcBorders>
            <w:shd w:val="clear" w:color="auto" w:fill="auto"/>
            <w:vAlign w:val="center"/>
          </w:tcPr>
          <w:p w14:paraId="7B91964B">
            <w:pPr>
              <w:jc w:val="left"/>
              <w:rPr>
                <w:b w:val="0"/>
                <w:sz w:val="24"/>
                <w:szCs w:val="24"/>
              </w:rPr>
            </w:pPr>
            <w:r>
              <w:rPr>
                <w:rFonts w:hint="eastAsia"/>
                <w:b w:val="0"/>
                <w:sz w:val="24"/>
                <w:szCs w:val="24"/>
              </w:rPr>
              <w:t>2</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14:paraId="0B20D1CD">
            <w:pPr>
              <w:jc w:val="left"/>
              <w:rPr>
                <w:b w:val="0"/>
                <w:sz w:val="24"/>
                <w:szCs w:val="24"/>
              </w:rPr>
            </w:pPr>
          </w:p>
        </w:tc>
        <w:tc>
          <w:tcPr>
            <w:tcW w:w="408" w:type="pct"/>
            <w:vMerge w:val="continue"/>
            <w:tcBorders>
              <w:top w:val="nil"/>
              <w:left w:val="nil"/>
              <w:bottom w:val="single" w:color="000000" w:sz="8" w:space="0"/>
              <w:right w:val="single" w:color="000000" w:sz="8" w:space="0"/>
            </w:tcBorders>
            <w:shd w:val="clear" w:color="auto" w:fill="auto"/>
            <w:vAlign w:val="center"/>
          </w:tcPr>
          <w:p w14:paraId="00920A90">
            <w:pPr>
              <w:jc w:val="left"/>
              <w:rPr>
                <w:b w:val="0"/>
                <w:sz w:val="24"/>
                <w:szCs w:val="24"/>
              </w:rPr>
            </w:pPr>
          </w:p>
        </w:tc>
        <w:tc>
          <w:tcPr>
            <w:tcW w:w="668"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BF9B589">
            <w:pPr>
              <w:jc w:val="left"/>
              <w:rPr>
                <w:b w:val="0"/>
                <w:sz w:val="24"/>
                <w:szCs w:val="24"/>
              </w:rPr>
            </w:pPr>
            <w:r>
              <w:rPr>
                <w:rFonts w:hint="eastAsia"/>
                <w:b w:val="0"/>
                <w:sz w:val="24"/>
                <w:szCs w:val="24"/>
              </w:rPr>
              <w:t>立项程序规范性</w:t>
            </w:r>
          </w:p>
        </w:tc>
        <w:tc>
          <w:tcPr>
            <w:tcW w:w="54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F91D593">
            <w:pPr>
              <w:jc w:val="left"/>
              <w:rPr>
                <w:b w:val="0"/>
                <w:sz w:val="24"/>
                <w:szCs w:val="24"/>
              </w:rPr>
            </w:pPr>
            <w:r>
              <w:rPr>
                <w:rFonts w:hint="eastAsia"/>
                <w:b w:val="0"/>
                <w:sz w:val="24"/>
                <w:szCs w:val="24"/>
              </w:rPr>
              <w:t>3</w:t>
            </w:r>
          </w:p>
        </w:tc>
        <w:tc>
          <w:tcPr>
            <w:tcW w:w="1789"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FDB9ADD">
            <w:pPr>
              <w:jc w:val="left"/>
              <w:rPr>
                <w:b w:val="0"/>
                <w:sz w:val="24"/>
                <w:szCs w:val="24"/>
              </w:rPr>
            </w:pPr>
            <w:r>
              <w:rPr>
                <w:rFonts w:hint="eastAsia"/>
                <w:b w:val="0"/>
                <w:sz w:val="24"/>
                <w:szCs w:val="24"/>
              </w:rPr>
              <w:t>立项申请、过程符合相关要求，程序规范，指标评价实际得分3分</w:t>
            </w:r>
          </w:p>
        </w:tc>
        <w:tc>
          <w:tcPr>
            <w:tcW w:w="38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4E0EBE3">
            <w:pPr>
              <w:jc w:val="left"/>
              <w:rPr>
                <w:b w:val="0"/>
                <w:sz w:val="24"/>
                <w:szCs w:val="24"/>
              </w:rPr>
            </w:pPr>
            <w:r>
              <w:rPr>
                <w:rFonts w:hint="eastAsia"/>
                <w:b w:val="0"/>
                <w:sz w:val="24"/>
                <w:szCs w:val="24"/>
              </w:rPr>
              <w:t>3</w:t>
            </w:r>
          </w:p>
        </w:tc>
        <w:tc>
          <w:tcPr>
            <w:tcW w:w="411"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18777BE">
            <w:pPr>
              <w:jc w:val="left"/>
              <w:rPr>
                <w:b w:val="0"/>
                <w:sz w:val="24"/>
                <w:szCs w:val="24"/>
              </w:rPr>
            </w:pPr>
            <w:r>
              <w:rPr>
                <w:rFonts w:hint="eastAsia"/>
                <w:b w:val="0"/>
                <w:sz w:val="24"/>
                <w:szCs w:val="24"/>
              </w:rPr>
              <w:t>0</w:t>
            </w:r>
          </w:p>
        </w:tc>
      </w:tr>
      <w:tr w14:paraId="11AAE1B3">
        <w:tblPrEx>
          <w:tblCellMar>
            <w:top w:w="0" w:type="dxa"/>
            <w:left w:w="0" w:type="dxa"/>
            <w:bottom w:w="0" w:type="dxa"/>
            <w:right w:w="0" w:type="dxa"/>
          </w:tblCellMar>
        </w:tblPrEx>
        <w:trPr>
          <w:trHeight w:val="795" w:hRule="atLeast"/>
        </w:trPr>
        <w:tc>
          <w:tcPr>
            <w:tcW w:w="380" w:type="pct"/>
            <w:tcBorders>
              <w:top w:val="nil"/>
              <w:left w:val="single" w:color="000000" w:sz="8" w:space="0"/>
              <w:bottom w:val="single" w:color="000000" w:sz="8" w:space="0"/>
              <w:right w:val="single" w:color="000000" w:sz="8" w:space="0"/>
            </w:tcBorders>
            <w:shd w:val="clear" w:color="auto" w:fill="auto"/>
            <w:vAlign w:val="center"/>
          </w:tcPr>
          <w:p w14:paraId="30EBC5F2">
            <w:pPr>
              <w:jc w:val="left"/>
              <w:rPr>
                <w:b w:val="0"/>
                <w:sz w:val="24"/>
                <w:szCs w:val="24"/>
              </w:rPr>
            </w:pPr>
            <w:r>
              <w:rPr>
                <w:rFonts w:hint="eastAsia"/>
                <w:b w:val="0"/>
                <w:sz w:val="24"/>
                <w:szCs w:val="24"/>
              </w:rPr>
              <w:t>3</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14:paraId="7BD5423C">
            <w:pPr>
              <w:jc w:val="left"/>
              <w:rPr>
                <w:b w:val="0"/>
                <w:sz w:val="24"/>
                <w:szCs w:val="24"/>
              </w:rPr>
            </w:pPr>
          </w:p>
        </w:tc>
        <w:tc>
          <w:tcPr>
            <w:tcW w:w="408" w:type="pct"/>
            <w:vMerge w:val="restar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456D742">
            <w:pPr>
              <w:jc w:val="left"/>
              <w:rPr>
                <w:b w:val="0"/>
                <w:sz w:val="24"/>
                <w:szCs w:val="24"/>
              </w:rPr>
            </w:pPr>
            <w:r>
              <w:rPr>
                <w:rFonts w:hint="eastAsia"/>
                <w:b w:val="0"/>
                <w:sz w:val="24"/>
                <w:szCs w:val="24"/>
              </w:rPr>
              <w:t>绩效目标（7分）　</w:t>
            </w:r>
          </w:p>
        </w:tc>
        <w:tc>
          <w:tcPr>
            <w:tcW w:w="668"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4B58CCF">
            <w:pPr>
              <w:jc w:val="left"/>
              <w:rPr>
                <w:b w:val="0"/>
                <w:sz w:val="24"/>
                <w:szCs w:val="24"/>
              </w:rPr>
            </w:pPr>
            <w:r>
              <w:rPr>
                <w:rFonts w:hint="eastAsia"/>
                <w:b w:val="0"/>
                <w:sz w:val="24"/>
                <w:szCs w:val="24"/>
              </w:rPr>
              <w:t>绩效目标合理性</w:t>
            </w:r>
          </w:p>
        </w:tc>
        <w:tc>
          <w:tcPr>
            <w:tcW w:w="54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EEAC053">
            <w:pPr>
              <w:jc w:val="left"/>
              <w:rPr>
                <w:b w:val="0"/>
                <w:sz w:val="24"/>
                <w:szCs w:val="24"/>
              </w:rPr>
            </w:pPr>
            <w:r>
              <w:rPr>
                <w:rFonts w:hint="eastAsia"/>
                <w:b w:val="0"/>
                <w:sz w:val="24"/>
                <w:szCs w:val="24"/>
              </w:rPr>
              <w:t>3</w:t>
            </w:r>
          </w:p>
        </w:tc>
        <w:tc>
          <w:tcPr>
            <w:tcW w:w="1789"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D1FAD0F">
            <w:pPr>
              <w:jc w:val="left"/>
              <w:rPr>
                <w:b w:val="0"/>
                <w:sz w:val="24"/>
                <w:szCs w:val="24"/>
              </w:rPr>
            </w:pPr>
            <w:r>
              <w:rPr>
                <w:rFonts w:hint="eastAsia"/>
                <w:b w:val="0"/>
                <w:sz w:val="24"/>
                <w:szCs w:val="24"/>
              </w:rPr>
              <w:t>项目规范性文件不合理，扣1分，依据评分标准得2分</w:t>
            </w:r>
          </w:p>
        </w:tc>
        <w:tc>
          <w:tcPr>
            <w:tcW w:w="38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1347AE0">
            <w:pPr>
              <w:jc w:val="left"/>
              <w:rPr>
                <w:b w:val="0"/>
                <w:sz w:val="24"/>
                <w:szCs w:val="24"/>
              </w:rPr>
            </w:pPr>
            <w:r>
              <w:rPr>
                <w:rFonts w:hint="eastAsia"/>
                <w:b w:val="0"/>
                <w:sz w:val="24"/>
                <w:szCs w:val="24"/>
              </w:rPr>
              <w:t>2</w:t>
            </w:r>
          </w:p>
        </w:tc>
        <w:tc>
          <w:tcPr>
            <w:tcW w:w="411"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C1F58E5">
            <w:pPr>
              <w:jc w:val="left"/>
              <w:rPr>
                <w:b w:val="0"/>
                <w:sz w:val="24"/>
                <w:szCs w:val="24"/>
              </w:rPr>
            </w:pPr>
            <w:r>
              <w:rPr>
                <w:rFonts w:hint="eastAsia"/>
                <w:b w:val="0"/>
                <w:sz w:val="24"/>
                <w:szCs w:val="24"/>
              </w:rPr>
              <w:t>1</w:t>
            </w:r>
          </w:p>
        </w:tc>
      </w:tr>
      <w:tr w14:paraId="15F64836">
        <w:tblPrEx>
          <w:tblCellMar>
            <w:top w:w="0" w:type="dxa"/>
            <w:left w:w="0" w:type="dxa"/>
            <w:bottom w:w="0" w:type="dxa"/>
            <w:right w:w="0" w:type="dxa"/>
          </w:tblCellMar>
        </w:tblPrEx>
        <w:trPr>
          <w:trHeight w:val="844" w:hRule="atLeast"/>
        </w:trPr>
        <w:tc>
          <w:tcPr>
            <w:tcW w:w="380" w:type="pct"/>
            <w:tcBorders>
              <w:top w:val="nil"/>
              <w:left w:val="single" w:color="000000" w:sz="8" w:space="0"/>
              <w:bottom w:val="single" w:color="000000" w:sz="8" w:space="0"/>
              <w:right w:val="single" w:color="000000" w:sz="8" w:space="0"/>
            </w:tcBorders>
            <w:shd w:val="clear" w:color="auto" w:fill="auto"/>
            <w:vAlign w:val="center"/>
          </w:tcPr>
          <w:p w14:paraId="2283C03C">
            <w:pPr>
              <w:jc w:val="left"/>
              <w:rPr>
                <w:b w:val="0"/>
                <w:sz w:val="24"/>
                <w:szCs w:val="24"/>
              </w:rPr>
            </w:pPr>
            <w:r>
              <w:rPr>
                <w:rFonts w:hint="eastAsia"/>
                <w:b w:val="0"/>
                <w:sz w:val="24"/>
                <w:szCs w:val="24"/>
              </w:rPr>
              <w:t>4</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14:paraId="69F99DB4">
            <w:pPr>
              <w:jc w:val="left"/>
              <w:rPr>
                <w:b w:val="0"/>
                <w:sz w:val="24"/>
                <w:szCs w:val="24"/>
              </w:rPr>
            </w:pPr>
          </w:p>
        </w:tc>
        <w:tc>
          <w:tcPr>
            <w:tcW w:w="408" w:type="pct"/>
            <w:vMerge w:val="continue"/>
            <w:tcBorders>
              <w:top w:val="nil"/>
              <w:left w:val="nil"/>
              <w:bottom w:val="single" w:color="000000" w:sz="8" w:space="0"/>
              <w:right w:val="single" w:color="000000" w:sz="8" w:space="0"/>
            </w:tcBorders>
            <w:shd w:val="clear" w:color="auto" w:fill="auto"/>
            <w:vAlign w:val="center"/>
          </w:tcPr>
          <w:p w14:paraId="57D77BA2">
            <w:pPr>
              <w:jc w:val="left"/>
              <w:rPr>
                <w:b w:val="0"/>
                <w:sz w:val="24"/>
                <w:szCs w:val="24"/>
              </w:rPr>
            </w:pPr>
          </w:p>
        </w:tc>
        <w:tc>
          <w:tcPr>
            <w:tcW w:w="668"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DB73DC6">
            <w:pPr>
              <w:jc w:val="left"/>
              <w:rPr>
                <w:b w:val="0"/>
                <w:sz w:val="24"/>
                <w:szCs w:val="24"/>
              </w:rPr>
            </w:pPr>
            <w:r>
              <w:rPr>
                <w:rFonts w:hint="eastAsia"/>
                <w:b w:val="0"/>
                <w:sz w:val="24"/>
                <w:szCs w:val="24"/>
              </w:rPr>
              <w:t>绩效指标明确性</w:t>
            </w:r>
          </w:p>
        </w:tc>
        <w:tc>
          <w:tcPr>
            <w:tcW w:w="54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BDF27C0">
            <w:pPr>
              <w:jc w:val="left"/>
              <w:rPr>
                <w:b w:val="0"/>
                <w:sz w:val="24"/>
                <w:szCs w:val="24"/>
              </w:rPr>
            </w:pPr>
            <w:r>
              <w:rPr>
                <w:rFonts w:hint="eastAsia"/>
                <w:b w:val="0"/>
                <w:sz w:val="24"/>
                <w:szCs w:val="24"/>
              </w:rPr>
              <w:t>4</w:t>
            </w:r>
          </w:p>
        </w:tc>
        <w:tc>
          <w:tcPr>
            <w:tcW w:w="1789"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7631BEC">
            <w:pPr>
              <w:jc w:val="left"/>
              <w:rPr>
                <w:b w:val="0"/>
                <w:sz w:val="24"/>
                <w:szCs w:val="24"/>
              </w:rPr>
            </w:pPr>
            <w:r>
              <w:rPr>
                <w:rFonts w:hint="eastAsia"/>
                <w:b w:val="0"/>
                <w:sz w:val="24"/>
                <w:szCs w:val="24"/>
              </w:rPr>
              <w:t>按照付款申请结算，没有相关执行文件，扣</w:t>
            </w:r>
            <w:r>
              <w:rPr>
                <w:b w:val="0"/>
                <w:sz w:val="24"/>
                <w:szCs w:val="24"/>
              </w:rPr>
              <w:t>1</w:t>
            </w:r>
            <w:r>
              <w:rPr>
                <w:rFonts w:hint="eastAsia"/>
                <w:b w:val="0"/>
                <w:sz w:val="24"/>
                <w:szCs w:val="24"/>
              </w:rPr>
              <w:t>分依据评分标准得</w:t>
            </w:r>
            <w:r>
              <w:rPr>
                <w:b w:val="0"/>
                <w:sz w:val="24"/>
                <w:szCs w:val="24"/>
              </w:rPr>
              <w:t>3</w:t>
            </w:r>
            <w:r>
              <w:rPr>
                <w:rFonts w:hint="eastAsia"/>
                <w:b w:val="0"/>
                <w:sz w:val="24"/>
                <w:szCs w:val="24"/>
              </w:rPr>
              <w:t>分</w:t>
            </w:r>
          </w:p>
        </w:tc>
        <w:tc>
          <w:tcPr>
            <w:tcW w:w="38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47DCAC3">
            <w:pPr>
              <w:jc w:val="left"/>
              <w:rPr>
                <w:b w:val="0"/>
                <w:sz w:val="24"/>
                <w:szCs w:val="24"/>
              </w:rPr>
            </w:pPr>
            <w:r>
              <w:rPr>
                <w:b w:val="0"/>
                <w:sz w:val="24"/>
                <w:szCs w:val="24"/>
              </w:rPr>
              <w:t>2</w:t>
            </w:r>
          </w:p>
        </w:tc>
        <w:tc>
          <w:tcPr>
            <w:tcW w:w="411"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1DF9BE7">
            <w:pPr>
              <w:jc w:val="left"/>
              <w:rPr>
                <w:b w:val="0"/>
                <w:sz w:val="24"/>
                <w:szCs w:val="24"/>
              </w:rPr>
            </w:pPr>
            <w:r>
              <w:rPr>
                <w:b w:val="0"/>
                <w:sz w:val="24"/>
                <w:szCs w:val="24"/>
              </w:rPr>
              <w:t>2</w:t>
            </w:r>
          </w:p>
        </w:tc>
      </w:tr>
      <w:tr w14:paraId="009D37B2">
        <w:tblPrEx>
          <w:tblCellMar>
            <w:top w:w="0" w:type="dxa"/>
            <w:left w:w="0" w:type="dxa"/>
            <w:bottom w:w="0" w:type="dxa"/>
            <w:right w:w="0" w:type="dxa"/>
          </w:tblCellMar>
        </w:tblPrEx>
        <w:trPr>
          <w:trHeight w:val="887" w:hRule="atLeast"/>
        </w:trPr>
        <w:tc>
          <w:tcPr>
            <w:tcW w:w="380" w:type="pct"/>
            <w:tcBorders>
              <w:top w:val="nil"/>
              <w:left w:val="single" w:color="000000" w:sz="8" w:space="0"/>
              <w:bottom w:val="single" w:color="000000" w:sz="8" w:space="0"/>
              <w:right w:val="single" w:color="000000" w:sz="8" w:space="0"/>
            </w:tcBorders>
            <w:shd w:val="clear" w:color="auto" w:fill="auto"/>
            <w:vAlign w:val="center"/>
          </w:tcPr>
          <w:p w14:paraId="7B4F00E4">
            <w:pPr>
              <w:jc w:val="left"/>
              <w:rPr>
                <w:b w:val="0"/>
                <w:sz w:val="24"/>
                <w:szCs w:val="24"/>
              </w:rPr>
            </w:pPr>
            <w:r>
              <w:rPr>
                <w:rFonts w:hint="eastAsia"/>
                <w:b w:val="0"/>
                <w:sz w:val="24"/>
                <w:szCs w:val="24"/>
              </w:rPr>
              <w:t>5</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14:paraId="59794DD3">
            <w:pPr>
              <w:jc w:val="left"/>
              <w:rPr>
                <w:b w:val="0"/>
                <w:sz w:val="24"/>
                <w:szCs w:val="24"/>
              </w:rPr>
            </w:pPr>
          </w:p>
        </w:tc>
        <w:tc>
          <w:tcPr>
            <w:tcW w:w="408" w:type="pct"/>
            <w:vMerge w:val="restar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953FC06">
            <w:pPr>
              <w:jc w:val="left"/>
              <w:rPr>
                <w:b w:val="0"/>
                <w:sz w:val="24"/>
                <w:szCs w:val="24"/>
              </w:rPr>
            </w:pPr>
            <w:r>
              <w:rPr>
                <w:rFonts w:hint="eastAsia"/>
                <w:b w:val="0"/>
                <w:sz w:val="24"/>
                <w:szCs w:val="24"/>
              </w:rPr>
              <w:t>资金投入</w:t>
            </w:r>
          </w:p>
          <w:p w14:paraId="6EEF684F">
            <w:pPr>
              <w:jc w:val="left"/>
              <w:rPr>
                <w:b w:val="0"/>
                <w:sz w:val="24"/>
                <w:szCs w:val="24"/>
              </w:rPr>
            </w:pPr>
            <w:r>
              <w:rPr>
                <w:rFonts w:hint="eastAsia"/>
                <w:b w:val="0"/>
                <w:sz w:val="24"/>
                <w:szCs w:val="24"/>
              </w:rPr>
              <w:t>（7分）</w:t>
            </w:r>
          </w:p>
        </w:tc>
        <w:tc>
          <w:tcPr>
            <w:tcW w:w="668"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1A12343">
            <w:pPr>
              <w:jc w:val="left"/>
              <w:rPr>
                <w:b w:val="0"/>
                <w:sz w:val="24"/>
                <w:szCs w:val="24"/>
              </w:rPr>
            </w:pPr>
            <w:r>
              <w:rPr>
                <w:rFonts w:hint="eastAsia"/>
                <w:b w:val="0"/>
                <w:sz w:val="24"/>
                <w:szCs w:val="24"/>
              </w:rPr>
              <w:t>预算编制科学性</w:t>
            </w:r>
          </w:p>
        </w:tc>
        <w:tc>
          <w:tcPr>
            <w:tcW w:w="54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D024407">
            <w:pPr>
              <w:jc w:val="left"/>
              <w:rPr>
                <w:b w:val="0"/>
                <w:sz w:val="24"/>
                <w:szCs w:val="24"/>
              </w:rPr>
            </w:pPr>
            <w:r>
              <w:rPr>
                <w:rFonts w:hint="eastAsia"/>
                <w:b w:val="0"/>
                <w:sz w:val="24"/>
                <w:szCs w:val="24"/>
              </w:rPr>
              <w:t>3</w:t>
            </w:r>
          </w:p>
        </w:tc>
        <w:tc>
          <w:tcPr>
            <w:tcW w:w="1789"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60B6C49">
            <w:pPr>
              <w:jc w:val="left"/>
              <w:rPr>
                <w:b w:val="0"/>
                <w:sz w:val="24"/>
                <w:szCs w:val="24"/>
              </w:rPr>
            </w:pPr>
            <w:r>
              <w:rPr>
                <w:rFonts w:hint="eastAsia"/>
                <w:b w:val="0"/>
                <w:sz w:val="24"/>
                <w:szCs w:val="24"/>
              </w:rPr>
              <w:t>有相关预算文件，预算和实际支付金额不一致扣1分得2分</w:t>
            </w:r>
          </w:p>
        </w:tc>
        <w:tc>
          <w:tcPr>
            <w:tcW w:w="38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7CE7EF8">
            <w:pPr>
              <w:jc w:val="left"/>
              <w:rPr>
                <w:b w:val="0"/>
                <w:sz w:val="24"/>
                <w:szCs w:val="24"/>
              </w:rPr>
            </w:pPr>
            <w:r>
              <w:rPr>
                <w:rFonts w:hint="eastAsia"/>
                <w:b w:val="0"/>
                <w:sz w:val="24"/>
                <w:szCs w:val="24"/>
              </w:rPr>
              <w:t>2</w:t>
            </w:r>
          </w:p>
        </w:tc>
        <w:tc>
          <w:tcPr>
            <w:tcW w:w="411"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6427974">
            <w:pPr>
              <w:jc w:val="left"/>
              <w:rPr>
                <w:b w:val="0"/>
                <w:sz w:val="24"/>
                <w:szCs w:val="24"/>
              </w:rPr>
            </w:pPr>
            <w:r>
              <w:rPr>
                <w:rFonts w:hint="eastAsia"/>
                <w:b w:val="0"/>
                <w:sz w:val="24"/>
                <w:szCs w:val="24"/>
              </w:rPr>
              <w:t>1</w:t>
            </w:r>
          </w:p>
        </w:tc>
      </w:tr>
      <w:tr w14:paraId="547B4501">
        <w:tblPrEx>
          <w:tblCellMar>
            <w:top w:w="0" w:type="dxa"/>
            <w:left w:w="0" w:type="dxa"/>
            <w:bottom w:w="0" w:type="dxa"/>
            <w:right w:w="0" w:type="dxa"/>
          </w:tblCellMar>
        </w:tblPrEx>
        <w:trPr>
          <w:trHeight w:val="977" w:hRule="atLeast"/>
        </w:trPr>
        <w:tc>
          <w:tcPr>
            <w:tcW w:w="380" w:type="pct"/>
            <w:tcBorders>
              <w:top w:val="nil"/>
              <w:left w:val="single" w:color="000000" w:sz="8" w:space="0"/>
              <w:bottom w:val="single" w:color="000000" w:sz="8" w:space="0"/>
              <w:right w:val="single" w:color="000000" w:sz="8" w:space="0"/>
            </w:tcBorders>
            <w:shd w:val="clear" w:color="auto" w:fill="auto"/>
            <w:vAlign w:val="center"/>
          </w:tcPr>
          <w:p w14:paraId="7EF7A1E9">
            <w:pPr>
              <w:jc w:val="left"/>
              <w:rPr>
                <w:b w:val="0"/>
                <w:sz w:val="24"/>
                <w:szCs w:val="24"/>
              </w:rPr>
            </w:pPr>
            <w:r>
              <w:rPr>
                <w:rFonts w:hint="eastAsia"/>
                <w:b w:val="0"/>
                <w:sz w:val="24"/>
                <w:szCs w:val="24"/>
              </w:rPr>
              <w:t>6</w:t>
            </w:r>
          </w:p>
        </w:tc>
        <w:tc>
          <w:tcPr>
            <w:tcW w:w="408" w:type="pct"/>
            <w:vMerge w:val="continue"/>
            <w:tcBorders>
              <w:top w:val="nil"/>
              <w:left w:val="single" w:color="000000" w:sz="8" w:space="0"/>
              <w:bottom w:val="single" w:color="000000" w:sz="8" w:space="0"/>
              <w:right w:val="single" w:color="000000" w:sz="8" w:space="0"/>
            </w:tcBorders>
            <w:shd w:val="clear" w:color="auto" w:fill="auto"/>
            <w:vAlign w:val="center"/>
          </w:tcPr>
          <w:p w14:paraId="187C8695">
            <w:pPr>
              <w:jc w:val="left"/>
              <w:rPr>
                <w:b w:val="0"/>
                <w:sz w:val="24"/>
                <w:szCs w:val="24"/>
              </w:rPr>
            </w:pPr>
          </w:p>
        </w:tc>
        <w:tc>
          <w:tcPr>
            <w:tcW w:w="408" w:type="pct"/>
            <w:vMerge w:val="continue"/>
            <w:tcBorders>
              <w:top w:val="nil"/>
              <w:left w:val="nil"/>
              <w:bottom w:val="single" w:color="000000" w:sz="8" w:space="0"/>
              <w:right w:val="single" w:color="000000" w:sz="8" w:space="0"/>
            </w:tcBorders>
            <w:shd w:val="clear" w:color="auto" w:fill="auto"/>
            <w:vAlign w:val="center"/>
          </w:tcPr>
          <w:p w14:paraId="4A74CEA0">
            <w:pPr>
              <w:jc w:val="left"/>
              <w:rPr>
                <w:b w:val="0"/>
                <w:sz w:val="24"/>
                <w:szCs w:val="24"/>
              </w:rPr>
            </w:pPr>
          </w:p>
        </w:tc>
        <w:tc>
          <w:tcPr>
            <w:tcW w:w="668"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DBC3003">
            <w:pPr>
              <w:jc w:val="left"/>
              <w:rPr>
                <w:b w:val="0"/>
                <w:sz w:val="24"/>
                <w:szCs w:val="24"/>
              </w:rPr>
            </w:pPr>
            <w:r>
              <w:rPr>
                <w:rFonts w:hint="eastAsia"/>
                <w:b w:val="0"/>
                <w:sz w:val="24"/>
                <w:szCs w:val="24"/>
              </w:rPr>
              <w:t>资金分配合理性</w:t>
            </w:r>
          </w:p>
        </w:tc>
        <w:tc>
          <w:tcPr>
            <w:tcW w:w="54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ECE139E">
            <w:pPr>
              <w:jc w:val="left"/>
              <w:rPr>
                <w:b w:val="0"/>
                <w:sz w:val="24"/>
                <w:szCs w:val="24"/>
              </w:rPr>
            </w:pPr>
            <w:r>
              <w:rPr>
                <w:rFonts w:hint="eastAsia"/>
                <w:b w:val="0"/>
                <w:sz w:val="24"/>
                <w:szCs w:val="24"/>
              </w:rPr>
              <w:t>4</w:t>
            </w:r>
          </w:p>
        </w:tc>
        <w:tc>
          <w:tcPr>
            <w:tcW w:w="1789"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D868F9D">
            <w:pPr>
              <w:jc w:val="left"/>
              <w:rPr>
                <w:b w:val="0"/>
                <w:sz w:val="24"/>
                <w:szCs w:val="24"/>
              </w:rPr>
            </w:pPr>
            <w:r>
              <w:rPr>
                <w:rFonts w:hint="eastAsia"/>
                <w:b w:val="0"/>
                <w:sz w:val="24"/>
                <w:szCs w:val="24"/>
              </w:rPr>
              <w:t>以资金分配为预算依据,单位实际与预算资金分配实际不相符应扣2分得2分</w:t>
            </w:r>
          </w:p>
        </w:tc>
        <w:tc>
          <w:tcPr>
            <w:tcW w:w="38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CA09802">
            <w:pPr>
              <w:jc w:val="left"/>
              <w:rPr>
                <w:b w:val="0"/>
                <w:sz w:val="24"/>
                <w:szCs w:val="24"/>
              </w:rPr>
            </w:pPr>
            <w:r>
              <w:rPr>
                <w:rFonts w:hint="eastAsia"/>
                <w:b w:val="0"/>
                <w:sz w:val="24"/>
                <w:szCs w:val="24"/>
              </w:rPr>
              <w:t>2</w:t>
            </w:r>
          </w:p>
        </w:tc>
        <w:tc>
          <w:tcPr>
            <w:tcW w:w="411"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5681BF0">
            <w:pPr>
              <w:jc w:val="left"/>
              <w:rPr>
                <w:b w:val="0"/>
                <w:sz w:val="24"/>
                <w:szCs w:val="24"/>
              </w:rPr>
            </w:pPr>
            <w:r>
              <w:rPr>
                <w:rFonts w:hint="eastAsia"/>
                <w:b w:val="0"/>
                <w:sz w:val="24"/>
                <w:szCs w:val="24"/>
              </w:rPr>
              <w:t>2</w:t>
            </w:r>
          </w:p>
        </w:tc>
      </w:tr>
      <w:tr w14:paraId="11691F32">
        <w:tblPrEx>
          <w:tblCellMar>
            <w:top w:w="0" w:type="dxa"/>
            <w:left w:w="0" w:type="dxa"/>
            <w:bottom w:w="0" w:type="dxa"/>
            <w:right w:w="0" w:type="dxa"/>
          </w:tblCellMar>
        </w:tblPrEx>
        <w:trPr>
          <w:trHeight w:val="90" w:hRule="atLeast"/>
        </w:trPr>
        <w:tc>
          <w:tcPr>
            <w:tcW w:w="380" w:type="pct"/>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14:paraId="6CB1DA82">
            <w:pPr>
              <w:jc w:val="left"/>
              <w:rPr>
                <w:b w:val="0"/>
                <w:sz w:val="24"/>
                <w:szCs w:val="24"/>
              </w:rPr>
            </w:pPr>
          </w:p>
        </w:tc>
        <w:tc>
          <w:tcPr>
            <w:tcW w:w="3820" w:type="pct"/>
            <w:gridSpan w:val="5"/>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14:paraId="3DE8DAFE">
            <w:pPr>
              <w:jc w:val="left"/>
              <w:rPr>
                <w:b w:val="0"/>
                <w:sz w:val="24"/>
                <w:szCs w:val="24"/>
              </w:rPr>
            </w:pPr>
            <w:r>
              <w:rPr>
                <w:rFonts w:hint="eastAsia"/>
                <w:b w:val="0"/>
                <w:sz w:val="24"/>
                <w:szCs w:val="24"/>
              </w:rPr>
              <w:t>小计</w:t>
            </w:r>
          </w:p>
        </w:tc>
        <w:tc>
          <w:tcPr>
            <w:tcW w:w="387"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B993D9D">
            <w:pPr>
              <w:jc w:val="left"/>
              <w:rPr>
                <w:b w:val="0"/>
                <w:sz w:val="24"/>
                <w:szCs w:val="24"/>
              </w:rPr>
            </w:pPr>
            <w:r>
              <w:rPr>
                <w:b w:val="0"/>
                <w:sz w:val="24"/>
                <w:szCs w:val="24"/>
              </w:rPr>
              <w:t>14</w:t>
            </w:r>
          </w:p>
        </w:tc>
        <w:tc>
          <w:tcPr>
            <w:tcW w:w="411" w:type="pc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C92EEE8">
            <w:pPr>
              <w:jc w:val="left"/>
              <w:rPr>
                <w:b w:val="0"/>
                <w:sz w:val="24"/>
                <w:szCs w:val="24"/>
              </w:rPr>
            </w:pPr>
            <w:r>
              <w:rPr>
                <w:b w:val="0"/>
                <w:sz w:val="24"/>
                <w:szCs w:val="24"/>
              </w:rPr>
              <w:t>6</w:t>
            </w:r>
          </w:p>
        </w:tc>
      </w:tr>
    </w:tbl>
    <w:p w14:paraId="50D8C0D7">
      <w:pPr>
        <w:widowControl w:val="0"/>
        <w:shd w:val="clear" w:color="auto" w:fill="auto"/>
        <w:spacing w:line="560" w:lineRule="exact"/>
        <w:ind w:firstLine="480" w:firstLineChars="200"/>
        <w:jc w:val="both"/>
        <w:rPr>
          <w:b w:val="0"/>
          <w:sz w:val="24"/>
          <w:szCs w:val="24"/>
        </w:rPr>
      </w:pPr>
      <w:bookmarkStart w:id="39" w:name="_Toc18342"/>
      <w:bookmarkStart w:id="40" w:name="_Toc6134"/>
      <w:r>
        <w:rPr>
          <w:rFonts w:hint="eastAsia"/>
          <w:b w:val="0"/>
          <w:sz w:val="24"/>
          <w:szCs w:val="24"/>
        </w:rPr>
        <w:t>1、立项依据充分性（满分3分，实得3分）</w:t>
      </w:r>
      <w:bookmarkEnd w:id="39"/>
      <w:bookmarkEnd w:id="40"/>
    </w:p>
    <w:p w14:paraId="55C8EDCE">
      <w:pPr>
        <w:widowControl w:val="0"/>
        <w:shd w:val="clear" w:color="auto" w:fill="auto"/>
        <w:spacing w:line="560" w:lineRule="exact"/>
        <w:ind w:firstLine="480" w:firstLineChars="200"/>
        <w:jc w:val="both"/>
        <w:rPr>
          <w:b w:val="0"/>
          <w:sz w:val="24"/>
          <w:szCs w:val="24"/>
        </w:rPr>
      </w:pPr>
      <w:r>
        <w:rPr>
          <w:rFonts w:hint="eastAsia"/>
          <w:b w:val="0"/>
          <w:sz w:val="24"/>
          <w:szCs w:val="24"/>
        </w:rPr>
        <w:t>指标解释：该项指标主要考核项目立项是否符合法律法规、相关政策、发展规划以及部门职责，用以反映和考核项目立项依据情况。</w:t>
      </w:r>
    </w:p>
    <w:p w14:paraId="03B4BC1D">
      <w:pPr>
        <w:widowControl w:val="0"/>
        <w:shd w:val="clear" w:color="auto" w:fill="auto"/>
        <w:spacing w:line="560" w:lineRule="exact"/>
        <w:ind w:firstLine="480" w:firstLineChars="200"/>
        <w:jc w:val="both"/>
        <w:rPr>
          <w:b w:val="0"/>
          <w:sz w:val="24"/>
          <w:szCs w:val="24"/>
        </w:rPr>
      </w:pPr>
      <w:r>
        <w:rPr>
          <w:rFonts w:hint="eastAsia"/>
          <w:b w:val="0"/>
          <w:sz w:val="24"/>
          <w:szCs w:val="24"/>
        </w:rPr>
        <w:t>财政局下发的批复性文件与主管部门的通知要求基本相符，符合法律法规、相关政策、发展规划以及部门职责；项目基本按照规定的程序申请设立；审批文件、材料符合相关要求；事前已经过必要的可行性研究、绩效评估、集体决策。项目预期产出效益和效果达到了正常的业绩水平。本次评价认为：项目立项依据充分完成，符合经济社会发展规划，项目立项依据充分性指标实际得分3分。</w:t>
      </w:r>
    </w:p>
    <w:p w14:paraId="503D8814">
      <w:pPr>
        <w:widowControl w:val="0"/>
        <w:shd w:val="clear" w:color="auto" w:fill="auto"/>
        <w:spacing w:line="560" w:lineRule="exact"/>
        <w:ind w:firstLine="480" w:firstLineChars="200"/>
        <w:jc w:val="both"/>
        <w:rPr>
          <w:b w:val="0"/>
          <w:sz w:val="24"/>
          <w:szCs w:val="24"/>
        </w:rPr>
      </w:pPr>
      <w:bookmarkStart w:id="41" w:name="_Toc7291"/>
      <w:bookmarkStart w:id="42" w:name="_Toc9467"/>
      <w:r>
        <w:rPr>
          <w:rFonts w:hint="eastAsia"/>
          <w:b w:val="0"/>
          <w:sz w:val="24"/>
          <w:szCs w:val="24"/>
        </w:rPr>
        <w:t>2、项目立项规范性（满分3分，实得3分）</w:t>
      </w:r>
      <w:bookmarkEnd w:id="41"/>
      <w:bookmarkEnd w:id="42"/>
    </w:p>
    <w:p w14:paraId="61B8F368">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指标解释：项目申请、设立过程是否符合相关要求，用以反映和考核项目立项的规范情况。</w:t>
      </w:r>
    </w:p>
    <w:p w14:paraId="02CC56B7">
      <w:pPr>
        <w:widowControl w:val="0"/>
        <w:shd w:val="clear" w:color="auto" w:fill="auto"/>
        <w:spacing w:line="560" w:lineRule="exact"/>
        <w:ind w:firstLine="480" w:firstLineChars="200"/>
        <w:jc w:val="both"/>
        <w:rPr>
          <w:b w:val="0"/>
          <w:sz w:val="24"/>
          <w:szCs w:val="24"/>
        </w:rPr>
      </w:pPr>
      <w:r>
        <w:rPr>
          <w:rFonts w:hint="eastAsia"/>
          <w:b w:val="0"/>
          <w:sz w:val="24"/>
          <w:szCs w:val="24"/>
        </w:rPr>
        <w:t>为确保项目顺利实施，根据怀远县卫健委文件《关于进一步规范从业人员预防性健康体检工作暨增加预防性健康体检定点医疗机构的通知》（怀卫健〔202</w:t>
      </w:r>
      <w:r>
        <w:rPr>
          <w:b w:val="0"/>
          <w:sz w:val="24"/>
          <w:szCs w:val="24"/>
        </w:rPr>
        <w:t>0</w:t>
      </w:r>
      <w:r>
        <w:rPr>
          <w:rFonts w:hint="eastAsia"/>
          <w:b w:val="0"/>
          <w:sz w:val="24"/>
          <w:szCs w:val="24"/>
        </w:rPr>
        <w:t>〕</w:t>
      </w:r>
      <w:r>
        <w:rPr>
          <w:b w:val="0"/>
          <w:sz w:val="24"/>
          <w:szCs w:val="24"/>
        </w:rPr>
        <w:t>93</w:t>
      </w:r>
      <w:r>
        <w:rPr>
          <w:rFonts w:hint="eastAsia"/>
          <w:b w:val="0"/>
          <w:sz w:val="24"/>
          <w:szCs w:val="24"/>
        </w:rPr>
        <w:t>号）文件精神，《 “健康</w:t>
      </w:r>
      <w:r>
        <w:rPr>
          <w:b w:val="0"/>
          <w:sz w:val="24"/>
          <w:szCs w:val="24"/>
        </w:rPr>
        <w:t>中国</w:t>
      </w:r>
      <w:r>
        <w:rPr>
          <w:rFonts w:hint="eastAsia"/>
          <w:b w:val="0"/>
          <w:sz w:val="24"/>
          <w:szCs w:val="24"/>
        </w:rPr>
        <w:t>2030”规划纲要》，结合怀远县实际情况，和主管部门下发的通知要求相符。</w:t>
      </w:r>
    </w:p>
    <w:p w14:paraId="0C50F2B5">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本次评价认为：立项目的、过程符合相关要求，项目立项规范性，指标评价实际得分为3分。</w:t>
      </w:r>
    </w:p>
    <w:p w14:paraId="6228BE65">
      <w:pPr>
        <w:widowControl w:val="0"/>
        <w:shd w:val="clear" w:color="auto" w:fill="auto"/>
        <w:spacing w:line="560" w:lineRule="exact"/>
        <w:ind w:firstLine="480" w:firstLineChars="200"/>
        <w:jc w:val="both"/>
        <w:rPr>
          <w:b w:val="0"/>
          <w:sz w:val="24"/>
          <w:szCs w:val="24"/>
        </w:rPr>
      </w:pPr>
      <w:bookmarkStart w:id="43" w:name="_Toc23983"/>
      <w:bookmarkStart w:id="44" w:name="_Toc24175"/>
      <w:r>
        <w:rPr>
          <w:rFonts w:hint="eastAsia"/>
          <w:b w:val="0"/>
          <w:sz w:val="24"/>
          <w:szCs w:val="24"/>
        </w:rPr>
        <w:t>3、绩效目标合理性（满分3分，实得2分）</w:t>
      </w:r>
      <w:bookmarkEnd w:id="43"/>
      <w:bookmarkEnd w:id="44"/>
    </w:p>
    <w:p w14:paraId="19369B5E">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指标解释：项目所设定的绩效目标是否依据充分，是否符合客观实际，用以反映和考核项目绩效目标与项目实施的相符情况。</w:t>
      </w:r>
    </w:p>
    <w:p w14:paraId="09737B52">
      <w:pPr>
        <w:widowControl w:val="0"/>
        <w:shd w:val="clear" w:color="auto" w:fill="auto"/>
        <w:spacing w:line="560" w:lineRule="exact"/>
        <w:ind w:firstLine="480" w:firstLineChars="200"/>
        <w:jc w:val="both"/>
        <w:rPr>
          <w:b w:val="0"/>
          <w:sz w:val="24"/>
          <w:szCs w:val="24"/>
        </w:rPr>
      </w:pPr>
      <w:r>
        <w:rPr>
          <w:rFonts w:hint="eastAsia"/>
          <w:b w:val="0"/>
          <w:sz w:val="24"/>
          <w:szCs w:val="24"/>
        </w:rPr>
        <w:t>本项目从明确具体、细化量化、绩效目标可实现、绩效目标与政策相关性、绩效目标时限性等方面，共计设计了2个一级指标，4个二级指标，6个三级指标，用以反映和考核项目绩效目标与项目实施的相符情况。</w:t>
      </w:r>
    </w:p>
    <w:p w14:paraId="2BF51445">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本次评价认为：为单独设立绩效目标，与单位职责紧密相关，绩效目标能分解为具体的绩效指标，没有绩效目标文件，设置较为简单，扣1分，依据评分标准得2分。</w:t>
      </w:r>
    </w:p>
    <w:p w14:paraId="09B290CC">
      <w:pPr>
        <w:widowControl w:val="0"/>
        <w:shd w:val="clear" w:color="auto" w:fill="auto"/>
        <w:spacing w:line="560" w:lineRule="exact"/>
        <w:ind w:firstLine="480" w:firstLineChars="200"/>
        <w:jc w:val="both"/>
        <w:rPr>
          <w:b w:val="0"/>
          <w:sz w:val="24"/>
          <w:szCs w:val="24"/>
        </w:rPr>
      </w:pPr>
      <w:bookmarkStart w:id="45" w:name="_Toc26364"/>
      <w:bookmarkStart w:id="46" w:name="_Toc2983"/>
      <w:r>
        <w:rPr>
          <w:rFonts w:hint="eastAsia"/>
          <w:b w:val="0"/>
          <w:sz w:val="24"/>
          <w:szCs w:val="24"/>
        </w:rPr>
        <w:t>4、绩效目标明确性（满分4分，实得</w:t>
      </w:r>
      <w:r>
        <w:rPr>
          <w:b w:val="0"/>
          <w:sz w:val="24"/>
          <w:szCs w:val="24"/>
        </w:rPr>
        <w:t>2</w:t>
      </w:r>
      <w:r>
        <w:rPr>
          <w:rFonts w:hint="eastAsia"/>
          <w:b w:val="0"/>
          <w:sz w:val="24"/>
          <w:szCs w:val="24"/>
        </w:rPr>
        <w:t>分）</w:t>
      </w:r>
      <w:bookmarkEnd w:id="45"/>
      <w:bookmarkEnd w:id="46"/>
    </w:p>
    <w:p w14:paraId="24B6C195">
      <w:pPr>
        <w:widowControl w:val="0"/>
        <w:shd w:val="clear" w:color="auto" w:fill="auto"/>
        <w:spacing w:line="560" w:lineRule="exact"/>
        <w:ind w:firstLine="480" w:firstLineChars="200"/>
        <w:jc w:val="both"/>
        <w:rPr>
          <w:b w:val="0"/>
          <w:sz w:val="24"/>
          <w:szCs w:val="24"/>
        </w:rPr>
      </w:pPr>
      <w:r>
        <w:rPr>
          <w:rFonts w:hint="eastAsia"/>
          <w:b w:val="0"/>
          <w:sz w:val="24"/>
          <w:szCs w:val="24"/>
        </w:rPr>
        <w:t>指标解释：依据绩效目标设定的绩效指标是否清晰、细化、可衡量等，用以反映和考核项目绩效目标的明细化情况。</w:t>
      </w:r>
    </w:p>
    <w:p w14:paraId="622DEB9D">
      <w:pPr>
        <w:widowControl w:val="0"/>
        <w:shd w:val="clear" w:color="auto" w:fill="auto"/>
        <w:spacing w:line="560" w:lineRule="exact"/>
        <w:ind w:firstLine="480" w:firstLineChars="200"/>
        <w:jc w:val="both"/>
        <w:rPr>
          <w:b w:val="0"/>
          <w:sz w:val="24"/>
          <w:szCs w:val="24"/>
        </w:rPr>
      </w:pPr>
      <w:r>
        <w:rPr>
          <w:rFonts w:hint="eastAsia"/>
          <w:b w:val="0"/>
          <w:sz w:val="24"/>
          <w:szCs w:val="24"/>
        </w:rPr>
        <w:t>本项目绩效目标完成情况：</w:t>
      </w:r>
    </w:p>
    <w:p w14:paraId="08F42720">
      <w:pPr>
        <w:widowControl w:val="0"/>
        <w:shd w:val="clear" w:color="auto" w:fill="auto"/>
        <w:spacing w:line="560" w:lineRule="exact"/>
        <w:ind w:firstLine="480" w:firstLineChars="200"/>
        <w:jc w:val="both"/>
        <w:rPr>
          <w:b w:val="0"/>
          <w:sz w:val="24"/>
          <w:szCs w:val="24"/>
        </w:rPr>
      </w:pPr>
      <w:r>
        <w:rPr>
          <w:rFonts w:hint="eastAsia"/>
          <w:b w:val="0"/>
          <w:sz w:val="24"/>
          <w:szCs w:val="24"/>
        </w:rPr>
        <w:t>4.1 在项目期内，县人民医院、县疾病预防控制中心、县卫生学校附属医院、龙亢农场医院、荆塗医院、爱心中西医院、上和医院、新站医院、阳光医院（以下称为定点医疗机构）负责</w:t>
      </w:r>
      <w:r>
        <w:rPr>
          <w:b w:val="0"/>
          <w:sz w:val="24"/>
          <w:szCs w:val="24"/>
        </w:rPr>
        <w:t>开展</w:t>
      </w:r>
      <w:r>
        <w:rPr>
          <w:rFonts w:hint="eastAsia"/>
          <w:b w:val="0"/>
          <w:sz w:val="24"/>
          <w:szCs w:val="24"/>
        </w:rPr>
        <w:t>对辖区内从事食品和生活饮用水生产经营人员；直接从事化妆品和消毒生产的人员；从事药品、保健品销售人员；公共场所直接为顾客服务人员健康</w:t>
      </w:r>
      <w:r>
        <w:rPr>
          <w:b w:val="0"/>
          <w:sz w:val="24"/>
          <w:szCs w:val="24"/>
        </w:rPr>
        <w:t>体检工作</w:t>
      </w:r>
      <w:r>
        <w:rPr>
          <w:rFonts w:hint="eastAsia"/>
          <w:b w:val="0"/>
          <w:sz w:val="24"/>
          <w:szCs w:val="24"/>
        </w:rPr>
        <w:t>。</w:t>
      </w:r>
    </w:p>
    <w:p w14:paraId="473CEE13">
      <w:pPr>
        <w:widowControl w:val="0"/>
        <w:shd w:val="clear" w:color="auto" w:fill="auto"/>
        <w:spacing w:line="560" w:lineRule="exact"/>
        <w:ind w:firstLine="480" w:firstLineChars="200"/>
        <w:jc w:val="both"/>
        <w:rPr>
          <w:b w:val="0"/>
          <w:sz w:val="24"/>
          <w:szCs w:val="24"/>
        </w:rPr>
      </w:pPr>
      <w:r>
        <w:rPr>
          <w:rFonts w:hint="eastAsia"/>
          <w:b w:val="0"/>
          <w:sz w:val="24"/>
          <w:szCs w:val="24"/>
        </w:rPr>
        <w:t>4.2 定点医疗机构根据从业人员预防性体检需求，由县卫健委和市场局审核，定点医疗机构应根据健康检查对象和内容确定相应的专业人员参加预防性健康检查工作。主检人员应由主治（管）医（技）师以上或相应职称的专业人员担任。</w:t>
      </w:r>
    </w:p>
    <w:p w14:paraId="3D755AF5">
      <w:pPr>
        <w:widowControl w:val="0"/>
        <w:shd w:val="clear" w:color="auto" w:fill="auto"/>
        <w:spacing w:line="560" w:lineRule="exact"/>
        <w:ind w:firstLine="480" w:firstLineChars="200"/>
        <w:jc w:val="both"/>
        <w:rPr>
          <w:b w:val="0"/>
          <w:sz w:val="24"/>
          <w:szCs w:val="24"/>
        </w:rPr>
      </w:pPr>
      <w:r>
        <w:rPr>
          <w:rFonts w:hint="eastAsia"/>
          <w:b w:val="0"/>
          <w:sz w:val="24"/>
          <w:szCs w:val="24"/>
        </w:rPr>
        <w:t>4.3 定点医疗机构应当加强内部管理，制定完善规章制度和科学工作流程，在醒目位置公开免费从业人员预防性体检检查对象、确保健康检查流程、健康检查项目和健康证领取程序等信息。</w:t>
      </w:r>
    </w:p>
    <w:p w14:paraId="6931CD43">
      <w:pPr>
        <w:widowControl w:val="0"/>
        <w:shd w:val="clear" w:color="auto" w:fill="auto"/>
        <w:spacing w:line="560" w:lineRule="exact"/>
        <w:ind w:firstLine="480" w:firstLineChars="200"/>
        <w:jc w:val="both"/>
        <w:rPr>
          <w:b w:val="0"/>
          <w:sz w:val="24"/>
          <w:szCs w:val="24"/>
        </w:rPr>
      </w:pPr>
      <w:r>
        <w:rPr>
          <w:rFonts w:hint="eastAsia"/>
          <w:b w:val="0"/>
          <w:sz w:val="24"/>
          <w:szCs w:val="24"/>
        </w:rPr>
        <w:t>4.4 定点医疗机构应当认真核实从业人员预防性体检人员身份，及时向被检者告知健康检查结果，对明确用人单位的，还应及时通知用人单位，并充分保护受检者的隐私。</w:t>
      </w:r>
    </w:p>
    <w:p w14:paraId="44948197">
      <w:pPr>
        <w:widowControl w:val="0"/>
        <w:shd w:val="clear" w:color="auto" w:fill="auto"/>
        <w:spacing w:line="560" w:lineRule="exact"/>
        <w:ind w:firstLine="480" w:firstLineChars="200"/>
        <w:jc w:val="both"/>
        <w:rPr>
          <w:b w:val="0"/>
          <w:sz w:val="24"/>
          <w:szCs w:val="24"/>
        </w:rPr>
      </w:pPr>
      <w:r>
        <w:rPr>
          <w:rFonts w:hint="eastAsia"/>
          <w:b w:val="0"/>
          <w:sz w:val="24"/>
          <w:szCs w:val="24"/>
        </w:rPr>
        <w:t>4.5 定点医疗机构对从业人员预防性体检健康检查原始资料作为档案保存2年以上。</w:t>
      </w:r>
    </w:p>
    <w:p w14:paraId="57783718">
      <w:pPr>
        <w:widowControl w:val="0"/>
        <w:shd w:val="clear" w:color="auto" w:fill="auto"/>
        <w:spacing w:line="560" w:lineRule="exact"/>
        <w:ind w:firstLine="480" w:firstLineChars="200"/>
        <w:jc w:val="both"/>
        <w:rPr>
          <w:b w:val="0"/>
          <w:sz w:val="24"/>
          <w:szCs w:val="24"/>
        </w:rPr>
      </w:pPr>
      <w:r>
        <w:rPr>
          <w:rFonts w:hint="eastAsia"/>
          <w:b w:val="0"/>
          <w:sz w:val="24"/>
          <w:szCs w:val="24"/>
        </w:rPr>
        <w:t xml:space="preserve">4.6 </w:t>
      </w:r>
      <w:bookmarkStart w:id="47" w:name="_Toc30970"/>
      <w:r>
        <w:rPr>
          <w:rFonts w:hint="eastAsia"/>
          <w:b w:val="0"/>
          <w:sz w:val="24"/>
          <w:szCs w:val="24"/>
        </w:rPr>
        <w:t>定点医疗机构</w:t>
      </w:r>
      <w:r>
        <w:rPr>
          <w:b w:val="0"/>
          <w:sz w:val="24"/>
          <w:szCs w:val="24"/>
        </w:rPr>
        <w:t>对</w:t>
      </w:r>
      <w:r>
        <w:rPr>
          <w:rFonts w:hint="eastAsia"/>
          <w:b w:val="0"/>
          <w:sz w:val="24"/>
          <w:szCs w:val="24"/>
        </w:rPr>
        <w:t>健康体检中查出范患有手癣、指甲癣、手部湿疹、发生于手部的银屑病或者鳞屑、渗出性皮肤病以及患有痢疾、伤寒、病毒性肝炎、活动性肺结核等传染病人员，不得发放《健康合格证》。</w:t>
      </w:r>
    </w:p>
    <w:p w14:paraId="0894674F">
      <w:pPr>
        <w:widowControl w:val="0"/>
        <w:shd w:val="clear" w:color="auto" w:fill="auto"/>
        <w:spacing w:line="560" w:lineRule="exact"/>
        <w:ind w:firstLine="480" w:firstLineChars="200"/>
        <w:jc w:val="both"/>
        <w:rPr>
          <w:b w:val="0"/>
          <w:sz w:val="24"/>
          <w:szCs w:val="24"/>
        </w:rPr>
      </w:pPr>
      <w:r>
        <w:rPr>
          <w:rFonts w:hint="eastAsia"/>
          <w:b w:val="0"/>
          <w:sz w:val="24"/>
          <w:szCs w:val="24"/>
        </w:rPr>
        <w:t>4.7 定点医疗机构应</w:t>
      </w:r>
      <w:bookmarkEnd w:id="47"/>
      <w:r>
        <w:rPr>
          <w:rFonts w:hint="eastAsia"/>
          <w:b w:val="0"/>
          <w:sz w:val="24"/>
          <w:szCs w:val="24"/>
        </w:rPr>
        <w:t>对发现的传染病病例按照传染病疫情报告制度进行上报、收集、汇总。</w:t>
      </w:r>
    </w:p>
    <w:p w14:paraId="46E0995D">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本次评价认为：202</w:t>
      </w:r>
      <w:r>
        <w:rPr>
          <w:b w:val="0"/>
          <w:sz w:val="24"/>
          <w:szCs w:val="24"/>
        </w:rPr>
        <w:t>3</w:t>
      </w:r>
      <w:r>
        <w:rPr>
          <w:rFonts w:hint="eastAsia"/>
          <w:b w:val="0"/>
          <w:sz w:val="24"/>
          <w:szCs w:val="24"/>
        </w:rPr>
        <w:t>年怀远县从业人员预防性体检项目绩效指标值设置不够完善，未能做到细化量化，部分指标未能及时调整，扣</w:t>
      </w:r>
      <w:r>
        <w:rPr>
          <w:b w:val="0"/>
          <w:sz w:val="24"/>
          <w:szCs w:val="24"/>
        </w:rPr>
        <w:t>1</w:t>
      </w:r>
      <w:r>
        <w:rPr>
          <w:rFonts w:hint="eastAsia"/>
          <w:b w:val="0"/>
          <w:sz w:val="24"/>
          <w:szCs w:val="24"/>
        </w:rPr>
        <w:t>分，依据评分标准得</w:t>
      </w:r>
      <w:r>
        <w:rPr>
          <w:b w:val="0"/>
          <w:sz w:val="24"/>
          <w:szCs w:val="24"/>
        </w:rPr>
        <w:t>3</w:t>
      </w:r>
      <w:r>
        <w:rPr>
          <w:rFonts w:hint="eastAsia"/>
          <w:b w:val="0"/>
          <w:sz w:val="24"/>
          <w:szCs w:val="24"/>
        </w:rPr>
        <w:t>分。</w:t>
      </w:r>
    </w:p>
    <w:p w14:paraId="63DB4BF4">
      <w:pPr>
        <w:widowControl w:val="0"/>
        <w:shd w:val="clear" w:color="auto" w:fill="auto"/>
        <w:spacing w:line="560" w:lineRule="exact"/>
        <w:ind w:firstLine="480" w:firstLineChars="200"/>
        <w:jc w:val="both"/>
        <w:rPr>
          <w:b w:val="0"/>
          <w:sz w:val="24"/>
          <w:szCs w:val="24"/>
        </w:rPr>
      </w:pPr>
      <w:bookmarkStart w:id="48" w:name="_Toc27470"/>
      <w:bookmarkStart w:id="49" w:name="_Toc23286"/>
      <w:bookmarkStart w:id="50" w:name="_Toc11756"/>
      <w:r>
        <w:rPr>
          <w:rFonts w:hint="eastAsia"/>
          <w:b w:val="0"/>
          <w:sz w:val="24"/>
          <w:szCs w:val="24"/>
        </w:rPr>
        <w:t>5、预算编制科学性（满分3分，实得2分）</w:t>
      </w:r>
      <w:bookmarkEnd w:id="48"/>
      <w:bookmarkEnd w:id="49"/>
      <w:bookmarkEnd w:id="50"/>
    </w:p>
    <w:p w14:paraId="32B78E59">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指标解释：项目预算编制是否经过科学论证、有明确标准、资金额度与年度目标是否相适应，用以反映和考核项目预算编制的科学性、合理性情况。</w:t>
      </w:r>
    </w:p>
    <w:p w14:paraId="0E03940B">
      <w:pPr>
        <w:widowControl w:val="0"/>
        <w:shd w:val="clear" w:color="auto" w:fill="auto"/>
        <w:spacing w:line="560" w:lineRule="exact"/>
        <w:ind w:firstLine="480" w:firstLineChars="200"/>
        <w:jc w:val="both"/>
        <w:rPr>
          <w:b w:val="0"/>
          <w:sz w:val="24"/>
          <w:szCs w:val="24"/>
        </w:rPr>
      </w:pPr>
      <w:r>
        <w:rPr>
          <w:rFonts w:hint="eastAsia"/>
          <w:b w:val="0"/>
          <w:sz w:val="24"/>
          <w:szCs w:val="24"/>
        </w:rPr>
        <w:t>本项目绩效目标在质量、成本、时效、效益等方面未设置细化、量化的绩效指标，估算指标内容不清晰；绩效目标与任务计划不太相符。</w:t>
      </w:r>
    </w:p>
    <w:p w14:paraId="6CF7599A">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本次评价认为：没有科学预算文件，依据财政局批复文件，根据项目完工进度支付工程款，预算依据不充分扣1分得2分。</w:t>
      </w:r>
    </w:p>
    <w:p w14:paraId="45357961">
      <w:pPr>
        <w:widowControl w:val="0"/>
        <w:shd w:val="clear" w:color="auto" w:fill="auto"/>
        <w:spacing w:line="560" w:lineRule="exact"/>
        <w:ind w:firstLine="480" w:firstLineChars="200"/>
        <w:jc w:val="both"/>
        <w:rPr>
          <w:b w:val="0"/>
          <w:sz w:val="24"/>
          <w:szCs w:val="24"/>
        </w:rPr>
      </w:pPr>
      <w:bookmarkStart w:id="51" w:name="_Toc3675"/>
      <w:bookmarkStart w:id="52" w:name="_Toc6035"/>
      <w:bookmarkStart w:id="53" w:name="_Toc7513"/>
      <w:r>
        <w:rPr>
          <w:rFonts w:hint="eastAsia"/>
          <w:b w:val="0"/>
          <w:sz w:val="24"/>
          <w:szCs w:val="24"/>
        </w:rPr>
        <w:t>6、资金分配合理性（满分4分，实得2分）</w:t>
      </w:r>
      <w:bookmarkEnd w:id="51"/>
      <w:bookmarkEnd w:id="52"/>
      <w:bookmarkEnd w:id="53"/>
    </w:p>
    <w:p w14:paraId="29C5DE9A">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指标解释：项目是否有测算依据、与补助单位或地方实际是否相适应，用以反映和考核项目预算资金分配的科学性、合理性情况。</w:t>
      </w:r>
    </w:p>
    <w:p w14:paraId="07231322">
      <w:pPr>
        <w:widowControl w:val="0"/>
        <w:shd w:val="clear" w:color="auto" w:fill="auto"/>
        <w:spacing w:line="560" w:lineRule="exact"/>
        <w:ind w:firstLine="480" w:firstLineChars="200"/>
        <w:jc w:val="both"/>
        <w:rPr>
          <w:b w:val="0"/>
          <w:sz w:val="24"/>
          <w:szCs w:val="24"/>
        </w:rPr>
      </w:pPr>
      <w:r>
        <w:rPr>
          <w:rFonts w:hint="eastAsia"/>
          <w:b w:val="0"/>
          <w:sz w:val="24"/>
          <w:szCs w:val="24"/>
        </w:rPr>
        <w:t>本项目资金按照预算指标文件的规定使用，不存在截留、挤占、挪用、虚列支出情况。没有预算文件，按照实施方体检人数和考核进行申请付款，怀远县疾病预防控制中心拨付资金。</w:t>
      </w:r>
    </w:p>
    <w:p w14:paraId="46FAB7BC">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本次评价认为：以资金分配为预算依据,单位实际与预算资金分配实际不相适应，本项目依据不充分扣2分得2分。</w:t>
      </w:r>
    </w:p>
    <w:p w14:paraId="1042D84A">
      <w:pPr>
        <w:widowControl w:val="0"/>
        <w:shd w:val="clear" w:color="auto" w:fill="auto"/>
        <w:spacing w:line="560" w:lineRule="exact"/>
        <w:ind w:firstLine="480" w:firstLineChars="200"/>
        <w:jc w:val="both"/>
        <w:rPr>
          <w:b w:val="0"/>
          <w:sz w:val="24"/>
          <w:szCs w:val="24"/>
        </w:rPr>
      </w:pPr>
      <w:r>
        <w:rPr>
          <w:rFonts w:hint="eastAsia"/>
          <w:b w:val="0"/>
          <w:sz w:val="24"/>
          <w:szCs w:val="24"/>
        </w:rPr>
        <w:t>（二）项目过程情况（满分20分，实得1</w:t>
      </w:r>
      <w:r>
        <w:rPr>
          <w:b w:val="0"/>
          <w:sz w:val="24"/>
          <w:szCs w:val="24"/>
        </w:rPr>
        <w:t>3</w:t>
      </w:r>
      <w:r>
        <w:rPr>
          <w:rFonts w:hint="eastAsia"/>
          <w:b w:val="0"/>
          <w:sz w:val="24"/>
          <w:szCs w:val="24"/>
        </w:rPr>
        <w:t>分）</w:t>
      </w:r>
    </w:p>
    <w:p w14:paraId="4DCF024A">
      <w:pPr>
        <w:widowControl w:val="0"/>
        <w:shd w:val="clear" w:color="auto" w:fill="auto"/>
        <w:spacing w:line="560" w:lineRule="exact"/>
        <w:ind w:firstLine="480" w:firstLineChars="200"/>
        <w:jc w:val="both"/>
        <w:rPr>
          <w:b w:val="0"/>
          <w:sz w:val="24"/>
          <w:szCs w:val="24"/>
        </w:rPr>
      </w:pPr>
      <w:r>
        <w:rPr>
          <w:rFonts w:hint="eastAsia"/>
          <w:b w:val="0"/>
          <w:sz w:val="24"/>
          <w:szCs w:val="24"/>
        </w:rPr>
        <w:t>项目过程设立1个一级指标，2个二级指标和5个三级指标具体指标情况如下：</w:t>
      </w:r>
    </w:p>
    <w:tbl>
      <w:tblPr>
        <w:tblStyle w:val="17"/>
        <w:tblpPr w:leftFromText="180" w:rightFromText="180" w:vertAnchor="text" w:horzAnchor="page" w:tblpX="1094" w:tblpY="126"/>
        <w:tblOverlap w:val="never"/>
        <w:tblW w:w="10036" w:type="dxa"/>
        <w:tblInd w:w="0" w:type="dxa"/>
        <w:tblLayout w:type="fixed"/>
        <w:tblCellMar>
          <w:top w:w="0" w:type="dxa"/>
          <w:left w:w="0" w:type="dxa"/>
          <w:bottom w:w="0" w:type="dxa"/>
          <w:right w:w="0" w:type="dxa"/>
        </w:tblCellMar>
      </w:tblPr>
      <w:tblGrid>
        <w:gridCol w:w="680"/>
        <w:gridCol w:w="955"/>
        <w:gridCol w:w="1040"/>
        <w:gridCol w:w="1560"/>
        <w:gridCol w:w="900"/>
        <w:gridCol w:w="3349"/>
        <w:gridCol w:w="776"/>
        <w:gridCol w:w="776"/>
      </w:tblGrid>
      <w:tr w14:paraId="78FD7396">
        <w:tblPrEx>
          <w:tblCellMar>
            <w:top w:w="0" w:type="dxa"/>
            <w:left w:w="0" w:type="dxa"/>
            <w:bottom w:w="0" w:type="dxa"/>
            <w:right w:w="0" w:type="dxa"/>
          </w:tblCellMar>
        </w:tblPrEx>
        <w:trPr>
          <w:trHeight w:val="692" w:hRule="atLeast"/>
        </w:trPr>
        <w:tc>
          <w:tcPr>
            <w:tcW w:w="680"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46B845C6">
            <w:pPr>
              <w:jc w:val="left"/>
              <w:rPr>
                <w:b w:val="0"/>
                <w:sz w:val="24"/>
                <w:szCs w:val="24"/>
              </w:rPr>
            </w:pPr>
            <w:bookmarkStart w:id="54" w:name="_Toc17399"/>
            <w:r>
              <w:rPr>
                <w:rFonts w:hint="eastAsia"/>
                <w:b w:val="0"/>
                <w:sz w:val="24"/>
                <w:szCs w:val="24"/>
              </w:rPr>
              <w:t>序号</w:t>
            </w:r>
          </w:p>
        </w:tc>
        <w:tc>
          <w:tcPr>
            <w:tcW w:w="95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2AB4605E">
            <w:pPr>
              <w:jc w:val="left"/>
              <w:rPr>
                <w:b w:val="0"/>
                <w:sz w:val="24"/>
                <w:szCs w:val="24"/>
              </w:rPr>
            </w:pPr>
            <w:r>
              <w:rPr>
                <w:rFonts w:hint="eastAsia"/>
                <w:b w:val="0"/>
                <w:sz w:val="24"/>
                <w:szCs w:val="24"/>
              </w:rPr>
              <w:t>一 级</w:t>
            </w:r>
          </w:p>
          <w:p w14:paraId="10ED1649">
            <w:pPr>
              <w:jc w:val="left"/>
              <w:rPr>
                <w:b w:val="0"/>
                <w:sz w:val="24"/>
                <w:szCs w:val="24"/>
              </w:rPr>
            </w:pPr>
            <w:r>
              <w:rPr>
                <w:rFonts w:hint="eastAsia"/>
                <w:b w:val="0"/>
                <w:sz w:val="24"/>
                <w:szCs w:val="24"/>
              </w:rPr>
              <w:t>指 标</w:t>
            </w:r>
          </w:p>
        </w:tc>
        <w:tc>
          <w:tcPr>
            <w:tcW w:w="1040"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391F647">
            <w:pPr>
              <w:jc w:val="left"/>
              <w:rPr>
                <w:b w:val="0"/>
                <w:sz w:val="24"/>
                <w:szCs w:val="24"/>
              </w:rPr>
            </w:pPr>
            <w:r>
              <w:rPr>
                <w:rFonts w:hint="eastAsia"/>
                <w:b w:val="0"/>
                <w:sz w:val="24"/>
                <w:szCs w:val="24"/>
              </w:rPr>
              <w:t>二级</w:t>
            </w:r>
          </w:p>
          <w:p w14:paraId="2FB9E978">
            <w:pPr>
              <w:jc w:val="left"/>
              <w:rPr>
                <w:b w:val="0"/>
                <w:sz w:val="24"/>
                <w:szCs w:val="24"/>
              </w:rPr>
            </w:pPr>
            <w:r>
              <w:rPr>
                <w:rFonts w:hint="eastAsia"/>
                <w:b w:val="0"/>
                <w:sz w:val="24"/>
                <w:szCs w:val="24"/>
              </w:rPr>
              <w:t>指标</w:t>
            </w:r>
          </w:p>
        </w:tc>
        <w:tc>
          <w:tcPr>
            <w:tcW w:w="1560"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AD576CD">
            <w:pPr>
              <w:jc w:val="left"/>
              <w:rPr>
                <w:b w:val="0"/>
                <w:sz w:val="24"/>
                <w:szCs w:val="24"/>
              </w:rPr>
            </w:pPr>
            <w:r>
              <w:rPr>
                <w:rFonts w:hint="eastAsia"/>
                <w:b w:val="0"/>
                <w:sz w:val="24"/>
                <w:szCs w:val="24"/>
              </w:rPr>
              <w:t>三 级</w:t>
            </w:r>
          </w:p>
          <w:p w14:paraId="2FC3CC7B">
            <w:pPr>
              <w:jc w:val="left"/>
              <w:rPr>
                <w:b w:val="0"/>
                <w:sz w:val="24"/>
                <w:szCs w:val="24"/>
              </w:rPr>
            </w:pPr>
            <w:r>
              <w:rPr>
                <w:rFonts w:hint="eastAsia"/>
                <w:b w:val="0"/>
                <w:sz w:val="24"/>
                <w:szCs w:val="24"/>
              </w:rPr>
              <w:t>指 标</w:t>
            </w:r>
          </w:p>
        </w:tc>
        <w:tc>
          <w:tcPr>
            <w:tcW w:w="900"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8ACD3D5">
            <w:pPr>
              <w:jc w:val="left"/>
              <w:rPr>
                <w:b w:val="0"/>
                <w:sz w:val="24"/>
                <w:szCs w:val="24"/>
              </w:rPr>
            </w:pPr>
            <w:r>
              <w:rPr>
                <w:rFonts w:hint="eastAsia"/>
                <w:b w:val="0"/>
                <w:sz w:val="24"/>
                <w:szCs w:val="24"/>
              </w:rPr>
              <w:t>标准分 值</w:t>
            </w:r>
          </w:p>
        </w:tc>
        <w:tc>
          <w:tcPr>
            <w:tcW w:w="3349"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4552C44">
            <w:pPr>
              <w:jc w:val="left"/>
              <w:rPr>
                <w:b w:val="0"/>
                <w:sz w:val="24"/>
                <w:szCs w:val="24"/>
              </w:rPr>
            </w:pPr>
            <w:r>
              <w:rPr>
                <w:rFonts w:hint="eastAsia"/>
                <w:b w:val="0"/>
                <w:sz w:val="24"/>
                <w:szCs w:val="24"/>
              </w:rPr>
              <w:t>评价情况</w:t>
            </w:r>
          </w:p>
        </w:tc>
        <w:tc>
          <w:tcPr>
            <w:tcW w:w="776"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5BCF34C">
            <w:pPr>
              <w:jc w:val="left"/>
              <w:rPr>
                <w:b w:val="0"/>
                <w:sz w:val="24"/>
                <w:szCs w:val="24"/>
              </w:rPr>
            </w:pPr>
            <w:r>
              <w:rPr>
                <w:rFonts w:hint="eastAsia"/>
                <w:b w:val="0"/>
                <w:sz w:val="24"/>
                <w:szCs w:val="24"/>
              </w:rPr>
              <w:t>得分</w:t>
            </w:r>
          </w:p>
        </w:tc>
        <w:tc>
          <w:tcPr>
            <w:tcW w:w="776"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E994AAA">
            <w:pPr>
              <w:jc w:val="left"/>
              <w:rPr>
                <w:b w:val="0"/>
                <w:sz w:val="24"/>
                <w:szCs w:val="24"/>
              </w:rPr>
            </w:pPr>
            <w:r>
              <w:rPr>
                <w:rFonts w:hint="eastAsia"/>
                <w:b w:val="0"/>
                <w:sz w:val="24"/>
                <w:szCs w:val="24"/>
              </w:rPr>
              <w:t>扣分</w:t>
            </w:r>
          </w:p>
        </w:tc>
      </w:tr>
      <w:tr w14:paraId="074E63E1">
        <w:tblPrEx>
          <w:tblCellMar>
            <w:top w:w="0" w:type="dxa"/>
            <w:left w:w="0" w:type="dxa"/>
            <w:bottom w:w="0" w:type="dxa"/>
            <w:right w:w="0" w:type="dxa"/>
          </w:tblCellMar>
        </w:tblPrEx>
        <w:trPr>
          <w:trHeight w:val="1095" w:hRule="atLeast"/>
        </w:trPr>
        <w:tc>
          <w:tcPr>
            <w:tcW w:w="680" w:type="dxa"/>
            <w:tcBorders>
              <w:top w:val="nil"/>
              <w:left w:val="single" w:color="000000" w:sz="8" w:space="0"/>
              <w:right w:val="single" w:color="000000" w:sz="8" w:space="0"/>
            </w:tcBorders>
            <w:shd w:val="clear" w:color="auto" w:fill="FFFFFF"/>
            <w:tcMar>
              <w:top w:w="0" w:type="dxa"/>
              <w:left w:w="108" w:type="dxa"/>
              <w:bottom w:w="0" w:type="dxa"/>
              <w:right w:w="108" w:type="dxa"/>
            </w:tcMar>
            <w:vAlign w:val="center"/>
          </w:tcPr>
          <w:p w14:paraId="3CB23827">
            <w:pPr>
              <w:jc w:val="left"/>
              <w:rPr>
                <w:b w:val="0"/>
                <w:sz w:val="24"/>
                <w:szCs w:val="24"/>
              </w:rPr>
            </w:pPr>
            <w:r>
              <w:rPr>
                <w:rFonts w:hint="eastAsia"/>
                <w:b w:val="0"/>
                <w:sz w:val="24"/>
                <w:szCs w:val="24"/>
              </w:rPr>
              <w:t>7</w:t>
            </w:r>
          </w:p>
        </w:tc>
        <w:tc>
          <w:tcPr>
            <w:tcW w:w="955" w:type="dxa"/>
            <w:vMerge w:val="restart"/>
            <w:tcBorders>
              <w:top w:val="nil"/>
              <w:left w:val="single" w:color="000000" w:sz="8" w:space="0"/>
              <w:right w:val="single" w:color="000000" w:sz="8" w:space="0"/>
            </w:tcBorders>
            <w:shd w:val="clear" w:color="auto" w:fill="FFFFFF"/>
            <w:tcMar>
              <w:top w:w="0" w:type="dxa"/>
              <w:left w:w="108" w:type="dxa"/>
              <w:bottom w:w="0" w:type="dxa"/>
              <w:right w:w="108" w:type="dxa"/>
            </w:tcMar>
            <w:vAlign w:val="center"/>
          </w:tcPr>
          <w:p w14:paraId="40E9FA9F">
            <w:pPr>
              <w:jc w:val="left"/>
              <w:rPr>
                <w:b w:val="0"/>
                <w:sz w:val="24"/>
                <w:szCs w:val="24"/>
              </w:rPr>
            </w:pPr>
            <w:r>
              <w:rPr>
                <w:rFonts w:hint="eastAsia"/>
                <w:b w:val="0"/>
                <w:sz w:val="24"/>
                <w:szCs w:val="24"/>
              </w:rPr>
              <w:t>过程</w:t>
            </w:r>
          </w:p>
          <w:p w14:paraId="3EEE50A6">
            <w:pPr>
              <w:jc w:val="left"/>
              <w:rPr>
                <w:b w:val="0"/>
                <w:sz w:val="24"/>
                <w:szCs w:val="24"/>
              </w:rPr>
            </w:pPr>
            <w:r>
              <w:rPr>
                <w:rFonts w:hint="eastAsia"/>
                <w:b w:val="0"/>
                <w:sz w:val="24"/>
                <w:szCs w:val="24"/>
              </w:rPr>
              <w:t>(20分）　</w:t>
            </w:r>
          </w:p>
          <w:p w14:paraId="7F5C22F6">
            <w:pPr>
              <w:jc w:val="left"/>
              <w:rPr>
                <w:b w:val="0"/>
                <w:sz w:val="24"/>
                <w:szCs w:val="24"/>
              </w:rPr>
            </w:pPr>
            <w:r>
              <w:rPr>
                <w:rFonts w:hint="eastAsia"/>
                <w:b w:val="0"/>
                <w:sz w:val="24"/>
                <w:szCs w:val="24"/>
              </w:rPr>
              <w:t>　</w:t>
            </w:r>
          </w:p>
        </w:tc>
        <w:tc>
          <w:tcPr>
            <w:tcW w:w="1040" w:type="dxa"/>
            <w:vMerge w:val="restart"/>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A4AF6A0">
            <w:pPr>
              <w:jc w:val="left"/>
              <w:rPr>
                <w:b w:val="0"/>
                <w:sz w:val="24"/>
                <w:szCs w:val="24"/>
              </w:rPr>
            </w:pPr>
            <w:r>
              <w:rPr>
                <w:rFonts w:hint="eastAsia"/>
                <w:b w:val="0"/>
                <w:sz w:val="24"/>
                <w:szCs w:val="24"/>
              </w:rPr>
              <w:t>资金管理（12分）</w:t>
            </w:r>
          </w:p>
        </w:tc>
        <w:tc>
          <w:tcPr>
            <w:tcW w:w="156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52D3FC2">
            <w:pPr>
              <w:jc w:val="left"/>
              <w:rPr>
                <w:b w:val="0"/>
                <w:sz w:val="24"/>
                <w:szCs w:val="24"/>
              </w:rPr>
            </w:pPr>
            <w:r>
              <w:rPr>
                <w:rFonts w:hint="eastAsia"/>
                <w:b w:val="0"/>
                <w:sz w:val="24"/>
                <w:szCs w:val="24"/>
              </w:rPr>
              <w:t>资金到位率（2分）</w:t>
            </w:r>
          </w:p>
        </w:tc>
        <w:tc>
          <w:tcPr>
            <w:tcW w:w="90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7DFF04E">
            <w:pPr>
              <w:jc w:val="left"/>
              <w:rPr>
                <w:b w:val="0"/>
                <w:sz w:val="24"/>
                <w:szCs w:val="24"/>
              </w:rPr>
            </w:pPr>
            <w:r>
              <w:rPr>
                <w:rFonts w:hint="eastAsia"/>
                <w:b w:val="0"/>
                <w:sz w:val="24"/>
                <w:szCs w:val="24"/>
              </w:rPr>
              <w:t>2</w:t>
            </w:r>
          </w:p>
        </w:tc>
        <w:tc>
          <w:tcPr>
            <w:tcW w:w="334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CAE877A">
            <w:pPr>
              <w:jc w:val="left"/>
              <w:rPr>
                <w:b w:val="0"/>
                <w:sz w:val="24"/>
                <w:szCs w:val="24"/>
              </w:rPr>
            </w:pPr>
            <w:r>
              <w:rPr>
                <w:rFonts w:hint="eastAsia"/>
                <w:b w:val="0"/>
                <w:sz w:val="24"/>
                <w:szCs w:val="24"/>
              </w:rPr>
              <w:t>实际到位资金与预算资金的比率小于100%，能反映和考核资金落实情况，能对项目实施的总体保障。得2分</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6C7E18C">
            <w:pPr>
              <w:jc w:val="left"/>
              <w:rPr>
                <w:b w:val="0"/>
                <w:sz w:val="24"/>
                <w:szCs w:val="24"/>
              </w:rPr>
            </w:pPr>
            <w:r>
              <w:rPr>
                <w:rFonts w:hint="eastAsia"/>
                <w:b w:val="0"/>
                <w:sz w:val="24"/>
                <w:szCs w:val="24"/>
              </w:rPr>
              <w:t>2</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D822887">
            <w:pPr>
              <w:jc w:val="left"/>
              <w:rPr>
                <w:b w:val="0"/>
                <w:sz w:val="24"/>
                <w:szCs w:val="24"/>
              </w:rPr>
            </w:pPr>
            <w:r>
              <w:rPr>
                <w:rFonts w:hint="eastAsia"/>
                <w:b w:val="0"/>
                <w:sz w:val="24"/>
                <w:szCs w:val="24"/>
              </w:rPr>
              <w:t>0</w:t>
            </w:r>
          </w:p>
        </w:tc>
      </w:tr>
      <w:tr w14:paraId="76CB2944">
        <w:tblPrEx>
          <w:tblCellMar>
            <w:top w:w="0" w:type="dxa"/>
            <w:left w:w="0" w:type="dxa"/>
            <w:bottom w:w="0" w:type="dxa"/>
            <w:right w:w="0" w:type="dxa"/>
          </w:tblCellMar>
        </w:tblPrEx>
        <w:trPr>
          <w:trHeight w:val="836" w:hRule="atLeast"/>
        </w:trPr>
        <w:tc>
          <w:tcPr>
            <w:tcW w:w="680" w:type="dxa"/>
            <w:tcBorders>
              <w:left w:val="single" w:color="000000" w:sz="8" w:space="0"/>
              <w:right w:val="single" w:color="000000" w:sz="8" w:space="0"/>
            </w:tcBorders>
            <w:shd w:val="clear" w:color="auto" w:fill="auto"/>
            <w:vAlign w:val="center"/>
          </w:tcPr>
          <w:p w14:paraId="61644D94">
            <w:pPr>
              <w:jc w:val="left"/>
              <w:rPr>
                <w:b w:val="0"/>
                <w:sz w:val="24"/>
                <w:szCs w:val="24"/>
              </w:rPr>
            </w:pPr>
            <w:r>
              <w:rPr>
                <w:rFonts w:hint="eastAsia"/>
                <w:b w:val="0"/>
                <w:sz w:val="24"/>
                <w:szCs w:val="24"/>
              </w:rPr>
              <w:t>8</w:t>
            </w:r>
          </w:p>
        </w:tc>
        <w:tc>
          <w:tcPr>
            <w:tcW w:w="955" w:type="dxa"/>
            <w:vMerge w:val="continue"/>
            <w:tcBorders>
              <w:left w:val="single" w:color="000000" w:sz="8" w:space="0"/>
              <w:right w:val="single" w:color="000000" w:sz="8" w:space="0"/>
            </w:tcBorders>
            <w:shd w:val="clear" w:color="auto" w:fill="auto"/>
            <w:vAlign w:val="center"/>
          </w:tcPr>
          <w:p w14:paraId="612C649C">
            <w:pPr>
              <w:jc w:val="left"/>
              <w:rPr>
                <w:b w:val="0"/>
                <w:sz w:val="24"/>
                <w:szCs w:val="24"/>
              </w:rPr>
            </w:pPr>
          </w:p>
        </w:tc>
        <w:tc>
          <w:tcPr>
            <w:tcW w:w="1040" w:type="dxa"/>
            <w:vMerge w:val="continue"/>
            <w:tcBorders>
              <w:top w:val="nil"/>
              <w:left w:val="nil"/>
              <w:bottom w:val="single" w:color="000000" w:sz="8" w:space="0"/>
              <w:right w:val="single" w:color="000000" w:sz="8" w:space="0"/>
            </w:tcBorders>
            <w:shd w:val="clear" w:color="auto" w:fill="auto"/>
            <w:vAlign w:val="center"/>
          </w:tcPr>
          <w:p w14:paraId="398CB494">
            <w:pPr>
              <w:jc w:val="left"/>
              <w:rPr>
                <w:b w:val="0"/>
                <w:sz w:val="24"/>
                <w:szCs w:val="24"/>
              </w:rPr>
            </w:pPr>
          </w:p>
        </w:tc>
        <w:tc>
          <w:tcPr>
            <w:tcW w:w="156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67E015F">
            <w:pPr>
              <w:jc w:val="left"/>
              <w:rPr>
                <w:b w:val="0"/>
                <w:sz w:val="24"/>
                <w:szCs w:val="24"/>
              </w:rPr>
            </w:pPr>
            <w:r>
              <w:rPr>
                <w:rFonts w:hint="eastAsia"/>
                <w:b w:val="0"/>
                <w:sz w:val="24"/>
                <w:szCs w:val="24"/>
              </w:rPr>
              <w:t>资金拨付及时性（2分）</w:t>
            </w:r>
          </w:p>
        </w:tc>
        <w:tc>
          <w:tcPr>
            <w:tcW w:w="90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E860824">
            <w:pPr>
              <w:jc w:val="left"/>
              <w:rPr>
                <w:b w:val="0"/>
                <w:sz w:val="24"/>
                <w:szCs w:val="24"/>
              </w:rPr>
            </w:pPr>
            <w:r>
              <w:rPr>
                <w:rFonts w:hint="eastAsia"/>
                <w:b w:val="0"/>
                <w:sz w:val="24"/>
                <w:szCs w:val="24"/>
              </w:rPr>
              <w:t>2</w:t>
            </w:r>
          </w:p>
        </w:tc>
        <w:tc>
          <w:tcPr>
            <w:tcW w:w="334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154C923">
            <w:pPr>
              <w:jc w:val="left"/>
              <w:rPr>
                <w:b w:val="0"/>
                <w:sz w:val="24"/>
                <w:szCs w:val="24"/>
              </w:rPr>
            </w:pPr>
            <w:r>
              <w:rPr>
                <w:rFonts w:hint="eastAsia"/>
                <w:b w:val="0"/>
                <w:sz w:val="24"/>
                <w:szCs w:val="24"/>
              </w:rPr>
              <w:t>及时，在202</w:t>
            </w:r>
            <w:r>
              <w:rPr>
                <w:b w:val="0"/>
                <w:sz w:val="24"/>
                <w:szCs w:val="24"/>
              </w:rPr>
              <w:t>3</w:t>
            </w:r>
            <w:r>
              <w:rPr>
                <w:rFonts w:hint="eastAsia"/>
                <w:b w:val="0"/>
                <w:sz w:val="24"/>
                <w:szCs w:val="24"/>
              </w:rPr>
              <w:t>年4个季度分别支付，得2分</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9E39DEA">
            <w:pPr>
              <w:jc w:val="left"/>
              <w:rPr>
                <w:b w:val="0"/>
                <w:sz w:val="24"/>
                <w:szCs w:val="24"/>
              </w:rPr>
            </w:pPr>
            <w:r>
              <w:rPr>
                <w:rFonts w:hint="eastAsia"/>
                <w:b w:val="0"/>
                <w:sz w:val="24"/>
                <w:szCs w:val="24"/>
              </w:rPr>
              <w:t>2</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DA90949">
            <w:pPr>
              <w:jc w:val="left"/>
              <w:rPr>
                <w:b w:val="0"/>
                <w:sz w:val="24"/>
                <w:szCs w:val="24"/>
              </w:rPr>
            </w:pPr>
            <w:r>
              <w:rPr>
                <w:rFonts w:hint="eastAsia"/>
                <w:b w:val="0"/>
                <w:sz w:val="24"/>
                <w:szCs w:val="24"/>
              </w:rPr>
              <w:t>0</w:t>
            </w:r>
          </w:p>
        </w:tc>
      </w:tr>
      <w:tr w14:paraId="5347AE38">
        <w:tblPrEx>
          <w:tblCellMar>
            <w:top w:w="0" w:type="dxa"/>
            <w:left w:w="0" w:type="dxa"/>
            <w:bottom w:w="0" w:type="dxa"/>
            <w:right w:w="0" w:type="dxa"/>
          </w:tblCellMar>
        </w:tblPrEx>
        <w:trPr>
          <w:trHeight w:val="792" w:hRule="atLeast"/>
        </w:trPr>
        <w:tc>
          <w:tcPr>
            <w:tcW w:w="680" w:type="dxa"/>
            <w:tcBorders>
              <w:left w:val="single" w:color="000000" w:sz="8" w:space="0"/>
              <w:right w:val="single" w:color="000000" w:sz="8" w:space="0"/>
            </w:tcBorders>
            <w:shd w:val="clear" w:color="auto" w:fill="auto"/>
            <w:vAlign w:val="center"/>
          </w:tcPr>
          <w:p w14:paraId="301964B4">
            <w:pPr>
              <w:jc w:val="left"/>
              <w:rPr>
                <w:b w:val="0"/>
                <w:sz w:val="24"/>
                <w:szCs w:val="24"/>
              </w:rPr>
            </w:pPr>
            <w:r>
              <w:rPr>
                <w:rFonts w:hint="eastAsia"/>
                <w:b w:val="0"/>
                <w:sz w:val="24"/>
                <w:szCs w:val="24"/>
              </w:rPr>
              <w:t>9</w:t>
            </w:r>
          </w:p>
        </w:tc>
        <w:tc>
          <w:tcPr>
            <w:tcW w:w="955" w:type="dxa"/>
            <w:vMerge w:val="continue"/>
            <w:tcBorders>
              <w:left w:val="single" w:color="000000" w:sz="8" w:space="0"/>
              <w:right w:val="single" w:color="000000" w:sz="8" w:space="0"/>
            </w:tcBorders>
            <w:shd w:val="clear" w:color="auto" w:fill="auto"/>
            <w:vAlign w:val="center"/>
          </w:tcPr>
          <w:p w14:paraId="2108FF33">
            <w:pPr>
              <w:jc w:val="left"/>
              <w:rPr>
                <w:b w:val="0"/>
                <w:sz w:val="24"/>
                <w:szCs w:val="24"/>
              </w:rPr>
            </w:pPr>
          </w:p>
        </w:tc>
        <w:tc>
          <w:tcPr>
            <w:tcW w:w="1040" w:type="dxa"/>
            <w:vMerge w:val="continue"/>
            <w:tcBorders>
              <w:top w:val="nil"/>
              <w:left w:val="nil"/>
              <w:bottom w:val="single" w:color="000000" w:sz="8" w:space="0"/>
              <w:right w:val="single" w:color="000000" w:sz="8" w:space="0"/>
            </w:tcBorders>
            <w:shd w:val="clear" w:color="auto" w:fill="auto"/>
            <w:vAlign w:val="center"/>
          </w:tcPr>
          <w:p w14:paraId="33F81979">
            <w:pPr>
              <w:jc w:val="left"/>
              <w:rPr>
                <w:b w:val="0"/>
                <w:sz w:val="24"/>
                <w:szCs w:val="24"/>
              </w:rPr>
            </w:pPr>
          </w:p>
        </w:tc>
        <w:tc>
          <w:tcPr>
            <w:tcW w:w="156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E74891C">
            <w:pPr>
              <w:jc w:val="left"/>
              <w:rPr>
                <w:b w:val="0"/>
                <w:sz w:val="24"/>
                <w:szCs w:val="24"/>
              </w:rPr>
            </w:pPr>
            <w:r>
              <w:rPr>
                <w:rFonts w:hint="eastAsia"/>
                <w:b w:val="0"/>
                <w:sz w:val="24"/>
                <w:szCs w:val="24"/>
              </w:rPr>
              <w:t>预算执行率（4分）</w:t>
            </w:r>
          </w:p>
        </w:tc>
        <w:tc>
          <w:tcPr>
            <w:tcW w:w="90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538D280">
            <w:pPr>
              <w:jc w:val="left"/>
              <w:rPr>
                <w:b w:val="0"/>
                <w:sz w:val="24"/>
                <w:szCs w:val="24"/>
              </w:rPr>
            </w:pPr>
            <w:r>
              <w:rPr>
                <w:rFonts w:hint="eastAsia"/>
                <w:b w:val="0"/>
                <w:sz w:val="24"/>
                <w:szCs w:val="24"/>
              </w:rPr>
              <w:t>4</w:t>
            </w:r>
          </w:p>
        </w:tc>
        <w:tc>
          <w:tcPr>
            <w:tcW w:w="334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6F1A4D4">
            <w:pPr>
              <w:jc w:val="left"/>
              <w:rPr>
                <w:b w:val="0"/>
                <w:sz w:val="24"/>
                <w:szCs w:val="24"/>
              </w:rPr>
            </w:pPr>
            <w:r>
              <w:rPr>
                <w:rFonts w:hint="eastAsia"/>
                <w:b w:val="0"/>
                <w:sz w:val="24"/>
                <w:szCs w:val="24"/>
              </w:rPr>
              <w:t>没有项目执行</w:t>
            </w:r>
            <w:r>
              <w:rPr>
                <w:b w:val="0"/>
                <w:sz w:val="24"/>
                <w:szCs w:val="24"/>
              </w:rPr>
              <w:t>规范</w:t>
            </w:r>
            <w:r>
              <w:rPr>
                <w:rFonts w:hint="eastAsia"/>
                <w:b w:val="0"/>
                <w:sz w:val="24"/>
                <w:szCs w:val="24"/>
              </w:rPr>
              <w:t>文件，预算执行不到位，扣2分得2分</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7F47C19">
            <w:pPr>
              <w:jc w:val="left"/>
              <w:rPr>
                <w:b w:val="0"/>
                <w:sz w:val="24"/>
                <w:szCs w:val="24"/>
              </w:rPr>
            </w:pPr>
            <w:r>
              <w:rPr>
                <w:rFonts w:hint="eastAsia"/>
                <w:b w:val="0"/>
                <w:sz w:val="24"/>
                <w:szCs w:val="24"/>
              </w:rPr>
              <w:t>2</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B303153">
            <w:pPr>
              <w:jc w:val="left"/>
              <w:rPr>
                <w:b w:val="0"/>
                <w:sz w:val="24"/>
                <w:szCs w:val="24"/>
              </w:rPr>
            </w:pPr>
            <w:r>
              <w:rPr>
                <w:rFonts w:hint="eastAsia"/>
                <w:b w:val="0"/>
                <w:sz w:val="24"/>
                <w:szCs w:val="24"/>
              </w:rPr>
              <w:t>2</w:t>
            </w:r>
          </w:p>
        </w:tc>
      </w:tr>
      <w:tr w14:paraId="494B31E7">
        <w:tblPrEx>
          <w:tblCellMar>
            <w:top w:w="0" w:type="dxa"/>
            <w:left w:w="0" w:type="dxa"/>
            <w:bottom w:w="0" w:type="dxa"/>
            <w:right w:w="0" w:type="dxa"/>
          </w:tblCellMar>
        </w:tblPrEx>
        <w:trPr>
          <w:trHeight w:val="1082" w:hRule="atLeast"/>
        </w:trPr>
        <w:tc>
          <w:tcPr>
            <w:tcW w:w="680" w:type="dxa"/>
            <w:tcBorders>
              <w:left w:val="single" w:color="000000" w:sz="8" w:space="0"/>
              <w:right w:val="single" w:color="000000" w:sz="8" w:space="0"/>
            </w:tcBorders>
            <w:shd w:val="clear" w:color="auto" w:fill="auto"/>
            <w:vAlign w:val="center"/>
          </w:tcPr>
          <w:p w14:paraId="59126204">
            <w:pPr>
              <w:jc w:val="left"/>
              <w:rPr>
                <w:b w:val="0"/>
                <w:sz w:val="24"/>
                <w:szCs w:val="24"/>
              </w:rPr>
            </w:pPr>
            <w:r>
              <w:rPr>
                <w:rFonts w:hint="eastAsia"/>
                <w:b w:val="0"/>
                <w:sz w:val="24"/>
                <w:szCs w:val="24"/>
              </w:rPr>
              <w:t>10</w:t>
            </w:r>
          </w:p>
        </w:tc>
        <w:tc>
          <w:tcPr>
            <w:tcW w:w="955" w:type="dxa"/>
            <w:vMerge w:val="continue"/>
            <w:tcBorders>
              <w:left w:val="single" w:color="000000" w:sz="8" w:space="0"/>
              <w:right w:val="single" w:color="000000" w:sz="8" w:space="0"/>
            </w:tcBorders>
            <w:shd w:val="clear" w:color="auto" w:fill="auto"/>
            <w:vAlign w:val="center"/>
          </w:tcPr>
          <w:p w14:paraId="5F34E2A9">
            <w:pPr>
              <w:jc w:val="left"/>
              <w:rPr>
                <w:b w:val="0"/>
                <w:sz w:val="24"/>
                <w:szCs w:val="24"/>
              </w:rPr>
            </w:pPr>
          </w:p>
        </w:tc>
        <w:tc>
          <w:tcPr>
            <w:tcW w:w="1040" w:type="dxa"/>
            <w:vMerge w:val="continue"/>
            <w:tcBorders>
              <w:top w:val="nil"/>
              <w:left w:val="nil"/>
              <w:bottom w:val="single" w:color="000000" w:sz="8" w:space="0"/>
              <w:right w:val="single" w:color="000000" w:sz="8" w:space="0"/>
            </w:tcBorders>
            <w:shd w:val="clear" w:color="auto" w:fill="auto"/>
            <w:vAlign w:val="center"/>
          </w:tcPr>
          <w:p w14:paraId="720BDC5D">
            <w:pPr>
              <w:jc w:val="left"/>
              <w:rPr>
                <w:b w:val="0"/>
                <w:sz w:val="24"/>
                <w:szCs w:val="24"/>
              </w:rPr>
            </w:pPr>
          </w:p>
        </w:tc>
        <w:tc>
          <w:tcPr>
            <w:tcW w:w="156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33D165E">
            <w:pPr>
              <w:jc w:val="left"/>
              <w:rPr>
                <w:b w:val="0"/>
                <w:sz w:val="24"/>
                <w:szCs w:val="24"/>
              </w:rPr>
            </w:pPr>
            <w:r>
              <w:rPr>
                <w:rFonts w:hint="eastAsia"/>
                <w:b w:val="0"/>
                <w:sz w:val="24"/>
                <w:szCs w:val="24"/>
              </w:rPr>
              <w:t>资金使用合规性（4分）</w:t>
            </w:r>
          </w:p>
        </w:tc>
        <w:tc>
          <w:tcPr>
            <w:tcW w:w="90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3E631D2">
            <w:pPr>
              <w:jc w:val="left"/>
              <w:rPr>
                <w:b w:val="0"/>
                <w:sz w:val="24"/>
                <w:szCs w:val="24"/>
              </w:rPr>
            </w:pPr>
            <w:r>
              <w:rPr>
                <w:rFonts w:hint="eastAsia"/>
                <w:b w:val="0"/>
                <w:sz w:val="24"/>
                <w:szCs w:val="24"/>
              </w:rPr>
              <w:t>4</w:t>
            </w:r>
          </w:p>
        </w:tc>
        <w:tc>
          <w:tcPr>
            <w:tcW w:w="334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813A8ED">
            <w:pPr>
              <w:jc w:val="left"/>
              <w:rPr>
                <w:b w:val="0"/>
                <w:sz w:val="24"/>
                <w:szCs w:val="24"/>
              </w:rPr>
            </w:pPr>
            <w:r>
              <w:rPr>
                <w:rFonts w:hint="eastAsia"/>
                <w:b w:val="0"/>
                <w:sz w:val="24"/>
                <w:szCs w:val="24"/>
              </w:rPr>
              <w:t>财务管理制度不完善，不能完全评价资金规范运行情况得扣2分得2分</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8FCC7C3">
            <w:pPr>
              <w:jc w:val="left"/>
              <w:rPr>
                <w:b w:val="0"/>
                <w:sz w:val="24"/>
                <w:szCs w:val="24"/>
              </w:rPr>
            </w:pPr>
            <w:r>
              <w:rPr>
                <w:rFonts w:hint="eastAsia"/>
                <w:b w:val="0"/>
                <w:sz w:val="24"/>
                <w:szCs w:val="24"/>
              </w:rPr>
              <w:t>2</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CDEB123">
            <w:pPr>
              <w:jc w:val="left"/>
              <w:rPr>
                <w:b w:val="0"/>
                <w:sz w:val="24"/>
                <w:szCs w:val="24"/>
              </w:rPr>
            </w:pPr>
            <w:r>
              <w:rPr>
                <w:rFonts w:hint="eastAsia"/>
                <w:b w:val="0"/>
                <w:sz w:val="24"/>
                <w:szCs w:val="24"/>
              </w:rPr>
              <w:t>2</w:t>
            </w:r>
          </w:p>
        </w:tc>
      </w:tr>
      <w:tr w14:paraId="63F4A9AD">
        <w:tblPrEx>
          <w:tblCellMar>
            <w:top w:w="0" w:type="dxa"/>
            <w:left w:w="0" w:type="dxa"/>
            <w:bottom w:w="0" w:type="dxa"/>
            <w:right w:w="0" w:type="dxa"/>
          </w:tblCellMar>
        </w:tblPrEx>
        <w:trPr>
          <w:trHeight w:val="1122" w:hRule="atLeast"/>
        </w:trPr>
        <w:tc>
          <w:tcPr>
            <w:tcW w:w="680" w:type="dxa"/>
            <w:tcBorders>
              <w:left w:val="single" w:color="000000" w:sz="8" w:space="0"/>
              <w:right w:val="single" w:color="000000" w:sz="8" w:space="0"/>
            </w:tcBorders>
            <w:shd w:val="clear" w:color="auto" w:fill="auto"/>
            <w:vAlign w:val="center"/>
          </w:tcPr>
          <w:p w14:paraId="301213A6">
            <w:pPr>
              <w:jc w:val="left"/>
              <w:rPr>
                <w:b w:val="0"/>
                <w:sz w:val="24"/>
                <w:szCs w:val="24"/>
              </w:rPr>
            </w:pPr>
            <w:r>
              <w:rPr>
                <w:rFonts w:hint="eastAsia"/>
                <w:b w:val="0"/>
                <w:sz w:val="24"/>
                <w:szCs w:val="24"/>
              </w:rPr>
              <w:t>11</w:t>
            </w:r>
          </w:p>
        </w:tc>
        <w:tc>
          <w:tcPr>
            <w:tcW w:w="955" w:type="dxa"/>
            <w:vMerge w:val="continue"/>
            <w:tcBorders>
              <w:left w:val="single" w:color="000000" w:sz="8" w:space="0"/>
              <w:right w:val="single" w:color="000000" w:sz="8" w:space="0"/>
            </w:tcBorders>
            <w:shd w:val="clear" w:color="auto" w:fill="auto"/>
            <w:vAlign w:val="center"/>
          </w:tcPr>
          <w:p w14:paraId="4C7C2886">
            <w:pPr>
              <w:jc w:val="left"/>
              <w:rPr>
                <w:b w:val="0"/>
                <w:sz w:val="24"/>
                <w:szCs w:val="24"/>
              </w:rPr>
            </w:pPr>
          </w:p>
        </w:tc>
        <w:tc>
          <w:tcPr>
            <w:tcW w:w="1040" w:type="dxa"/>
            <w:vMerge w:val="restart"/>
            <w:tcBorders>
              <w:top w:val="nil"/>
              <w:left w:val="nil"/>
              <w:right w:val="single" w:color="000000" w:sz="8" w:space="0"/>
            </w:tcBorders>
            <w:shd w:val="clear" w:color="auto" w:fill="FFFFFF"/>
            <w:tcMar>
              <w:top w:w="0" w:type="dxa"/>
              <w:left w:w="108" w:type="dxa"/>
              <w:bottom w:w="0" w:type="dxa"/>
              <w:right w:w="108" w:type="dxa"/>
            </w:tcMar>
            <w:vAlign w:val="center"/>
          </w:tcPr>
          <w:p w14:paraId="7A31BA8E">
            <w:pPr>
              <w:jc w:val="left"/>
              <w:rPr>
                <w:b w:val="0"/>
                <w:sz w:val="24"/>
                <w:szCs w:val="24"/>
              </w:rPr>
            </w:pPr>
            <w:r>
              <w:rPr>
                <w:rFonts w:hint="eastAsia"/>
                <w:b w:val="0"/>
                <w:sz w:val="24"/>
                <w:szCs w:val="24"/>
              </w:rPr>
              <w:t>组织实施（8分）</w:t>
            </w:r>
          </w:p>
          <w:p w14:paraId="4C350BA5">
            <w:pPr>
              <w:jc w:val="left"/>
              <w:rPr>
                <w:b w:val="0"/>
                <w:sz w:val="24"/>
                <w:szCs w:val="24"/>
              </w:rPr>
            </w:pPr>
            <w:r>
              <w:rPr>
                <w:rFonts w:hint="eastAsia"/>
                <w:b w:val="0"/>
                <w:sz w:val="24"/>
                <w:szCs w:val="24"/>
              </w:rPr>
              <w:t>　</w:t>
            </w:r>
          </w:p>
        </w:tc>
        <w:tc>
          <w:tcPr>
            <w:tcW w:w="156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A70C2AE">
            <w:pPr>
              <w:jc w:val="left"/>
              <w:rPr>
                <w:b w:val="0"/>
                <w:sz w:val="24"/>
                <w:szCs w:val="24"/>
              </w:rPr>
            </w:pPr>
            <w:r>
              <w:rPr>
                <w:rFonts w:hint="eastAsia"/>
                <w:b w:val="0"/>
                <w:sz w:val="24"/>
                <w:szCs w:val="24"/>
              </w:rPr>
              <w:t>管理制度健全性（5分）</w:t>
            </w:r>
          </w:p>
        </w:tc>
        <w:tc>
          <w:tcPr>
            <w:tcW w:w="90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1B72D30">
            <w:pPr>
              <w:jc w:val="left"/>
              <w:rPr>
                <w:b w:val="0"/>
                <w:sz w:val="24"/>
                <w:szCs w:val="24"/>
              </w:rPr>
            </w:pPr>
            <w:r>
              <w:rPr>
                <w:rFonts w:hint="eastAsia"/>
                <w:b w:val="0"/>
                <w:sz w:val="24"/>
                <w:szCs w:val="24"/>
              </w:rPr>
              <w:t>5</w:t>
            </w:r>
          </w:p>
        </w:tc>
        <w:tc>
          <w:tcPr>
            <w:tcW w:w="334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7B50D30">
            <w:pPr>
              <w:jc w:val="left"/>
              <w:rPr>
                <w:b w:val="0"/>
                <w:sz w:val="24"/>
                <w:szCs w:val="24"/>
              </w:rPr>
            </w:pPr>
            <w:r>
              <w:rPr>
                <w:rFonts w:hint="eastAsia"/>
                <w:b w:val="0"/>
                <w:sz w:val="24"/>
                <w:szCs w:val="24"/>
              </w:rPr>
              <w:t>主管部门没有提供项目执行</w:t>
            </w:r>
            <w:r>
              <w:rPr>
                <w:b w:val="0"/>
                <w:sz w:val="24"/>
                <w:szCs w:val="24"/>
              </w:rPr>
              <w:t>规范</w:t>
            </w:r>
            <w:r>
              <w:rPr>
                <w:rFonts w:hint="eastAsia"/>
                <w:b w:val="0"/>
                <w:sz w:val="24"/>
                <w:szCs w:val="24"/>
              </w:rPr>
              <w:t>文件，只有批复性文件，实施方申请付款和怀远县疾控中心支付审批，管理制度不完善扣3分得2分</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74B6961">
            <w:pPr>
              <w:jc w:val="left"/>
              <w:rPr>
                <w:b w:val="0"/>
                <w:sz w:val="24"/>
                <w:szCs w:val="24"/>
              </w:rPr>
            </w:pPr>
            <w:r>
              <w:rPr>
                <w:b w:val="0"/>
                <w:sz w:val="24"/>
                <w:szCs w:val="24"/>
              </w:rPr>
              <w:t>3</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3732AAD">
            <w:pPr>
              <w:jc w:val="left"/>
              <w:rPr>
                <w:b w:val="0"/>
                <w:sz w:val="24"/>
                <w:szCs w:val="24"/>
              </w:rPr>
            </w:pPr>
            <w:r>
              <w:rPr>
                <w:b w:val="0"/>
                <w:sz w:val="24"/>
                <w:szCs w:val="24"/>
              </w:rPr>
              <w:t>2</w:t>
            </w:r>
          </w:p>
        </w:tc>
      </w:tr>
      <w:tr w14:paraId="501D4D37">
        <w:tblPrEx>
          <w:tblCellMar>
            <w:top w:w="0" w:type="dxa"/>
            <w:left w:w="0" w:type="dxa"/>
            <w:bottom w:w="0" w:type="dxa"/>
            <w:right w:w="0" w:type="dxa"/>
          </w:tblCellMar>
        </w:tblPrEx>
        <w:trPr>
          <w:trHeight w:val="1122" w:hRule="atLeast"/>
        </w:trPr>
        <w:tc>
          <w:tcPr>
            <w:tcW w:w="680" w:type="dxa"/>
            <w:tcBorders>
              <w:left w:val="single" w:color="000000" w:sz="8" w:space="0"/>
              <w:bottom w:val="single" w:color="000000" w:sz="8" w:space="0"/>
              <w:right w:val="single" w:color="000000" w:sz="8" w:space="0"/>
            </w:tcBorders>
            <w:shd w:val="clear" w:color="auto" w:fill="auto"/>
            <w:vAlign w:val="center"/>
          </w:tcPr>
          <w:p w14:paraId="3B14C44C">
            <w:pPr>
              <w:jc w:val="left"/>
              <w:rPr>
                <w:b w:val="0"/>
                <w:sz w:val="24"/>
                <w:szCs w:val="24"/>
              </w:rPr>
            </w:pPr>
            <w:r>
              <w:rPr>
                <w:rFonts w:hint="eastAsia"/>
                <w:b w:val="0"/>
                <w:sz w:val="24"/>
                <w:szCs w:val="24"/>
              </w:rPr>
              <w:t>12</w:t>
            </w:r>
          </w:p>
        </w:tc>
        <w:tc>
          <w:tcPr>
            <w:tcW w:w="955" w:type="dxa"/>
            <w:vMerge w:val="continue"/>
            <w:tcBorders>
              <w:left w:val="single" w:color="000000" w:sz="8" w:space="0"/>
              <w:bottom w:val="single" w:color="000000" w:sz="8" w:space="0"/>
              <w:right w:val="single" w:color="000000" w:sz="8" w:space="0"/>
            </w:tcBorders>
            <w:shd w:val="clear" w:color="auto" w:fill="auto"/>
            <w:vAlign w:val="center"/>
          </w:tcPr>
          <w:p w14:paraId="0A5D56CA">
            <w:pPr>
              <w:jc w:val="left"/>
              <w:rPr>
                <w:b w:val="0"/>
                <w:sz w:val="24"/>
                <w:szCs w:val="24"/>
              </w:rPr>
            </w:pPr>
          </w:p>
        </w:tc>
        <w:tc>
          <w:tcPr>
            <w:tcW w:w="1040" w:type="dxa"/>
            <w:vMerge w:val="continue"/>
            <w:tcBorders>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AEE27A2">
            <w:pPr>
              <w:jc w:val="left"/>
              <w:rPr>
                <w:b w:val="0"/>
                <w:sz w:val="24"/>
                <w:szCs w:val="24"/>
              </w:rPr>
            </w:pPr>
          </w:p>
        </w:tc>
        <w:tc>
          <w:tcPr>
            <w:tcW w:w="156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0834575">
            <w:pPr>
              <w:jc w:val="left"/>
              <w:rPr>
                <w:b w:val="0"/>
                <w:sz w:val="24"/>
                <w:szCs w:val="24"/>
              </w:rPr>
            </w:pPr>
            <w:r>
              <w:rPr>
                <w:rFonts w:hint="eastAsia"/>
                <w:b w:val="0"/>
                <w:sz w:val="24"/>
                <w:szCs w:val="24"/>
              </w:rPr>
              <w:t>制度执行有效性（3）</w:t>
            </w:r>
          </w:p>
        </w:tc>
        <w:tc>
          <w:tcPr>
            <w:tcW w:w="90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EFF49F9">
            <w:pPr>
              <w:jc w:val="left"/>
              <w:rPr>
                <w:b w:val="0"/>
                <w:sz w:val="24"/>
                <w:szCs w:val="24"/>
              </w:rPr>
            </w:pPr>
            <w:r>
              <w:rPr>
                <w:rFonts w:hint="eastAsia"/>
                <w:b w:val="0"/>
                <w:sz w:val="24"/>
                <w:szCs w:val="24"/>
              </w:rPr>
              <w:t>3</w:t>
            </w:r>
          </w:p>
        </w:tc>
        <w:tc>
          <w:tcPr>
            <w:tcW w:w="3349"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A95F36A">
            <w:pPr>
              <w:jc w:val="left"/>
              <w:rPr>
                <w:b w:val="0"/>
                <w:sz w:val="24"/>
                <w:szCs w:val="24"/>
              </w:rPr>
            </w:pPr>
            <w:r>
              <w:rPr>
                <w:rFonts w:hint="eastAsia"/>
                <w:b w:val="0"/>
                <w:sz w:val="24"/>
                <w:szCs w:val="24"/>
              </w:rPr>
              <w:t>资金支出审批手续齐全，基本符合财务管理制度规定，但没能提供内部相关规定的财务制度或相关管理办法扣1分</w:t>
            </w:r>
          </w:p>
          <w:p w14:paraId="6674366D">
            <w:pPr>
              <w:jc w:val="left"/>
              <w:rPr>
                <w:b w:val="0"/>
                <w:sz w:val="24"/>
                <w:szCs w:val="24"/>
              </w:rPr>
            </w:pPr>
            <w:r>
              <w:rPr>
                <w:rFonts w:hint="eastAsia"/>
                <w:b w:val="0"/>
                <w:sz w:val="24"/>
                <w:szCs w:val="24"/>
              </w:rPr>
              <w:t>综上，本项指标得2分。</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E2A3574">
            <w:pPr>
              <w:jc w:val="left"/>
              <w:rPr>
                <w:b w:val="0"/>
                <w:sz w:val="24"/>
                <w:szCs w:val="24"/>
              </w:rPr>
            </w:pPr>
            <w:r>
              <w:rPr>
                <w:rFonts w:hint="eastAsia"/>
                <w:b w:val="0"/>
                <w:sz w:val="24"/>
                <w:szCs w:val="24"/>
              </w:rPr>
              <w:t>2</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5C1F1EC">
            <w:pPr>
              <w:jc w:val="left"/>
              <w:rPr>
                <w:b w:val="0"/>
                <w:sz w:val="24"/>
                <w:szCs w:val="24"/>
              </w:rPr>
            </w:pPr>
            <w:r>
              <w:rPr>
                <w:rFonts w:hint="eastAsia"/>
                <w:b w:val="0"/>
                <w:sz w:val="24"/>
                <w:szCs w:val="24"/>
              </w:rPr>
              <w:t>1</w:t>
            </w:r>
          </w:p>
        </w:tc>
      </w:tr>
      <w:tr w14:paraId="4C75583D">
        <w:tblPrEx>
          <w:tblCellMar>
            <w:top w:w="0" w:type="dxa"/>
            <w:left w:w="0" w:type="dxa"/>
            <w:bottom w:w="0" w:type="dxa"/>
            <w:right w:w="0" w:type="dxa"/>
          </w:tblCellMar>
        </w:tblPrEx>
        <w:trPr>
          <w:trHeight w:val="542" w:hRule="atLeast"/>
        </w:trPr>
        <w:tc>
          <w:tcPr>
            <w:tcW w:w="680"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14:paraId="07C44FB6">
            <w:pPr>
              <w:jc w:val="left"/>
              <w:rPr>
                <w:b w:val="0"/>
                <w:sz w:val="24"/>
                <w:szCs w:val="24"/>
              </w:rPr>
            </w:pPr>
          </w:p>
        </w:tc>
        <w:tc>
          <w:tcPr>
            <w:tcW w:w="7804" w:type="dxa"/>
            <w:gridSpan w:val="5"/>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14:paraId="6D636341">
            <w:pPr>
              <w:jc w:val="left"/>
              <w:rPr>
                <w:b w:val="0"/>
                <w:sz w:val="24"/>
                <w:szCs w:val="24"/>
              </w:rPr>
            </w:pPr>
            <w:r>
              <w:rPr>
                <w:rFonts w:hint="eastAsia"/>
                <w:b w:val="0"/>
                <w:sz w:val="24"/>
                <w:szCs w:val="24"/>
              </w:rPr>
              <w:t>小计</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1C5E5F9">
            <w:pPr>
              <w:jc w:val="left"/>
              <w:rPr>
                <w:b w:val="0"/>
                <w:sz w:val="24"/>
                <w:szCs w:val="24"/>
              </w:rPr>
            </w:pPr>
            <w:r>
              <w:rPr>
                <w:rFonts w:hint="eastAsia"/>
                <w:b w:val="0"/>
                <w:sz w:val="24"/>
                <w:szCs w:val="24"/>
              </w:rPr>
              <w:t>1</w:t>
            </w:r>
            <w:r>
              <w:rPr>
                <w:b w:val="0"/>
                <w:sz w:val="24"/>
                <w:szCs w:val="24"/>
              </w:rPr>
              <w:t>3</w:t>
            </w:r>
          </w:p>
        </w:tc>
        <w:tc>
          <w:tcPr>
            <w:tcW w:w="776"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9EF2C09">
            <w:pPr>
              <w:jc w:val="left"/>
              <w:rPr>
                <w:b w:val="0"/>
                <w:sz w:val="24"/>
                <w:szCs w:val="24"/>
              </w:rPr>
            </w:pPr>
            <w:r>
              <w:rPr>
                <w:b w:val="0"/>
                <w:sz w:val="24"/>
                <w:szCs w:val="24"/>
              </w:rPr>
              <w:t>7</w:t>
            </w:r>
          </w:p>
        </w:tc>
      </w:tr>
    </w:tbl>
    <w:p w14:paraId="31934E63">
      <w:pPr>
        <w:widowControl w:val="0"/>
        <w:shd w:val="clear" w:color="auto" w:fill="auto"/>
        <w:spacing w:line="560" w:lineRule="exact"/>
        <w:ind w:firstLine="480" w:firstLineChars="200"/>
        <w:jc w:val="both"/>
        <w:rPr>
          <w:b w:val="0"/>
          <w:sz w:val="24"/>
          <w:szCs w:val="24"/>
        </w:rPr>
      </w:pPr>
      <w:bookmarkStart w:id="55" w:name="_Toc32657"/>
      <w:bookmarkStart w:id="56" w:name="_Toc14170"/>
      <w:r>
        <w:rPr>
          <w:rFonts w:hint="eastAsia"/>
          <w:b w:val="0"/>
          <w:sz w:val="24"/>
          <w:szCs w:val="24"/>
        </w:rPr>
        <w:t>1、资金到位率（满分2分，实得2分）</w:t>
      </w:r>
      <w:bookmarkEnd w:id="54"/>
      <w:bookmarkEnd w:id="55"/>
      <w:bookmarkEnd w:id="56"/>
      <w:r>
        <w:rPr>
          <w:rFonts w:hint="eastAsia"/>
          <w:b w:val="0"/>
          <w:sz w:val="24"/>
          <w:szCs w:val="24"/>
        </w:rPr>
        <w:t xml:space="preserve"> </w:t>
      </w:r>
    </w:p>
    <w:p w14:paraId="1E9802CA">
      <w:pPr>
        <w:widowControl w:val="0"/>
        <w:shd w:val="clear" w:color="auto" w:fill="auto"/>
        <w:spacing w:line="560" w:lineRule="exact"/>
        <w:ind w:firstLine="480" w:firstLineChars="200"/>
        <w:jc w:val="both"/>
        <w:rPr>
          <w:b w:val="0"/>
          <w:sz w:val="24"/>
          <w:szCs w:val="24"/>
        </w:rPr>
      </w:pPr>
      <w:r>
        <w:rPr>
          <w:rFonts w:hint="eastAsia"/>
          <w:b w:val="0"/>
          <w:sz w:val="24"/>
          <w:szCs w:val="24"/>
        </w:rPr>
        <w:t>指标解释：实际到位资金与预算资金的比例，用以反映和考核资金落实情况对项目实施的总体保障程度。</w:t>
      </w:r>
    </w:p>
    <w:p w14:paraId="12DB9CA0">
      <w:pPr>
        <w:widowControl w:val="0"/>
        <w:shd w:val="clear" w:color="auto" w:fill="auto"/>
        <w:spacing w:line="560" w:lineRule="exact"/>
        <w:ind w:firstLine="480" w:firstLineChars="200"/>
        <w:jc w:val="both"/>
        <w:rPr>
          <w:b w:val="0"/>
          <w:sz w:val="24"/>
          <w:szCs w:val="24"/>
        </w:rPr>
      </w:pPr>
      <w:r>
        <w:rPr>
          <w:rFonts w:hint="eastAsia"/>
          <w:b w:val="0"/>
          <w:sz w:val="24"/>
          <w:szCs w:val="24"/>
        </w:rPr>
        <w:t>202</w:t>
      </w:r>
      <w:r>
        <w:rPr>
          <w:b w:val="0"/>
          <w:sz w:val="24"/>
          <w:szCs w:val="24"/>
        </w:rPr>
        <w:t>3</w:t>
      </w:r>
      <w:r>
        <w:rPr>
          <w:rFonts w:hint="eastAsia"/>
          <w:b w:val="0"/>
          <w:sz w:val="24"/>
          <w:szCs w:val="24"/>
        </w:rPr>
        <w:t>年怀远县从业人员预防性体检项目资金预算为</w:t>
      </w:r>
      <w:r>
        <w:rPr>
          <w:b w:val="0"/>
          <w:sz w:val="24"/>
          <w:szCs w:val="24"/>
        </w:rPr>
        <w:t>46.75</w:t>
      </w:r>
      <w:r>
        <w:rPr>
          <w:rFonts w:hint="eastAsia"/>
          <w:b w:val="0"/>
          <w:sz w:val="24"/>
          <w:szCs w:val="24"/>
        </w:rPr>
        <w:t>万元，具体以合同价款支付，202</w:t>
      </w:r>
      <w:r>
        <w:rPr>
          <w:b w:val="0"/>
          <w:sz w:val="24"/>
          <w:szCs w:val="24"/>
        </w:rPr>
        <w:t>3</w:t>
      </w:r>
      <w:r>
        <w:rPr>
          <w:rFonts w:hint="eastAsia"/>
          <w:b w:val="0"/>
          <w:sz w:val="24"/>
          <w:szCs w:val="24"/>
        </w:rPr>
        <w:t>年度怀远县财政局实际安排</w:t>
      </w:r>
      <w:r>
        <w:rPr>
          <w:b w:val="0"/>
          <w:sz w:val="24"/>
          <w:szCs w:val="24"/>
        </w:rPr>
        <w:t>46.75</w:t>
      </w:r>
      <w:r>
        <w:rPr>
          <w:rFonts w:hint="eastAsia"/>
          <w:b w:val="0"/>
          <w:sz w:val="24"/>
          <w:szCs w:val="24"/>
        </w:rPr>
        <w:t>万元，资金到位率100%。实际支付资金能反映和保障项目实施。</w:t>
      </w:r>
    </w:p>
    <w:p w14:paraId="59542EC6">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本次评价认为，资金到位率指标实际分2分。</w:t>
      </w:r>
    </w:p>
    <w:p w14:paraId="65077219">
      <w:pPr>
        <w:widowControl w:val="0"/>
        <w:shd w:val="clear" w:color="auto" w:fill="auto"/>
        <w:spacing w:line="560" w:lineRule="exact"/>
        <w:ind w:firstLine="480" w:firstLineChars="200"/>
        <w:jc w:val="both"/>
        <w:rPr>
          <w:b w:val="0"/>
          <w:sz w:val="24"/>
          <w:szCs w:val="24"/>
        </w:rPr>
      </w:pPr>
      <w:bookmarkStart w:id="57" w:name="_Toc24408"/>
      <w:bookmarkStart w:id="58" w:name="_Toc21090"/>
      <w:bookmarkStart w:id="59" w:name="_Toc21956"/>
      <w:r>
        <w:rPr>
          <w:rFonts w:hint="eastAsia"/>
          <w:b w:val="0"/>
          <w:sz w:val="24"/>
          <w:szCs w:val="24"/>
        </w:rPr>
        <w:t>2、资金拨付及时性（满分2分，实得2分）</w:t>
      </w:r>
      <w:bookmarkEnd w:id="57"/>
      <w:bookmarkEnd w:id="58"/>
      <w:bookmarkEnd w:id="59"/>
    </w:p>
    <w:p w14:paraId="18B6D8AD">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指标解释：项目资金是否按照依法依规及时拨付，用以反映和考核项目资金拨付时效情况。</w:t>
      </w:r>
    </w:p>
    <w:p w14:paraId="617F9FE6">
      <w:pPr>
        <w:widowControl w:val="0"/>
        <w:shd w:val="clear" w:color="auto" w:fill="auto"/>
        <w:spacing w:line="560" w:lineRule="exact"/>
        <w:ind w:firstLine="480" w:firstLineChars="200"/>
        <w:jc w:val="both"/>
        <w:rPr>
          <w:b w:val="0"/>
          <w:sz w:val="24"/>
          <w:szCs w:val="24"/>
        </w:rPr>
      </w:pPr>
      <w:r>
        <w:rPr>
          <w:rFonts w:hint="eastAsia"/>
          <w:b w:val="0"/>
          <w:sz w:val="24"/>
          <w:szCs w:val="24"/>
        </w:rPr>
        <w:t>怀远县财政局于202</w:t>
      </w:r>
      <w:r>
        <w:rPr>
          <w:b w:val="0"/>
          <w:sz w:val="24"/>
          <w:szCs w:val="24"/>
        </w:rPr>
        <w:t>3</w:t>
      </w:r>
      <w:r>
        <w:rPr>
          <w:rFonts w:hint="eastAsia"/>
          <w:b w:val="0"/>
          <w:sz w:val="24"/>
          <w:szCs w:val="24"/>
        </w:rPr>
        <w:t>年1月初下达预算批复指标</w:t>
      </w:r>
      <w:r>
        <w:rPr>
          <w:b w:val="0"/>
          <w:sz w:val="24"/>
          <w:szCs w:val="24"/>
        </w:rPr>
        <w:t>46.75</w:t>
      </w:r>
      <w:r>
        <w:rPr>
          <w:rFonts w:hint="eastAsia"/>
          <w:b w:val="0"/>
          <w:sz w:val="24"/>
          <w:szCs w:val="24"/>
        </w:rPr>
        <w:t>万元，业务主管单位怀远县疾病预防控制中心实际申请使用资金</w:t>
      </w:r>
      <w:r>
        <w:rPr>
          <w:b w:val="0"/>
          <w:sz w:val="24"/>
          <w:szCs w:val="24"/>
        </w:rPr>
        <w:t>46.75</w:t>
      </w:r>
      <w:r>
        <w:rPr>
          <w:rFonts w:hint="eastAsia"/>
          <w:b w:val="0"/>
          <w:sz w:val="24"/>
          <w:szCs w:val="24"/>
        </w:rPr>
        <w:t>万元，财政局于202</w:t>
      </w:r>
      <w:r>
        <w:rPr>
          <w:b w:val="0"/>
          <w:sz w:val="24"/>
          <w:szCs w:val="24"/>
        </w:rPr>
        <w:t>3</w:t>
      </w:r>
      <w:r>
        <w:rPr>
          <w:rFonts w:hint="eastAsia"/>
          <w:b w:val="0"/>
          <w:sz w:val="24"/>
          <w:szCs w:val="24"/>
        </w:rPr>
        <w:t>年2月-12月拨付资金</w:t>
      </w:r>
      <w:r>
        <w:rPr>
          <w:b w:val="0"/>
          <w:sz w:val="24"/>
          <w:szCs w:val="24"/>
        </w:rPr>
        <w:t>46.75</w:t>
      </w:r>
      <w:r>
        <w:rPr>
          <w:rFonts w:hint="eastAsia"/>
          <w:b w:val="0"/>
          <w:sz w:val="24"/>
          <w:szCs w:val="24"/>
        </w:rPr>
        <w:t>万元。</w:t>
      </w:r>
    </w:p>
    <w:p w14:paraId="712036BB">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本次评价认为，资金拨付及时性指标实际得分2分。</w:t>
      </w:r>
    </w:p>
    <w:p w14:paraId="3428D6F1">
      <w:pPr>
        <w:widowControl w:val="0"/>
        <w:shd w:val="clear" w:color="auto" w:fill="auto"/>
        <w:spacing w:line="560" w:lineRule="exact"/>
        <w:ind w:firstLine="480" w:firstLineChars="200"/>
        <w:jc w:val="both"/>
        <w:rPr>
          <w:b w:val="0"/>
          <w:sz w:val="24"/>
          <w:szCs w:val="24"/>
        </w:rPr>
      </w:pPr>
      <w:bookmarkStart w:id="60" w:name="_Toc12833"/>
      <w:bookmarkStart w:id="61" w:name="_Toc12692"/>
      <w:bookmarkStart w:id="62" w:name="_Toc15742"/>
      <w:r>
        <w:rPr>
          <w:rFonts w:hint="eastAsia"/>
          <w:b w:val="0"/>
          <w:sz w:val="24"/>
          <w:szCs w:val="24"/>
        </w:rPr>
        <w:t>3、预算执行率（满分4分，实得2分）</w:t>
      </w:r>
      <w:bookmarkEnd w:id="60"/>
      <w:bookmarkEnd w:id="61"/>
      <w:bookmarkEnd w:id="62"/>
    </w:p>
    <w:p w14:paraId="12153879">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指标解释：项目资金是否按照依法依规及时拨付，用以反映和考核项目资金拨付时效情况。</w:t>
      </w:r>
    </w:p>
    <w:p w14:paraId="5A5A01B4">
      <w:pPr>
        <w:widowControl w:val="0"/>
        <w:shd w:val="clear" w:color="auto" w:fill="auto"/>
        <w:spacing w:line="560" w:lineRule="exact"/>
        <w:ind w:firstLine="480" w:firstLineChars="200"/>
        <w:jc w:val="both"/>
        <w:rPr>
          <w:b w:val="0"/>
          <w:sz w:val="24"/>
          <w:szCs w:val="24"/>
        </w:rPr>
      </w:pPr>
      <w:r>
        <w:rPr>
          <w:rFonts w:hint="eastAsia"/>
          <w:b w:val="0"/>
          <w:sz w:val="24"/>
          <w:szCs w:val="24"/>
        </w:rPr>
        <w:t>202</w:t>
      </w:r>
      <w:r>
        <w:rPr>
          <w:b w:val="0"/>
          <w:sz w:val="24"/>
          <w:szCs w:val="24"/>
        </w:rPr>
        <w:t>3</w:t>
      </w:r>
      <w:r>
        <w:rPr>
          <w:rFonts w:hint="eastAsia"/>
          <w:b w:val="0"/>
          <w:sz w:val="24"/>
          <w:szCs w:val="24"/>
        </w:rPr>
        <w:t>年怀远县从业人员预防性体检项目实际支出金额为</w:t>
      </w:r>
      <w:r>
        <w:rPr>
          <w:b w:val="0"/>
          <w:sz w:val="24"/>
          <w:szCs w:val="24"/>
        </w:rPr>
        <w:t>46.75</w:t>
      </w:r>
      <w:r>
        <w:rPr>
          <w:rFonts w:hint="eastAsia"/>
          <w:b w:val="0"/>
          <w:sz w:val="24"/>
          <w:szCs w:val="24"/>
        </w:rPr>
        <w:t>万元，根据实际</w:t>
      </w:r>
      <w:r>
        <w:rPr>
          <w:b w:val="0"/>
          <w:sz w:val="24"/>
          <w:szCs w:val="24"/>
        </w:rPr>
        <w:t>体检人数</w:t>
      </w:r>
      <w:r>
        <w:rPr>
          <w:rFonts w:hint="eastAsia"/>
          <w:b w:val="0"/>
          <w:sz w:val="24"/>
          <w:szCs w:val="24"/>
        </w:rPr>
        <w:t>支付。</w:t>
      </w:r>
    </w:p>
    <w:p w14:paraId="3425769C">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本次评价认为，没有相关项目执行规范文件，预算执行不到位，扣2分得2分。</w:t>
      </w:r>
    </w:p>
    <w:p w14:paraId="22317948">
      <w:pPr>
        <w:widowControl w:val="0"/>
        <w:shd w:val="clear" w:color="auto" w:fill="auto"/>
        <w:spacing w:line="560" w:lineRule="exact"/>
        <w:ind w:firstLine="480" w:firstLineChars="200"/>
        <w:jc w:val="both"/>
        <w:rPr>
          <w:b w:val="0"/>
          <w:sz w:val="24"/>
          <w:szCs w:val="24"/>
        </w:rPr>
      </w:pPr>
      <w:bookmarkStart w:id="63" w:name="_Toc10269"/>
      <w:bookmarkStart w:id="64" w:name="_Toc8573"/>
      <w:bookmarkStart w:id="65" w:name="_Toc32361"/>
      <w:r>
        <w:rPr>
          <w:rFonts w:hint="eastAsia"/>
          <w:b w:val="0"/>
          <w:sz w:val="24"/>
          <w:szCs w:val="24"/>
        </w:rPr>
        <w:t>4、资金使用合规性（满分4分，实得</w:t>
      </w:r>
      <w:r>
        <w:rPr>
          <w:b w:val="0"/>
          <w:sz w:val="24"/>
          <w:szCs w:val="24"/>
        </w:rPr>
        <w:t>4</w:t>
      </w:r>
      <w:r>
        <w:rPr>
          <w:rFonts w:hint="eastAsia"/>
          <w:b w:val="0"/>
          <w:sz w:val="24"/>
          <w:szCs w:val="24"/>
        </w:rPr>
        <w:t>分）</w:t>
      </w:r>
      <w:bookmarkEnd w:id="63"/>
      <w:bookmarkEnd w:id="64"/>
      <w:bookmarkEnd w:id="65"/>
    </w:p>
    <w:p w14:paraId="4507CA59">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指标解释：项目资金使用是否符合相关的财务管理制度规定，用以反映和考核项目资金的规范运行情况。</w:t>
      </w:r>
    </w:p>
    <w:p w14:paraId="0F822429">
      <w:pPr>
        <w:widowControl w:val="0"/>
        <w:shd w:val="clear" w:color="auto" w:fill="auto"/>
        <w:spacing w:line="560" w:lineRule="exact"/>
        <w:ind w:firstLine="480" w:firstLineChars="200"/>
        <w:jc w:val="both"/>
        <w:rPr>
          <w:b w:val="0"/>
          <w:sz w:val="24"/>
          <w:szCs w:val="24"/>
        </w:rPr>
      </w:pPr>
      <w:r>
        <w:rPr>
          <w:rFonts w:hint="eastAsia"/>
          <w:b w:val="0"/>
          <w:sz w:val="24"/>
          <w:szCs w:val="24"/>
        </w:rPr>
        <w:t>项目资金严格按照疾控中心申请付款结算支付，不存在截留、挤占、挪用、虚列支出情况，有财务管理制度，有支出明细表，能够完全评价资金规范运行情况。</w:t>
      </w:r>
    </w:p>
    <w:p w14:paraId="00907988">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本次评价认为，资金使用合规性指标实际得分</w:t>
      </w:r>
      <w:r>
        <w:rPr>
          <w:b w:val="0"/>
          <w:sz w:val="24"/>
          <w:szCs w:val="24"/>
        </w:rPr>
        <w:t>4</w:t>
      </w:r>
      <w:r>
        <w:rPr>
          <w:rFonts w:hint="eastAsia"/>
          <w:b w:val="0"/>
          <w:sz w:val="24"/>
          <w:szCs w:val="24"/>
        </w:rPr>
        <w:t>分。</w:t>
      </w:r>
    </w:p>
    <w:p w14:paraId="0CF20164">
      <w:pPr>
        <w:widowControl w:val="0"/>
        <w:shd w:val="clear" w:color="auto" w:fill="auto"/>
        <w:spacing w:line="560" w:lineRule="exact"/>
        <w:ind w:firstLine="480" w:firstLineChars="200"/>
        <w:jc w:val="both"/>
        <w:rPr>
          <w:b w:val="0"/>
          <w:sz w:val="24"/>
          <w:szCs w:val="24"/>
        </w:rPr>
      </w:pPr>
      <w:bookmarkStart w:id="66" w:name="_Toc3129"/>
      <w:bookmarkStart w:id="67" w:name="_Toc7385"/>
      <w:bookmarkStart w:id="68" w:name="_Toc30470"/>
      <w:r>
        <w:rPr>
          <w:rFonts w:hint="eastAsia"/>
          <w:b w:val="0"/>
          <w:sz w:val="24"/>
          <w:szCs w:val="24"/>
        </w:rPr>
        <w:t>5、管理制度健全性（满分5分，实得</w:t>
      </w:r>
      <w:r>
        <w:rPr>
          <w:b w:val="0"/>
          <w:sz w:val="24"/>
          <w:szCs w:val="24"/>
        </w:rPr>
        <w:t>3</w:t>
      </w:r>
      <w:r>
        <w:rPr>
          <w:rFonts w:hint="eastAsia"/>
          <w:b w:val="0"/>
          <w:sz w:val="24"/>
          <w:szCs w:val="24"/>
        </w:rPr>
        <w:t>分）</w:t>
      </w:r>
      <w:bookmarkEnd w:id="66"/>
      <w:bookmarkEnd w:id="67"/>
      <w:bookmarkEnd w:id="68"/>
    </w:p>
    <w:p w14:paraId="22E2AF37">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指标解释：项目实施单位的财务和业务管理制度是否健全，用以反映和考核财务和业务管理制度对项目顺利实施的保障情况。</w:t>
      </w:r>
    </w:p>
    <w:p w14:paraId="30CA0687">
      <w:pPr>
        <w:widowControl w:val="0"/>
        <w:shd w:val="clear" w:color="auto" w:fill="auto"/>
        <w:spacing w:line="560" w:lineRule="exact"/>
        <w:ind w:firstLine="480" w:firstLineChars="200"/>
        <w:jc w:val="both"/>
        <w:rPr>
          <w:b w:val="0"/>
          <w:sz w:val="24"/>
          <w:szCs w:val="24"/>
        </w:rPr>
      </w:pPr>
      <w:r>
        <w:rPr>
          <w:rFonts w:hint="eastAsia"/>
          <w:b w:val="0"/>
          <w:sz w:val="24"/>
          <w:szCs w:val="24"/>
        </w:rPr>
        <w:t>该项目提供业务管理制度，评价制度健全、内容合法、合规、完整。项目的实施能按照绩效管理要求执行，符合相关法律法规的规定；项目过程中形成的各类纸质材料、电子版材料、其他资料等档案的管理均按照项目档案管理规定执行。</w:t>
      </w:r>
    </w:p>
    <w:p w14:paraId="4B99BEBF">
      <w:pPr>
        <w:widowControl w:val="0"/>
        <w:shd w:val="clear" w:color="auto" w:fill="auto"/>
        <w:spacing w:line="560" w:lineRule="exact"/>
        <w:ind w:firstLine="480" w:firstLineChars="200"/>
        <w:jc w:val="both"/>
        <w:rPr>
          <w:b w:val="0"/>
          <w:sz w:val="24"/>
          <w:szCs w:val="24"/>
        </w:rPr>
      </w:pPr>
      <w:r>
        <w:rPr>
          <w:rFonts w:hint="eastAsia"/>
          <w:b w:val="0"/>
          <w:sz w:val="24"/>
          <w:szCs w:val="24"/>
        </w:rPr>
        <w:t>本次评价认为，怀远县从业人员预防性体检项目能按地方政府要求开展，主管部门没有提供项目执行</w:t>
      </w:r>
      <w:r>
        <w:rPr>
          <w:b w:val="0"/>
          <w:sz w:val="24"/>
          <w:szCs w:val="24"/>
        </w:rPr>
        <w:t>规范文件</w:t>
      </w:r>
      <w:r>
        <w:rPr>
          <w:rFonts w:hint="eastAsia"/>
          <w:b w:val="0"/>
          <w:sz w:val="24"/>
          <w:szCs w:val="24"/>
        </w:rPr>
        <w:t>，项目执行规范性不合格，但要进行质量把关，实施项目最终质量管控，管理制度不健全实际扣</w:t>
      </w:r>
      <w:r>
        <w:rPr>
          <w:b w:val="0"/>
          <w:sz w:val="24"/>
          <w:szCs w:val="24"/>
        </w:rPr>
        <w:t>2</w:t>
      </w:r>
      <w:r>
        <w:rPr>
          <w:rFonts w:hint="eastAsia"/>
          <w:b w:val="0"/>
          <w:sz w:val="24"/>
          <w:szCs w:val="24"/>
        </w:rPr>
        <w:t>分，得分</w:t>
      </w:r>
      <w:r>
        <w:rPr>
          <w:b w:val="0"/>
          <w:sz w:val="24"/>
          <w:szCs w:val="24"/>
        </w:rPr>
        <w:t>3</w:t>
      </w:r>
      <w:r>
        <w:rPr>
          <w:rFonts w:hint="eastAsia"/>
          <w:b w:val="0"/>
          <w:sz w:val="24"/>
          <w:szCs w:val="24"/>
        </w:rPr>
        <w:t>分。</w:t>
      </w:r>
    </w:p>
    <w:p w14:paraId="2F57487E">
      <w:pPr>
        <w:widowControl w:val="0"/>
        <w:shd w:val="clear" w:color="auto" w:fill="auto"/>
        <w:spacing w:line="560" w:lineRule="exact"/>
        <w:ind w:firstLine="480" w:firstLineChars="200"/>
        <w:jc w:val="both"/>
        <w:rPr>
          <w:b w:val="0"/>
          <w:sz w:val="24"/>
          <w:szCs w:val="24"/>
        </w:rPr>
      </w:pPr>
      <w:bookmarkStart w:id="69" w:name="_Toc1056"/>
      <w:bookmarkStart w:id="70" w:name="_Toc13256"/>
      <w:bookmarkStart w:id="71" w:name="_Toc16752"/>
      <w:r>
        <w:rPr>
          <w:rFonts w:hint="eastAsia"/>
          <w:b w:val="0"/>
          <w:sz w:val="24"/>
          <w:szCs w:val="24"/>
        </w:rPr>
        <w:t>6、制度执行有效性（3分，实得2分）</w:t>
      </w:r>
      <w:bookmarkEnd w:id="69"/>
      <w:bookmarkEnd w:id="70"/>
      <w:bookmarkEnd w:id="71"/>
    </w:p>
    <w:p w14:paraId="6FEE3C82">
      <w:pPr>
        <w:widowControl w:val="0"/>
        <w:shd w:val="clear" w:color="auto" w:fill="auto"/>
        <w:spacing w:line="560" w:lineRule="exact"/>
        <w:ind w:firstLine="480" w:firstLineChars="200"/>
        <w:jc w:val="both"/>
        <w:rPr>
          <w:b w:val="0"/>
          <w:sz w:val="24"/>
          <w:szCs w:val="24"/>
        </w:rPr>
      </w:pPr>
      <w:r>
        <w:rPr>
          <w:rFonts w:hint="eastAsia"/>
          <w:b w:val="0"/>
          <w:sz w:val="24"/>
          <w:szCs w:val="24"/>
        </w:rPr>
        <w:t xml:space="preserve"> 指标解释：项目实施是否符合相关管理规定，用以反映和考核相关管理制度的有效执行情况。 根据指标文件规定的资金到位时间与实际资金到位对比，评价其时效性，资金支出审批手续齐全，基本符合财务管理制度规定，但没有</w:t>
      </w:r>
      <w:r>
        <w:rPr>
          <w:b w:val="0"/>
          <w:sz w:val="24"/>
          <w:szCs w:val="24"/>
        </w:rPr>
        <w:t>项目执行规范</w:t>
      </w:r>
      <w:r>
        <w:rPr>
          <w:rFonts w:hint="eastAsia"/>
          <w:b w:val="0"/>
          <w:sz w:val="24"/>
          <w:szCs w:val="24"/>
        </w:rPr>
        <w:t>文件或相关管理办法扣1分，本项指标得2分。</w:t>
      </w:r>
    </w:p>
    <w:p w14:paraId="72ADF905">
      <w:pPr>
        <w:widowControl w:val="0"/>
        <w:shd w:val="clear" w:color="auto" w:fill="auto"/>
        <w:spacing w:line="560" w:lineRule="exact"/>
        <w:ind w:firstLine="480" w:firstLineChars="200"/>
        <w:jc w:val="both"/>
        <w:rPr>
          <w:b w:val="0"/>
          <w:sz w:val="24"/>
          <w:szCs w:val="24"/>
        </w:rPr>
      </w:pPr>
      <w:r>
        <w:rPr>
          <w:rFonts w:hint="eastAsia"/>
          <w:b w:val="0"/>
          <w:sz w:val="24"/>
          <w:szCs w:val="24"/>
        </w:rPr>
        <w:t>（三）项目产出情况（满分30分，实得25分）</w:t>
      </w:r>
    </w:p>
    <w:p w14:paraId="6885D859">
      <w:pPr>
        <w:widowControl w:val="0"/>
        <w:shd w:val="clear" w:color="auto" w:fill="auto"/>
        <w:spacing w:line="560" w:lineRule="exact"/>
        <w:ind w:firstLine="480" w:firstLineChars="200"/>
        <w:jc w:val="both"/>
        <w:rPr>
          <w:b w:val="0"/>
          <w:sz w:val="24"/>
          <w:szCs w:val="24"/>
        </w:rPr>
      </w:pPr>
      <w:r>
        <w:rPr>
          <w:rFonts w:hint="eastAsia"/>
          <w:b w:val="0"/>
          <w:sz w:val="24"/>
          <w:szCs w:val="24"/>
        </w:rPr>
        <w:t>项目过程设立1个一级指标，4个二级指标和4个三级指标，具体指标情况如下：</w:t>
      </w:r>
    </w:p>
    <w:tbl>
      <w:tblPr>
        <w:tblStyle w:val="17"/>
        <w:tblW w:w="10156" w:type="dxa"/>
        <w:jc w:val="center"/>
        <w:tblLayout w:type="autofit"/>
        <w:tblCellMar>
          <w:top w:w="0" w:type="dxa"/>
          <w:left w:w="0" w:type="dxa"/>
          <w:bottom w:w="0" w:type="dxa"/>
          <w:right w:w="0" w:type="dxa"/>
        </w:tblCellMar>
      </w:tblPr>
      <w:tblGrid>
        <w:gridCol w:w="760"/>
        <w:gridCol w:w="760"/>
        <w:gridCol w:w="1013"/>
        <w:gridCol w:w="1438"/>
        <w:gridCol w:w="780"/>
        <w:gridCol w:w="3975"/>
        <w:gridCol w:w="715"/>
        <w:gridCol w:w="715"/>
      </w:tblGrid>
      <w:tr w14:paraId="01126A95">
        <w:tblPrEx>
          <w:tblCellMar>
            <w:top w:w="0" w:type="dxa"/>
            <w:left w:w="0" w:type="dxa"/>
            <w:bottom w:w="0" w:type="dxa"/>
            <w:right w:w="0" w:type="dxa"/>
          </w:tblCellMar>
        </w:tblPrEx>
        <w:trPr>
          <w:trHeight w:val="90" w:hRule="atLeast"/>
          <w:jc w:val="center"/>
        </w:trPr>
        <w:tc>
          <w:tcPr>
            <w:tcW w:w="760"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3ED7AB61">
            <w:pPr>
              <w:jc w:val="left"/>
              <w:rPr>
                <w:b w:val="0"/>
                <w:sz w:val="24"/>
                <w:szCs w:val="24"/>
              </w:rPr>
            </w:pPr>
            <w:r>
              <w:rPr>
                <w:rFonts w:hint="eastAsia"/>
                <w:b w:val="0"/>
                <w:sz w:val="24"/>
                <w:szCs w:val="24"/>
              </w:rPr>
              <w:t>序号</w:t>
            </w:r>
          </w:p>
        </w:tc>
        <w:tc>
          <w:tcPr>
            <w:tcW w:w="760"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51CD268E">
            <w:pPr>
              <w:jc w:val="left"/>
              <w:rPr>
                <w:b w:val="0"/>
                <w:sz w:val="24"/>
                <w:szCs w:val="24"/>
              </w:rPr>
            </w:pPr>
            <w:r>
              <w:rPr>
                <w:rFonts w:hint="eastAsia"/>
                <w:b w:val="0"/>
                <w:sz w:val="24"/>
                <w:szCs w:val="24"/>
              </w:rPr>
              <w:t>一级指标</w:t>
            </w:r>
          </w:p>
        </w:tc>
        <w:tc>
          <w:tcPr>
            <w:tcW w:w="1013"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DDFC54D">
            <w:pPr>
              <w:jc w:val="left"/>
              <w:rPr>
                <w:b w:val="0"/>
                <w:sz w:val="24"/>
                <w:szCs w:val="24"/>
              </w:rPr>
            </w:pPr>
            <w:r>
              <w:rPr>
                <w:rFonts w:hint="eastAsia"/>
                <w:b w:val="0"/>
                <w:sz w:val="24"/>
                <w:szCs w:val="24"/>
              </w:rPr>
              <w:t>二 级</w:t>
            </w:r>
          </w:p>
          <w:p w14:paraId="6714F996">
            <w:pPr>
              <w:jc w:val="left"/>
              <w:rPr>
                <w:b w:val="0"/>
                <w:sz w:val="24"/>
                <w:szCs w:val="24"/>
              </w:rPr>
            </w:pPr>
            <w:r>
              <w:rPr>
                <w:rFonts w:hint="eastAsia"/>
                <w:b w:val="0"/>
                <w:sz w:val="24"/>
                <w:szCs w:val="24"/>
              </w:rPr>
              <w:t>指 标</w:t>
            </w:r>
          </w:p>
        </w:tc>
        <w:tc>
          <w:tcPr>
            <w:tcW w:w="1438"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C1DDCB5">
            <w:pPr>
              <w:jc w:val="left"/>
              <w:rPr>
                <w:b w:val="0"/>
                <w:sz w:val="24"/>
                <w:szCs w:val="24"/>
              </w:rPr>
            </w:pPr>
            <w:r>
              <w:rPr>
                <w:rFonts w:hint="eastAsia"/>
                <w:b w:val="0"/>
                <w:sz w:val="24"/>
                <w:szCs w:val="24"/>
              </w:rPr>
              <w:t>三 级</w:t>
            </w:r>
          </w:p>
          <w:p w14:paraId="5F69BC06">
            <w:pPr>
              <w:jc w:val="left"/>
              <w:rPr>
                <w:b w:val="0"/>
                <w:sz w:val="24"/>
                <w:szCs w:val="24"/>
              </w:rPr>
            </w:pPr>
            <w:r>
              <w:rPr>
                <w:rFonts w:hint="eastAsia"/>
                <w:b w:val="0"/>
                <w:sz w:val="24"/>
                <w:szCs w:val="24"/>
              </w:rPr>
              <w:t>指 标</w:t>
            </w:r>
          </w:p>
        </w:tc>
        <w:tc>
          <w:tcPr>
            <w:tcW w:w="780"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275DC96">
            <w:pPr>
              <w:jc w:val="left"/>
              <w:rPr>
                <w:b w:val="0"/>
                <w:sz w:val="24"/>
                <w:szCs w:val="24"/>
              </w:rPr>
            </w:pPr>
            <w:r>
              <w:rPr>
                <w:rFonts w:hint="eastAsia"/>
                <w:b w:val="0"/>
                <w:sz w:val="24"/>
                <w:szCs w:val="24"/>
              </w:rPr>
              <w:t>标准分值</w:t>
            </w:r>
          </w:p>
        </w:tc>
        <w:tc>
          <w:tcPr>
            <w:tcW w:w="3975"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311BAFA">
            <w:pPr>
              <w:jc w:val="left"/>
              <w:rPr>
                <w:b w:val="0"/>
                <w:sz w:val="24"/>
                <w:szCs w:val="24"/>
              </w:rPr>
            </w:pPr>
            <w:r>
              <w:rPr>
                <w:rFonts w:hint="eastAsia"/>
                <w:b w:val="0"/>
                <w:sz w:val="24"/>
                <w:szCs w:val="24"/>
              </w:rPr>
              <w:t>评价情况</w:t>
            </w:r>
          </w:p>
        </w:tc>
        <w:tc>
          <w:tcPr>
            <w:tcW w:w="715"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2EA81D6">
            <w:pPr>
              <w:jc w:val="left"/>
              <w:rPr>
                <w:b w:val="0"/>
                <w:sz w:val="24"/>
                <w:szCs w:val="24"/>
              </w:rPr>
            </w:pPr>
            <w:r>
              <w:rPr>
                <w:rFonts w:hint="eastAsia"/>
                <w:b w:val="0"/>
                <w:sz w:val="24"/>
                <w:szCs w:val="24"/>
              </w:rPr>
              <w:t>分值</w:t>
            </w:r>
          </w:p>
        </w:tc>
        <w:tc>
          <w:tcPr>
            <w:tcW w:w="715"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9F79C91">
            <w:pPr>
              <w:jc w:val="left"/>
              <w:rPr>
                <w:b w:val="0"/>
                <w:sz w:val="24"/>
                <w:szCs w:val="24"/>
              </w:rPr>
            </w:pPr>
            <w:r>
              <w:rPr>
                <w:rFonts w:hint="eastAsia"/>
                <w:b w:val="0"/>
                <w:sz w:val="24"/>
                <w:szCs w:val="24"/>
              </w:rPr>
              <w:t>扣分</w:t>
            </w:r>
          </w:p>
        </w:tc>
      </w:tr>
      <w:tr w14:paraId="5D84CE69">
        <w:tblPrEx>
          <w:tblCellMar>
            <w:top w:w="0" w:type="dxa"/>
            <w:left w:w="0" w:type="dxa"/>
            <w:bottom w:w="0" w:type="dxa"/>
            <w:right w:w="0" w:type="dxa"/>
          </w:tblCellMar>
        </w:tblPrEx>
        <w:trPr>
          <w:trHeight w:val="717" w:hRule="atLeast"/>
          <w:jc w:val="center"/>
        </w:trPr>
        <w:tc>
          <w:tcPr>
            <w:tcW w:w="760" w:type="dxa"/>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552B8A79">
            <w:pPr>
              <w:jc w:val="left"/>
              <w:rPr>
                <w:b w:val="0"/>
                <w:sz w:val="24"/>
                <w:szCs w:val="24"/>
              </w:rPr>
            </w:pPr>
            <w:r>
              <w:rPr>
                <w:rFonts w:hint="eastAsia"/>
                <w:b w:val="0"/>
                <w:sz w:val="24"/>
                <w:szCs w:val="24"/>
              </w:rPr>
              <w:t>13</w:t>
            </w:r>
          </w:p>
        </w:tc>
        <w:tc>
          <w:tcPr>
            <w:tcW w:w="760" w:type="dxa"/>
            <w:vMerge w:val="restart"/>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744A99E4">
            <w:pPr>
              <w:jc w:val="left"/>
              <w:rPr>
                <w:b w:val="0"/>
                <w:sz w:val="24"/>
                <w:szCs w:val="24"/>
              </w:rPr>
            </w:pPr>
          </w:p>
          <w:p w14:paraId="0A3A5B6D">
            <w:pPr>
              <w:jc w:val="left"/>
              <w:rPr>
                <w:b w:val="0"/>
                <w:sz w:val="24"/>
                <w:szCs w:val="24"/>
              </w:rPr>
            </w:pPr>
          </w:p>
          <w:p w14:paraId="338CDA8C">
            <w:pPr>
              <w:jc w:val="left"/>
              <w:rPr>
                <w:b w:val="0"/>
                <w:sz w:val="24"/>
                <w:szCs w:val="24"/>
              </w:rPr>
            </w:pPr>
          </w:p>
          <w:p w14:paraId="1907F8A3">
            <w:pPr>
              <w:jc w:val="left"/>
              <w:rPr>
                <w:b w:val="0"/>
                <w:sz w:val="24"/>
                <w:szCs w:val="24"/>
              </w:rPr>
            </w:pPr>
          </w:p>
          <w:p w14:paraId="1836A6F6">
            <w:pPr>
              <w:jc w:val="left"/>
              <w:rPr>
                <w:b w:val="0"/>
                <w:sz w:val="24"/>
                <w:szCs w:val="24"/>
              </w:rPr>
            </w:pPr>
          </w:p>
          <w:p w14:paraId="37CDD8C2">
            <w:pPr>
              <w:jc w:val="left"/>
              <w:rPr>
                <w:b w:val="0"/>
                <w:sz w:val="24"/>
                <w:szCs w:val="24"/>
              </w:rPr>
            </w:pPr>
          </w:p>
          <w:p w14:paraId="69F2C58D">
            <w:pPr>
              <w:jc w:val="left"/>
              <w:rPr>
                <w:b w:val="0"/>
                <w:sz w:val="24"/>
                <w:szCs w:val="24"/>
              </w:rPr>
            </w:pPr>
          </w:p>
          <w:p w14:paraId="10180CB4">
            <w:pPr>
              <w:jc w:val="left"/>
              <w:rPr>
                <w:b w:val="0"/>
                <w:sz w:val="24"/>
                <w:szCs w:val="24"/>
              </w:rPr>
            </w:pPr>
            <w:r>
              <w:rPr>
                <w:rFonts w:hint="eastAsia"/>
                <w:b w:val="0"/>
                <w:sz w:val="24"/>
                <w:szCs w:val="24"/>
              </w:rPr>
              <w:t>产出指标（满分30）</w:t>
            </w:r>
          </w:p>
        </w:tc>
        <w:tc>
          <w:tcPr>
            <w:tcW w:w="101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7BDCC7A">
            <w:pPr>
              <w:jc w:val="left"/>
              <w:rPr>
                <w:b w:val="0"/>
                <w:sz w:val="24"/>
                <w:szCs w:val="24"/>
              </w:rPr>
            </w:pPr>
            <w:r>
              <w:rPr>
                <w:rFonts w:hint="eastAsia"/>
                <w:b w:val="0"/>
                <w:sz w:val="24"/>
                <w:szCs w:val="24"/>
              </w:rPr>
              <w:t>数量指标（12分）</w:t>
            </w:r>
          </w:p>
        </w:tc>
        <w:tc>
          <w:tcPr>
            <w:tcW w:w="143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359B845">
            <w:pPr>
              <w:jc w:val="left"/>
              <w:rPr>
                <w:b w:val="0"/>
                <w:sz w:val="24"/>
                <w:szCs w:val="24"/>
              </w:rPr>
            </w:pPr>
            <w:r>
              <w:rPr>
                <w:rFonts w:hint="eastAsia"/>
                <w:b w:val="0"/>
                <w:sz w:val="24"/>
                <w:szCs w:val="24"/>
              </w:rPr>
              <w:t>主管部门落实项目全覆盖</w:t>
            </w:r>
          </w:p>
        </w:tc>
        <w:tc>
          <w:tcPr>
            <w:tcW w:w="78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6215241">
            <w:pPr>
              <w:jc w:val="left"/>
              <w:rPr>
                <w:b w:val="0"/>
                <w:sz w:val="24"/>
                <w:szCs w:val="24"/>
              </w:rPr>
            </w:pPr>
            <w:r>
              <w:rPr>
                <w:rFonts w:hint="eastAsia"/>
                <w:b w:val="0"/>
                <w:sz w:val="24"/>
                <w:szCs w:val="24"/>
              </w:rPr>
              <w:t>12</w:t>
            </w:r>
          </w:p>
        </w:tc>
        <w:tc>
          <w:tcPr>
            <w:tcW w:w="3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0330725">
            <w:pPr>
              <w:jc w:val="left"/>
              <w:rPr>
                <w:b w:val="0"/>
                <w:sz w:val="24"/>
                <w:szCs w:val="24"/>
              </w:rPr>
            </w:pPr>
            <w:r>
              <w:rPr>
                <w:rFonts w:hint="eastAsia"/>
                <w:b w:val="0"/>
                <w:sz w:val="24"/>
                <w:szCs w:val="24"/>
              </w:rPr>
              <w:t>项目实际完成数量与项目实施方案 的计划数量进行对比，根据完成比例 乘以该项指标基础分得出评分，完成 比例低于 60%不得分，202</w:t>
            </w:r>
            <w:r>
              <w:rPr>
                <w:b w:val="0"/>
                <w:sz w:val="24"/>
                <w:szCs w:val="24"/>
              </w:rPr>
              <w:t>3</w:t>
            </w:r>
            <w:r>
              <w:rPr>
                <w:rFonts w:hint="eastAsia"/>
                <w:b w:val="0"/>
                <w:sz w:val="24"/>
                <w:szCs w:val="24"/>
              </w:rPr>
              <w:t>年完成从业人员预防性体检共计</w:t>
            </w:r>
            <w:r>
              <w:rPr>
                <w:b w:val="0"/>
                <w:sz w:val="24"/>
                <w:szCs w:val="24"/>
              </w:rPr>
              <w:t>33544</w:t>
            </w:r>
            <w:r>
              <w:rPr>
                <w:rFonts w:hint="eastAsia"/>
                <w:b w:val="0"/>
                <w:sz w:val="24"/>
                <w:szCs w:val="24"/>
              </w:rPr>
              <w:t>人，得1</w:t>
            </w:r>
            <w:r>
              <w:rPr>
                <w:b w:val="0"/>
                <w:sz w:val="24"/>
                <w:szCs w:val="24"/>
              </w:rPr>
              <w:t>2</w:t>
            </w:r>
            <w:r>
              <w:rPr>
                <w:rFonts w:hint="eastAsia"/>
                <w:b w:val="0"/>
                <w:sz w:val="24"/>
                <w:szCs w:val="24"/>
              </w:rPr>
              <w:t>分</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BC4756F">
            <w:pPr>
              <w:jc w:val="left"/>
              <w:rPr>
                <w:b w:val="0"/>
                <w:sz w:val="24"/>
                <w:szCs w:val="24"/>
              </w:rPr>
            </w:pPr>
            <w:r>
              <w:rPr>
                <w:b w:val="0"/>
                <w:sz w:val="24"/>
                <w:szCs w:val="24"/>
              </w:rPr>
              <w:t>12</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EEFE655">
            <w:pPr>
              <w:jc w:val="left"/>
              <w:rPr>
                <w:b w:val="0"/>
                <w:sz w:val="24"/>
                <w:szCs w:val="24"/>
              </w:rPr>
            </w:pPr>
            <w:r>
              <w:rPr>
                <w:b w:val="0"/>
                <w:sz w:val="24"/>
                <w:szCs w:val="24"/>
              </w:rPr>
              <w:t>0</w:t>
            </w:r>
          </w:p>
        </w:tc>
      </w:tr>
      <w:tr w14:paraId="2337660C">
        <w:tblPrEx>
          <w:tblCellMar>
            <w:top w:w="0" w:type="dxa"/>
            <w:left w:w="0" w:type="dxa"/>
            <w:bottom w:w="0" w:type="dxa"/>
            <w:right w:w="0" w:type="dxa"/>
          </w:tblCellMar>
        </w:tblPrEx>
        <w:trPr>
          <w:trHeight w:val="1325" w:hRule="atLeast"/>
          <w:jc w:val="center"/>
        </w:trPr>
        <w:tc>
          <w:tcPr>
            <w:tcW w:w="760" w:type="dxa"/>
            <w:tcBorders>
              <w:top w:val="nil"/>
              <w:left w:val="single" w:color="000000" w:sz="8" w:space="0"/>
              <w:bottom w:val="single" w:color="000000" w:sz="8" w:space="0"/>
              <w:right w:val="single" w:color="000000" w:sz="8" w:space="0"/>
            </w:tcBorders>
            <w:shd w:val="clear" w:color="auto" w:fill="auto"/>
            <w:vAlign w:val="center"/>
          </w:tcPr>
          <w:p w14:paraId="5899BE1A">
            <w:pPr>
              <w:jc w:val="left"/>
              <w:rPr>
                <w:b w:val="0"/>
                <w:sz w:val="24"/>
                <w:szCs w:val="24"/>
              </w:rPr>
            </w:pPr>
            <w:r>
              <w:rPr>
                <w:rFonts w:hint="eastAsia"/>
                <w:b w:val="0"/>
                <w:sz w:val="24"/>
                <w:szCs w:val="24"/>
              </w:rPr>
              <w:t>14</w:t>
            </w:r>
          </w:p>
        </w:tc>
        <w:tc>
          <w:tcPr>
            <w:tcW w:w="760" w:type="dxa"/>
            <w:vMerge w:val="continue"/>
            <w:tcBorders>
              <w:top w:val="nil"/>
              <w:left w:val="single" w:color="000000" w:sz="8" w:space="0"/>
              <w:bottom w:val="single" w:color="000000" w:sz="8" w:space="0"/>
              <w:right w:val="single" w:color="000000" w:sz="8" w:space="0"/>
            </w:tcBorders>
            <w:shd w:val="clear" w:color="auto" w:fill="auto"/>
            <w:vAlign w:val="center"/>
          </w:tcPr>
          <w:p w14:paraId="65487F51">
            <w:pPr>
              <w:jc w:val="left"/>
              <w:rPr>
                <w:b w:val="0"/>
                <w:sz w:val="24"/>
                <w:szCs w:val="24"/>
              </w:rPr>
            </w:pPr>
          </w:p>
        </w:tc>
        <w:tc>
          <w:tcPr>
            <w:tcW w:w="101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7273648">
            <w:pPr>
              <w:jc w:val="left"/>
              <w:rPr>
                <w:b w:val="0"/>
                <w:sz w:val="24"/>
                <w:szCs w:val="24"/>
              </w:rPr>
            </w:pPr>
            <w:r>
              <w:rPr>
                <w:rFonts w:hint="eastAsia"/>
                <w:b w:val="0"/>
                <w:sz w:val="24"/>
                <w:szCs w:val="24"/>
              </w:rPr>
              <w:t>质量指标（8分）</w:t>
            </w:r>
          </w:p>
        </w:tc>
        <w:tc>
          <w:tcPr>
            <w:tcW w:w="143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96B282E">
            <w:pPr>
              <w:jc w:val="left"/>
              <w:rPr>
                <w:b w:val="0"/>
                <w:sz w:val="24"/>
                <w:szCs w:val="24"/>
              </w:rPr>
            </w:pPr>
            <w:r>
              <w:rPr>
                <w:rFonts w:hint="eastAsia"/>
                <w:b w:val="0"/>
                <w:sz w:val="24"/>
                <w:szCs w:val="24"/>
              </w:rPr>
              <w:t>奖补支出合规性</w:t>
            </w:r>
          </w:p>
        </w:tc>
        <w:tc>
          <w:tcPr>
            <w:tcW w:w="78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EF9C121">
            <w:pPr>
              <w:jc w:val="left"/>
              <w:rPr>
                <w:b w:val="0"/>
                <w:sz w:val="24"/>
                <w:szCs w:val="24"/>
              </w:rPr>
            </w:pPr>
            <w:r>
              <w:rPr>
                <w:rFonts w:hint="eastAsia"/>
                <w:b w:val="0"/>
                <w:sz w:val="24"/>
                <w:szCs w:val="24"/>
              </w:rPr>
              <w:t>8</w:t>
            </w:r>
          </w:p>
        </w:tc>
        <w:tc>
          <w:tcPr>
            <w:tcW w:w="3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1BD81DB">
            <w:pPr>
              <w:jc w:val="left"/>
              <w:rPr>
                <w:b w:val="0"/>
                <w:sz w:val="24"/>
                <w:szCs w:val="24"/>
              </w:rPr>
            </w:pPr>
            <w:r>
              <w:rPr>
                <w:rFonts w:hint="eastAsia"/>
                <w:b w:val="0"/>
                <w:sz w:val="24"/>
                <w:szCs w:val="24"/>
              </w:rPr>
              <w:t>主管部门没能提供完善的执行规范</w:t>
            </w:r>
            <w:r>
              <w:rPr>
                <w:b w:val="0"/>
                <w:sz w:val="24"/>
                <w:szCs w:val="24"/>
              </w:rPr>
              <w:t>文件</w:t>
            </w:r>
            <w:r>
              <w:rPr>
                <w:rFonts w:hint="eastAsia"/>
                <w:b w:val="0"/>
                <w:sz w:val="24"/>
                <w:szCs w:val="24"/>
              </w:rPr>
              <w:t>，无法核实是否遵守制度扣</w:t>
            </w:r>
            <w:r>
              <w:rPr>
                <w:b w:val="0"/>
                <w:sz w:val="24"/>
                <w:szCs w:val="24"/>
              </w:rPr>
              <w:t>4</w:t>
            </w:r>
            <w:r>
              <w:rPr>
                <w:rFonts w:hint="eastAsia"/>
                <w:b w:val="0"/>
                <w:sz w:val="24"/>
                <w:szCs w:val="24"/>
              </w:rPr>
              <w:t>分得</w:t>
            </w:r>
            <w:r>
              <w:rPr>
                <w:b w:val="0"/>
                <w:sz w:val="24"/>
                <w:szCs w:val="24"/>
              </w:rPr>
              <w:t>4</w:t>
            </w:r>
            <w:r>
              <w:rPr>
                <w:rFonts w:hint="eastAsia"/>
                <w:b w:val="0"/>
                <w:sz w:val="24"/>
                <w:szCs w:val="24"/>
              </w:rPr>
              <w:t>分</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28BEB13">
            <w:pPr>
              <w:jc w:val="left"/>
              <w:rPr>
                <w:b w:val="0"/>
                <w:sz w:val="24"/>
                <w:szCs w:val="24"/>
              </w:rPr>
            </w:pPr>
            <w:r>
              <w:rPr>
                <w:b w:val="0"/>
                <w:sz w:val="24"/>
                <w:szCs w:val="24"/>
              </w:rPr>
              <w:t>4</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07F823A">
            <w:pPr>
              <w:jc w:val="left"/>
              <w:rPr>
                <w:b w:val="0"/>
                <w:sz w:val="24"/>
                <w:szCs w:val="24"/>
              </w:rPr>
            </w:pPr>
            <w:r>
              <w:rPr>
                <w:b w:val="0"/>
                <w:sz w:val="24"/>
                <w:szCs w:val="24"/>
              </w:rPr>
              <w:t>4</w:t>
            </w:r>
          </w:p>
        </w:tc>
      </w:tr>
      <w:tr w14:paraId="654CEFB6">
        <w:tblPrEx>
          <w:tblCellMar>
            <w:top w:w="0" w:type="dxa"/>
            <w:left w:w="0" w:type="dxa"/>
            <w:bottom w:w="0" w:type="dxa"/>
            <w:right w:w="0" w:type="dxa"/>
          </w:tblCellMar>
        </w:tblPrEx>
        <w:trPr>
          <w:trHeight w:val="1051" w:hRule="atLeast"/>
          <w:jc w:val="center"/>
        </w:trPr>
        <w:tc>
          <w:tcPr>
            <w:tcW w:w="760" w:type="dxa"/>
            <w:tcBorders>
              <w:top w:val="nil"/>
              <w:left w:val="single" w:color="000000" w:sz="8" w:space="0"/>
              <w:bottom w:val="single" w:color="000000" w:sz="8" w:space="0"/>
              <w:right w:val="single" w:color="000000" w:sz="8" w:space="0"/>
            </w:tcBorders>
            <w:shd w:val="clear" w:color="auto" w:fill="auto"/>
            <w:vAlign w:val="center"/>
          </w:tcPr>
          <w:p w14:paraId="6710E692">
            <w:pPr>
              <w:jc w:val="left"/>
              <w:rPr>
                <w:b w:val="0"/>
                <w:sz w:val="24"/>
                <w:szCs w:val="24"/>
              </w:rPr>
            </w:pPr>
            <w:r>
              <w:rPr>
                <w:rFonts w:hint="eastAsia"/>
                <w:b w:val="0"/>
                <w:sz w:val="24"/>
                <w:szCs w:val="24"/>
              </w:rPr>
              <w:t>15</w:t>
            </w:r>
          </w:p>
        </w:tc>
        <w:tc>
          <w:tcPr>
            <w:tcW w:w="760" w:type="dxa"/>
            <w:vMerge w:val="continue"/>
            <w:tcBorders>
              <w:top w:val="nil"/>
              <w:left w:val="single" w:color="000000" w:sz="8" w:space="0"/>
              <w:bottom w:val="single" w:color="000000" w:sz="8" w:space="0"/>
              <w:right w:val="single" w:color="000000" w:sz="8" w:space="0"/>
            </w:tcBorders>
            <w:shd w:val="clear" w:color="auto" w:fill="auto"/>
            <w:vAlign w:val="center"/>
          </w:tcPr>
          <w:p w14:paraId="0B71410C">
            <w:pPr>
              <w:jc w:val="left"/>
              <w:rPr>
                <w:b w:val="0"/>
                <w:sz w:val="24"/>
                <w:szCs w:val="24"/>
              </w:rPr>
            </w:pPr>
          </w:p>
        </w:tc>
        <w:tc>
          <w:tcPr>
            <w:tcW w:w="101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D42CAF4">
            <w:pPr>
              <w:jc w:val="left"/>
              <w:rPr>
                <w:b w:val="0"/>
                <w:sz w:val="24"/>
                <w:szCs w:val="24"/>
              </w:rPr>
            </w:pPr>
            <w:r>
              <w:rPr>
                <w:rFonts w:hint="eastAsia"/>
                <w:b w:val="0"/>
                <w:sz w:val="24"/>
                <w:szCs w:val="24"/>
              </w:rPr>
              <w:t>时效指标（5分）</w:t>
            </w:r>
          </w:p>
        </w:tc>
        <w:tc>
          <w:tcPr>
            <w:tcW w:w="143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5977204">
            <w:pPr>
              <w:jc w:val="left"/>
              <w:rPr>
                <w:b w:val="0"/>
                <w:sz w:val="24"/>
                <w:szCs w:val="24"/>
              </w:rPr>
            </w:pPr>
            <w:r>
              <w:rPr>
                <w:rFonts w:hint="eastAsia"/>
                <w:b w:val="0"/>
                <w:sz w:val="24"/>
                <w:szCs w:val="24"/>
              </w:rPr>
              <w:t>经费支出的时效性</w:t>
            </w:r>
          </w:p>
        </w:tc>
        <w:tc>
          <w:tcPr>
            <w:tcW w:w="78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C881D92">
            <w:pPr>
              <w:jc w:val="left"/>
              <w:rPr>
                <w:b w:val="0"/>
                <w:sz w:val="24"/>
                <w:szCs w:val="24"/>
              </w:rPr>
            </w:pPr>
            <w:r>
              <w:rPr>
                <w:rFonts w:hint="eastAsia"/>
                <w:b w:val="0"/>
                <w:sz w:val="24"/>
                <w:szCs w:val="24"/>
              </w:rPr>
              <w:t>5</w:t>
            </w:r>
          </w:p>
        </w:tc>
        <w:tc>
          <w:tcPr>
            <w:tcW w:w="3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FEC3C89">
            <w:pPr>
              <w:jc w:val="left"/>
              <w:rPr>
                <w:b w:val="0"/>
                <w:sz w:val="24"/>
                <w:szCs w:val="24"/>
              </w:rPr>
            </w:pPr>
            <w:r>
              <w:rPr>
                <w:rFonts w:hint="eastAsia"/>
                <w:b w:val="0"/>
                <w:sz w:val="24"/>
                <w:szCs w:val="24"/>
              </w:rPr>
              <w:t>在计划完成时间内完成202</w:t>
            </w:r>
            <w:r>
              <w:rPr>
                <w:b w:val="0"/>
                <w:sz w:val="24"/>
                <w:szCs w:val="24"/>
              </w:rPr>
              <w:t>3</w:t>
            </w:r>
            <w:r>
              <w:rPr>
                <w:rFonts w:hint="eastAsia"/>
                <w:b w:val="0"/>
                <w:sz w:val="24"/>
                <w:szCs w:val="24"/>
              </w:rPr>
              <w:t>年度指标计划，得3分，否则酌情扣分。财政支付在规定时间内办理完成，得5分</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5D3EF49">
            <w:pPr>
              <w:jc w:val="left"/>
              <w:rPr>
                <w:b w:val="0"/>
                <w:sz w:val="24"/>
                <w:szCs w:val="24"/>
              </w:rPr>
            </w:pPr>
            <w:r>
              <w:rPr>
                <w:rFonts w:hint="eastAsia"/>
                <w:b w:val="0"/>
                <w:sz w:val="24"/>
                <w:szCs w:val="24"/>
              </w:rPr>
              <w:t>5</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03D9A66">
            <w:pPr>
              <w:jc w:val="left"/>
              <w:rPr>
                <w:b w:val="0"/>
                <w:sz w:val="24"/>
                <w:szCs w:val="24"/>
              </w:rPr>
            </w:pPr>
            <w:r>
              <w:rPr>
                <w:rFonts w:hint="eastAsia"/>
                <w:b w:val="0"/>
                <w:sz w:val="24"/>
                <w:szCs w:val="24"/>
              </w:rPr>
              <w:t>0</w:t>
            </w:r>
          </w:p>
        </w:tc>
      </w:tr>
      <w:tr w14:paraId="59B5C4AF">
        <w:tblPrEx>
          <w:tblCellMar>
            <w:top w:w="0" w:type="dxa"/>
            <w:left w:w="0" w:type="dxa"/>
            <w:bottom w:w="0" w:type="dxa"/>
            <w:right w:w="0" w:type="dxa"/>
          </w:tblCellMar>
        </w:tblPrEx>
        <w:trPr>
          <w:trHeight w:val="1081" w:hRule="atLeast"/>
          <w:jc w:val="center"/>
        </w:trPr>
        <w:tc>
          <w:tcPr>
            <w:tcW w:w="760" w:type="dxa"/>
            <w:tcBorders>
              <w:top w:val="nil"/>
              <w:left w:val="single" w:color="000000" w:sz="8" w:space="0"/>
              <w:bottom w:val="single" w:color="000000" w:sz="8" w:space="0"/>
              <w:right w:val="single" w:color="000000" w:sz="8" w:space="0"/>
            </w:tcBorders>
            <w:shd w:val="clear" w:color="auto" w:fill="auto"/>
            <w:vAlign w:val="center"/>
          </w:tcPr>
          <w:p w14:paraId="05634CC0">
            <w:pPr>
              <w:jc w:val="left"/>
              <w:rPr>
                <w:b w:val="0"/>
                <w:sz w:val="24"/>
                <w:szCs w:val="24"/>
              </w:rPr>
            </w:pPr>
            <w:r>
              <w:rPr>
                <w:rFonts w:hint="eastAsia"/>
                <w:b w:val="0"/>
                <w:sz w:val="24"/>
                <w:szCs w:val="24"/>
              </w:rPr>
              <w:t>16</w:t>
            </w:r>
          </w:p>
        </w:tc>
        <w:tc>
          <w:tcPr>
            <w:tcW w:w="760" w:type="dxa"/>
            <w:vMerge w:val="continue"/>
            <w:tcBorders>
              <w:top w:val="nil"/>
              <w:left w:val="single" w:color="000000" w:sz="8" w:space="0"/>
              <w:bottom w:val="single" w:color="000000" w:sz="8" w:space="0"/>
              <w:right w:val="single" w:color="000000" w:sz="8" w:space="0"/>
            </w:tcBorders>
            <w:shd w:val="clear" w:color="auto" w:fill="auto"/>
            <w:vAlign w:val="center"/>
          </w:tcPr>
          <w:p w14:paraId="7A5EA7CF">
            <w:pPr>
              <w:jc w:val="left"/>
              <w:rPr>
                <w:b w:val="0"/>
                <w:sz w:val="24"/>
                <w:szCs w:val="24"/>
              </w:rPr>
            </w:pPr>
          </w:p>
        </w:tc>
        <w:tc>
          <w:tcPr>
            <w:tcW w:w="1013"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70E4928">
            <w:pPr>
              <w:jc w:val="left"/>
              <w:rPr>
                <w:b w:val="0"/>
                <w:sz w:val="24"/>
                <w:szCs w:val="24"/>
              </w:rPr>
            </w:pPr>
            <w:r>
              <w:rPr>
                <w:rFonts w:hint="eastAsia"/>
                <w:b w:val="0"/>
                <w:sz w:val="24"/>
                <w:szCs w:val="24"/>
              </w:rPr>
              <w:t>成本指标（5分）</w:t>
            </w:r>
          </w:p>
        </w:tc>
        <w:tc>
          <w:tcPr>
            <w:tcW w:w="1438"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9644398">
            <w:pPr>
              <w:jc w:val="left"/>
              <w:rPr>
                <w:b w:val="0"/>
                <w:sz w:val="24"/>
                <w:szCs w:val="24"/>
              </w:rPr>
            </w:pPr>
            <w:r>
              <w:rPr>
                <w:rFonts w:hint="eastAsia"/>
                <w:b w:val="0"/>
                <w:sz w:val="24"/>
                <w:szCs w:val="24"/>
              </w:rPr>
              <w:t>项目资金支付效益最大化</w:t>
            </w:r>
          </w:p>
        </w:tc>
        <w:tc>
          <w:tcPr>
            <w:tcW w:w="780"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67AF48B">
            <w:pPr>
              <w:jc w:val="left"/>
              <w:rPr>
                <w:b w:val="0"/>
                <w:sz w:val="24"/>
                <w:szCs w:val="24"/>
              </w:rPr>
            </w:pPr>
            <w:r>
              <w:rPr>
                <w:rFonts w:hint="eastAsia"/>
                <w:b w:val="0"/>
                <w:sz w:val="24"/>
                <w:szCs w:val="24"/>
              </w:rPr>
              <w:t>5</w:t>
            </w:r>
          </w:p>
        </w:tc>
        <w:tc>
          <w:tcPr>
            <w:tcW w:w="397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519F620">
            <w:pPr>
              <w:jc w:val="left"/>
              <w:rPr>
                <w:b w:val="0"/>
                <w:sz w:val="24"/>
                <w:szCs w:val="24"/>
              </w:rPr>
            </w:pPr>
            <w:r>
              <w:rPr>
                <w:rFonts w:hint="eastAsia"/>
                <w:b w:val="0"/>
                <w:sz w:val="24"/>
                <w:szCs w:val="24"/>
              </w:rPr>
              <w:t>根据批复核算通知得2分，否则不得分，在预算内拨付资金成本达到有效控制得3分，没完当年目标扣1分得</w:t>
            </w:r>
            <w:r>
              <w:rPr>
                <w:b w:val="0"/>
                <w:sz w:val="24"/>
                <w:szCs w:val="24"/>
              </w:rPr>
              <w:t>4</w:t>
            </w:r>
            <w:r>
              <w:rPr>
                <w:rFonts w:hint="eastAsia"/>
                <w:b w:val="0"/>
                <w:sz w:val="24"/>
                <w:szCs w:val="24"/>
              </w:rPr>
              <w:t>分</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CB7F58C">
            <w:pPr>
              <w:jc w:val="left"/>
              <w:rPr>
                <w:b w:val="0"/>
                <w:sz w:val="24"/>
                <w:szCs w:val="24"/>
              </w:rPr>
            </w:pPr>
            <w:r>
              <w:rPr>
                <w:b w:val="0"/>
                <w:sz w:val="24"/>
                <w:szCs w:val="24"/>
              </w:rPr>
              <w:t>4</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2CD0E64">
            <w:pPr>
              <w:jc w:val="left"/>
              <w:rPr>
                <w:b w:val="0"/>
                <w:sz w:val="24"/>
                <w:szCs w:val="24"/>
              </w:rPr>
            </w:pPr>
            <w:r>
              <w:rPr>
                <w:b w:val="0"/>
                <w:sz w:val="24"/>
                <w:szCs w:val="24"/>
              </w:rPr>
              <w:t>1</w:t>
            </w:r>
          </w:p>
        </w:tc>
      </w:tr>
      <w:tr w14:paraId="2B47E229">
        <w:tblPrEx>
          <w:tblCellMar>
            <w:top w:w="0" w:type="dxa"/>
            <w:left w:w="0" w:type="dxa"/>
            <w:bottom w:w="0" w:type="dxa"/>
            <w:right w:w="0" w:type="dxa"/>
          </w:tblCellMar>
        </w:tblPrEx>
        <w:trPr>
          <w:trHeight w:val="786" w:hRule="atLeast"/>
          <w:jc w:val="center"/>
        </w:trPr>
        <w:tc>
          <w:tcPr>
            <w:tcW w:w="760"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14:paraId="521FA93F">
            <w:pPr>
              <w:jc w:val="left"/>
              <w:rPr>
                <w:b w:val="0"/>
                <w:sz w:val="24"/>
                <w:szCs w:val="24"/>
              </w:rPr>
            </w:pPr>
          </w:p>
        </w:tc>
        <w:tc>
          <w:tcPr>
            <w:tcW w:w="7966" w:type="dxa"/>
            <w:gridSpan w:val="5"/>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14:paraId="34D5BB42">
            <w:pPr>
              <w:jc w:val="left"/>
              <w:rPr>
                <w:b w:val="0"/>
                <w:sz w:val="24"/>
                <w:szCs w:val="24"/>
              </w:rPr>
            </w:pPr>
            <w:r>
              <w:rPr>
                <w:rFonts w:hint="eastAsia"/>
                <w:b w:val="0"/>
                <w:sz w:val="24"/>
                <w:szCs w:val="24"/>
              </w:rPr>
              <w:t>小计</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52DA989">
            <w:pPr>
              <w:jc w:val="left"/>
              <w:rPr>
                <w:b w:val="0"/>
                <w:sz w:val="24"/>
                <w:szCs w:val="24"/>
              </w:rPr>
            </w:pPr>
            <w:r>
              <w:rPr>
                <w:rFonts w:hint="eastAsia"/>
                <w:b w:val="0"/>
                <w:sz w:val="24"/>
                <w:szCs w:val="24"/>
              </w:rPr>
              <w:t>25</w:t>
            </w:r>
          </w:p>
        </w:tc>
        <w:tc>
          <w:tcPr>
            <w:tcW w:w="715"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311E5CE">
            <w:pPr>
              <w:jc w:val="left"/>
              <w:rPr>
                <w:b w:val="0"/>
                <w:sz w:val="24"/>
                <w:szCs w:val="24"/>
              </w:rPr>
            </w:pPr>
            <w:r>
              <w:rPr>
                <w:rFonts w:hint="eastAsia"/>
                <w:b w:val="0"/>
                <w:sz w:val="24"/>
                <w:szCs w:val="24"/>
              </w:rPr>
              <w:t>5</w:t>
            </w:r>
          </w:p>
        </w:tc>
      </w:tr>
    </w:tbl>
    <w:p w14:paraId="38E502DC">
      <w:pPr>
        <w:widowControl w:val="0"/>
        <w:shd w:val="clear" w:color="auto" w:fill="auto"/>
        <w:spacing w:line="560" w:lineRule="exact"/>
        <w:ind w:firstLine="480" w:firstLineChars="200"/>
        <w:jc w:val="both"/>
        <w:rPr>
          <w:b w:val="0"/>
          <w:sz w:val="24"/>
          <w:szCs w:val="24"/>
        </w:rPr>
      </w:pPr>
      <w:bookmarkStart w:id="72" w:name="_Toc4276"/>
      <w:bookmarkStart w:id="73" w:name="_Toc16904"/>
      <w:bookmarkStart w:id="74" w:name="_Toc24886"/>
      <w:r>
        <w:rPr>
          <w:rFonts w:hint="eastAsia"/>
          <w:b w:val="0"/>
          <w:sz w:val="24"/>
          <w:szCs w:val="24"/>
        </w:rPr>
        <w:t>1、产出数量（满分12分，实得</w:t>
      </w:r>
      <w:r>
        <w:rPr>
          <w:b w:val="0"/>
          <w:sz w:val="24"/>
          <w:szCs w:val="24"/>
        </w:rPr>
        <w:t>12</w:t>
      </w:r>
      <w:r>
        <w:rPr>
          <w:rFonts w:hint="eastAsia"/>
          <w:b w:val="0"/>
          <w:sz w:val="24"/>
          <w:szCs w:val="24"/>
        </w:rPr>
        <w:t>分）</w:t>
      </w:r>
      <w:bookmarkEnd w:id="72"/>
      <w:bookmarkEnd w:id="73"/>
      <w:bookmarkEnd w:id="74"/>
    </w:p>
    <w:p w14:paraId="66A5C8C6">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指标解释：项目实施的实际产出数与计划产出数的比率，用以反映和考核项目产出数量目标的实现程度。</w:t>
      </w:r>
    </w:p>
    <w:p w14:paraId="19A43BFA">
      <w:pPr>
        <w:widowControl w:val="0"/>
        <w:shd w:val="clear" w:color="auto" w:fill="auto"/>
        <w:spacing w:line="560" w:lineRule="exact"/>
        <w:ind w:firstLine="480" w:firstLineChars="200"/>
        <w:jc w:val="both"/>
        <w:rPr>
          <w:b w:val="0"/>
          <w:sz w:val="24"/>
          <w:szCs w:val="24"/>
        </w:rPr>
      </w:pPr>
      <w:r>
        <w:rPr>
          <w:rFonts w:hint="eastAsia"/>
          <w:b w:val="0"/>
          <w:sz w:val="24"/>
          <w:szCs w:val="24"/>
        </w:rPr>
        <w:t>202</w:t>
      </w:r>
      <w:r>
        <w:rPr>
          <w:b w:val="0"/>
          <w:sz w:val="24"/>
          <w:szCs w:val="24"/>
        </w:rPr>
        <w:t>3</w:t>
      </w:r>
      <w:r>
        <w:rPr>
          <w:rFonts w:hint="eastAsia"/>
          <w:b w:val="0"/>
          <w:sz w:val="24"/>
          <w:szCs w:val="24"/>
        </w:rPr>
        <w:t>年完成从业人员预防性体检共计</w:t>
      </w:r>
      <w:r>
        <w:rPr>
          <w:b w:val="0"/>
          <w:sz w:val="24"/>
          <w:szCs w:val="24"/>
        </w:rPr>
        <w:t>33544</w:t>
      </w:r>
      <w:r>
        <w:rPr>
          <w:rFonts w:hint="eastAsia"/>
          <w:b w:val="0"/>
          <w:sz w:val="24"/>
          <w:szCs w:val="24"/>
        </w:rPr>
        <w:t>人。本项得分1</w:t>
      </w:r>
      <w:r>
        <w:rPr>
          <w:b w:val="0"/>
          <w:sz w:val="24"/>
          <w:szCs w:val="24"/>
        </w:rPr>
        <w:t>2</w:t>
      </w:r>
      <w:r>
        <w:rPr>
          <w:rFonts w:hint="eastAsia"/>
          <w:b w:val="0"/>
          <w:sz w:val="24"/>
          <w:szCs w:val="24"/>
        </w:rPr>
        <w:t>分。</w:t>
      </w:r>
    </w:p>
    <w:p w14:paraId="48584FCF">
      <w:pPr>
        <w:widowControl w:val="0"/>
        <w:shd w:val="clear" w:color="auto" w:fill="auto"/>
        <w:spacing w:line="560" w:lineRule="exact"/>
        <w:ind w:firstLine="480" w:firstLineChars="200"/>
        <w:jc w:val="both"/>
        <w:rPr>
          <w:b w:val="0"/>
          <w:sz w:val="24"/>
          <w:szCs w:val="24"/>
        </w:rPr>
      </w:pPr>
      <w:bookmarkStart w:id="75" w:name="_Toc16673"/>
      <w:bookmarkStart w:id="76" w:name="_Toc5107"/>
      <w:bookmarkStart w:id="77" w:name="_Toc23437"/>
      <w:r>
        <w:rPr>
          <w:rFonts w:hint="eastAsia"/>
          <w:b w:val="0"/>
          <w:sz w:val="24"/>
          <w:szCs w:val="24"/>
        </w:rPr>
        <w:t>2、产出质量（满分8分，实得</w:t>
      </w:r>
      <w:r>
        <w:rPr>
          <w:b w:val="0"/>
          <w:sz w:val="24"/>
          <w:szCs w:val="24"/>
        </w:rPr>
        <w:t>4</w:t>
      </w:r>
      <w:r>
        <w:rPr>
          <w:rFonts w:hint="eastAsia"/>
          <w:b w:val="0"/>
          <w:sz w:val="24"/>
          <w:szCs w:val="24"/>
        </w:rPr>
        <w:t>分）</w:t>
      </w:r>
      <w:bookmarkEnd w:id="75"/>
      <w:bookmarkEnd w:id="76"/>
      <w:bookmarkEnd w:id="77"/>
    </w:p>
    <w:p w14:paraId="51C523BD">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指标解释：项目实际完成的质量达标产出数与实际产出数的比率，用以反映和考核项目产出质量目标的实现程度。</w:t>
      </w:r>
    </w:p>
    <w:p w14:paraId="5A678B92">
      <w:pPr>
        <w:widowControl w:val="0"/>
        <w:shd w:val="clear" w:color="auto" w:fill="auto"/>
        <w:spacing w:line="560" w:lineRule="exact"/>
        <w:ind w:firstLine="480" w:firstLineChars="200"/>
        <w:jc w:val="both"/>
        <w:rPr>
          <w:b w:val="0"/>
          <w:sz w:val="24"/>
          <w:szCs w:val="24"/>
        </w:rPr>
      </w:pPr>
      <w:r>
        <w:rPr>
          <w:rFonts w:hint="eastAsia"/>
          <w:b w:val="0"/>
          <w:sz w:val="24"/>
          <w:szCs w:val="24"/>
        </w:rPr>
        <w:t>奖补支出合规，项目资金能按照政府要求支出，主管部门没有合规项目执行规范文件，只有转账凭证，无法核实是否遵守制度，按照项目实际申请支付金额。本项目扣</w:t>
      </w:r>
      <w:r>
        <w:rPr>
          <w:b w:val="0"/>
          <w:sz w:val="24"/>
          <w:szCs w:val="24"/>
        </w:rPr>
        <w:t>4</w:t>
      </w:r>
      <w:r>
        <w:rPr>
          <w:rFonts w:hint="eastAsia"/>
          <w:b w:val="0"/>
          <w:sz w:val="24"/>
          <w:szCs w:val="24"/>
        </w:rPr>
        <w:t>分得</w:t>
      </w:r>
      <w:r>
        <w:rPr>
          <w:b w:val="0"/>
          <w:sz w:val="24"/>
          <w:szCs w:val="24"/>
        </w:rPr>
        <w:t>4</w:t>
      </w:r>
      <w:r>
        <w:rPr>
          <w:rFonts w:hint="eastAsia"/>
          <w:b w:val="0"/>
          <w:sz w:val="24"/>
          <w:szCs w:val="24"/>
        </w:rPr>
        <w:t>分。</w:t>
      </w:r>
    </w:p>
    <w:p w14:paraId="2B51D7BC">
      <w:pPr>
        <w:widowControl w:val="0"/>
        <w:shd w:val="clear" w:color="auto" w:fill="auto"/>
        <w:spacing w:line="560" w:lineRule="exact"/>
        <w:ind w:firstLine="480" w:firstLineChars="200"/>
        <w:jc w:val="both"/>
        <w:rPr>
          <w:b w:val="0"/>
          <w:sz w:val="24"/>
          <w:szCs w:val="24"/>
        </w:rPr>
      </w:pPr>
      <w:bookmarkStart w:id="78" w:name="_Toc17885"/>
      <w:bookmarkStart w:id="79" w:name="_Toc27654"/>
      <w:bookmarkStart w:id="80" w:name="_Toc17536"/>
      <w:r>
        <w:rPr>
          <w:rFonts w:hint="eastAsia"/>
          <w:b w:val="0"/>
          <w:sz w:val="24"/>
          <w:szCs w:val="24"/>
        </w:rPr>
        <w:t>3、产出时效（满分5分，实得5分）</w:t>
      </w:r>
      <w:bookmarkEnd w:id="78"/>
      <w:bookmarkEnd w:id="79"/>
      <w:bookmarkEnd w:id="80"/>
    </w:p>
    <w:p w14:paraId="347E61FA">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指标解释：项目实际完成时间与计划完成时间的比较，用以反映和考核项目产出时效目标的实现程度。</w:t>
      </w:r>
    </w:p>
    <w:p w14:paraId="2E17165C">
      <w:pPr>
        <w:widowControl w:val="0"/>
        <w:shd w:val="clear" w:color="auto" w:fill="auto"/>
        <w:spacing w:line="560" w:lineRule="exact"/>
        <w:ind w:firstLine="480" w:firstLineChars="200"/>
        <w:jc w:val="both"/>
        <w:rPr>
          <w:b w:val="0"/>
          <w:sz w:val="24"/>
          <w:szCs w:val="24"/>
        </w:rPr>
      </w:pPr>
      <w:r>
        <w:rPr>
          <w:rFonts w:hint="eastAsia"/>
          <w:b w:val="0"/>
          <w:sz w:val="24"/>
          <w:szCs w:val="24"/>
        </w:rPr>
        <w:t>项目完成及时性：202</w:t>
      </w:r>
      <w:r>
        <w:rPr>
          <w:b w:val="0"/>
          <w:sz w:val="24"/>
          <w:szCs w:val="24"/>
        </w:rPr>
        <w:t>3</w:t>
      </w:r>
      <w:r>
        <w:rPr>
          <w:rFonts w:hint="eastAsia"/>
          <w:b w:val="0"/>
          <w:sz w:val="24"/>
          <w:szCs w:val="24"/>
        </w:rPr>
        <w:t>年从业人员预防性体检情况：共计健康体检33544人。</w:t>
      </w:r>
    </w:p>
    <w:p w14:paraId="224E2B0B">
      <w:pPr>
        <w:widowControl w:val="0"/>
        <w:shd w:val="clear" w:color="auto" w:fill="auto"/>
        <w:spacing w:line="560" w:lineRule="exact"/>
        <w:ind w:firstLine="480" w:firstLineChars="200"/>
        <w:jc w:val="both"/>
        <w:rPr>
          <w:b w:val="0"/>
          <w:sz w:val="24"/>
          <w:szCs w:val="24"/>
        </w:rPr>
      </w:pPr>
      <w:r>
        <w:rPr>
          <w:rFonts w:hint="eastAsia"/>
          <w:b w:val="0"/>
          <w:sz w:val="24"/>
          <w:szCs w:val="24"/>
        </w:rPr>
        <w:t>安徽省怀远县人民医院健康体检1126人</w:t>
      </w:r>
      <w:r>
        <w:rPr>
          <w:b w:val="0"/>
          <w:sz w:val="24"/>
          <w:szCs w:val="24"/>
        </w:rPr>
        <w:t>、</w:t>
      </w:r>
      <w:r>
        <w:rPr>
          <w:rFonts w:hint="eastAsia"/>
          <w:b w:val="0"/>
          <w:sz w:val="24"/>
          <w:szCs w:val="24"/>
        </w:rPr>
        <w:t>怀远</w:t>
      </w:r>
      <w:r>
        <w:rPr>
          <w:b w:val="0"/>
          <w:sz w:val="24"/>
          <w:szCs w:val="24"/>
        </w:rPr>
        <w:t>荆塗医院健康体检</w:t>
      </w:r>
      <w:r>
        <w:rPr>
          <w:rFonts w:hint="eastAsia"/>
          <w:b w:val="0"/>
          <w:sz w:val="24"/>
          <w:szCs w:val="24"/>
        </w:rPr>
        <w:t>2977人</w:t>
      </w:r>
      <w:r>
        <w:rPr>
          <w:b w:val="0"/>
          <w:sz w:val="24"/>
          <w:szCs w:val="24"/>
        </w:rPr>
        <w:t>、</w:t>
      </w:r>
      <w:r>
        <w:rPr>
          <w:rFonts w:hint="eastAsia"/>
          <w:b w:val="0"/>
          <w:sz w:val="24"/>
          <w:szCs w:val="24"/>
        </w:rPr>
        <w:t>怀远</w:t>
      </w:r>
      <w:r>
        <w:rPr>
          <w:b w:val="0"/>
          <w:sz w:val="24"/>
          <w:szCs w:val="24"/>
        </w:rPr>
        <w:t>新站医院健康体检</w:t>
      </w:r>
      <w:r>
        <w:rPr>
          <w:rFonts w:hint="eastAsia"/>
          <w:b w:val="0"/>
          <w:sz w:val="24"/>
          <w:szCs w:val="24"/>
        </w:rPr>
        <w:t>2623人</w:t>
      </w:r>
      <w:r>
        <w:rPr>
          <w:b w:val="0"/>
          <w:sz w:val="24"/>
          <w:szCs w:val="24"/>
        </w:rPr>
        <w:t>、</w:t>
      </w:r>
      <w:r>
        <w:rPr>
          <w:rFonts w:hint="eastAsia"/>
          <w:b w:val="0"/>
          <w:sz w:val="24"/>
          <w:szCs w:val="24"/>
        </w:rPr>
        <w:t>怀远</w:t>
      </w:r>
      <w:r>
        <w:rPr>
          <w:b w:val="0"/>
          <w:sz w:val="24"/>
          <w:szCs w:val="24"/>
        </w:rPr>
        <w:t>上和医院健康体检</w:t>
      </w:r>
      <w:r>
        <w:rPr>
          <w:rFonts w:hint="eastAsia"/>
          <w:b w:val="0"/>
          <w:sz w:val="24"/>
          <w:szCs w:val="24"/>
        </w:rPr>
        <w:t>1377人</w:t>
      </w:r>
      <w:r>
        <w:rPr>
          <w:b w:val="0"/>
          <w:sz w:val="24"/>
          <w:szCs w:val="24"/>
        </w:rPr>
        <w:t>、</w:t>
      </w:r>
      <w:r>
        <w:rPr>
          <w:rFonts w:hint="eastAsia"/>
          <w:b w:val="0"/>
          <w:sz w:val="24"/>
          <w:szCs w:val="24"/>
        </w:rPr>
        <w:t>怀远</w:t>
      </w:r>
      <w:r>
        <w:rPr>
          <w:b w:val="0"/>
          <w:sz w:val="24"/>
          <w:szCs w:val="24"/>
        </w:rPr>
        <w:t>龙亢农场医院健康体检</w:t>
      </w:r>
      <w:r>
        <w:rPr>
          <w:rFonts w:hint="eastAsia"/>
          <w:b w:val="0"/>
          <w:sz w:val="24"/>
          <w:szCs w:val="24"/>
        </w:rPr>
        <w:t>2173人</w:t>
      </w:r>
      <w:r>
        <w:rPr>
          <w:b w:val="0"/>
          <w:sz w:val="24"/>
          <w:szCs w:val="24"/>
        </w:rPr>
        <w:t>、</w:t>
      </w:r>
      <w:r>
        <w:rPr>
          <w:rFonts w:hint="eastAsia"/>
          <w:b w:val="0"/>
          <w:sz w:val="24"/>
          <w:szCs w:val="24"/>
        </w:rPr>
        <w:t>怀远</w:t>
      </w:r>
      <w:r>
        <w:rPr>
          <w:b w:val="0"/>
          <w:sz w:val="24"/>
          <w:szCs w:val="24"/>
        </w:rPr>
        <w:t>爱心中西医院</w:t>
      </w:r>
      <w:r>
        <w:rPr>
          <w:rFonts w:hint="eastAsia"/>
          <w:b w:val="0"/>
          <w:sz w:val="24"/>
          <w:szCs w:val="24"/>
        </w:rPr>
        <w:t>健康体检7736人</w:t>
      </w:r>
      <w:r>
        <w:rPr>
          <w:b w:val="0"/>
          <w:sz w:val="24"/>
          <w:szCs w:val="24"/>
        </w:rPr>
        <w:t>、</w:t>
      </w:r>
      <w:r>
        <w:rPr>
          <w:rFonts w:hint="eastAsia"/>
          <w:b w:val="0"/>
          <w:sz w:val="24"/>
          <w:szCs w:val="24"/>
        </w:rPr>
        <w:t>怀远县卫生学校附属医院健康体检311人</w:t>
      </w:r>
      <w:r>
        <w:rPr>
          <w:b w:val="0"/>
          <w:sz w:val="24"/>
          <w:szCs w:val="24"/>
        </w:rPr>
        <w:t>、</w:t>
      </w:r>
      <w:r>
        <w:rPr>
          <w:rFonts w:hint="eastAsia"/>
          <w:b w:val="0"/>
          <w:sz w:val="24"/>
          <w:szCs w:val="24"/>
        </w:rPr>
        <w:t>怀远</w:t>
      </w:r>
      <w:r>
        <w:rPr>
          <w:b w:val="0"/>
          <w:sz w:val="24"/>
          <w:szCs w:val="24"/>
        </w:rPr>
        <w:t>阳光医院健康体检</w:t>
      </w:r>
      <w:r>
        <w:rPr>
          <w:rFonts w:hint="eastAsia"/>
          <w:b w:val="0"/>
          <w:sz w:val="24"/>
          <w:szCs w:val="24"/>
        </w:rPr>
        <w:t>5735人</w:t>
      </w:r>
      <w:r>
        <w:rPr>
          <w:b w:val="0"/>
          <w:sz w:val="24"/>
          <w:szCs w:val="24"/>
        </w:rPr>
        <w:t>、</w:t>
      </w:r>
      <w:r>
        <w:rPr>
          <w:rFonts w:hint="eastAsia"/>
          <w:b w:val="0"/>
          <w:sz w:val="24"/>
          <w:szCs w:val="24"/>
        </w:rPr>
        <w:t>怀远县疾病预防控制中心</w:t>
      </w:r>
      <w:r>
        <w:rPr>
          <w:b w:val="0"/>
          <w:sz w:val="24"/>
          <w:szCs w:val="24"/>
        </w:rPr>
        <w:t>健康体检</w:t>
      </w:r>
      <w:r>
        <w:rPr>
          <w:rFonts w:hint="eastAsia"/>
          <w:b w:val="0"/>
          <w:sz w:val="24"/>
          <w:szCs w:val="24"/>
        </w:rPr>
        <w:t>9486人</w:t>
      </w:r>
      <w:r>
        <w:rPr>
          <w:b w:val="0"/>
          <w:sz w:val="24"/>
          <w:szCs w:val="24"/>
        </w:rPr>
        <w:t>。</w:t>
      </w:r>
    </w:p>
    <w:p w14:paraId="18CF7CDC">
      <w:pPr>
        <w:widowControl w:val="0"/>
        <w:shd w:val="clear" w:color="auto" w:fill="auto"/>
        <w:spacing w:line="560" w:lineRule="exact"/>
        <w:ind w:firstLine="480" w:firstLineChars="200"/>
        <w:jc w:val="both"/>
        <w:rPr>
          <w:b w:val="0"/>
          <w:sz w:val="24"/>
          <w:szCs w:val="24"/>
        </w:rPr>
      </w:pPr>
      <w:r>
        <w:rPr>
          <w:rFonts w:hint="eastAsia"/>
          <w:b w:val="0"/>
          <w:sz w:val="24"/>
          <w:szCs w:val="24"/>
        </w:rPr>
        <w:t>202</w:t>
      </w:r>
      <w:r>
        <w:rPr>
          <w:b w:val="0"/>
          <w:sz w:val="24"/>
          <w:szCs w:val="24"/>
        </w:rPr>
        <w:t>3</w:t>
      </w:r>
      <w:r>
        <w:rPr>
          <w:rFonts w:hint="eastAsia"/>
          <w:b w:val="0"/>
          <w:sz w:val="24"/>
          <w:szCs w:val="24"/>
        </w:rPr>
        <w:t>年在规定时间内发放金额</w:t>
      </w:r>
      <w:r>
        <w:rPr>
          <w:b w:val="0"/>
          <w:sz w:val="24"/>
          <w:szCs w:val="24"/>
        </w:rPr>
        <w:t>45.25</w:t>
      </w:r>
      <w:r>
        <w:rPr>
          <w:rFonts w:hint="eastAsia"/>
          <w:b w:val="0"/>
          <w:sz w:val="24"/>
          <w:szCs w:val="24"/>
        </w:rPr>
        <w:t>万元项目资金，本项得分5分。</w:t>
      </w:r>
    </w:p>
    <w:p w14:paraId="08DD07A8">
      <w:pPr>
        <w:widowControl w:val="0"/>
        <w:shd w:val="clear" w:color="auto" w:fill="auto"/>
        <w:spacing w:line="560" w:lineRule="exact"/>
        <w:ind w:firstLine="480" w:firstLineChars="200"/>
        <w:jc w:val="both"/>
        <w:rPr>
          <w:b w:val="0"/>
          <w:sz w:val="24"/>
          <w:szCs w:val="24"/>
        </w:rPr>
      </w:pPr>
      <w:bookmarkStart w:id="81" w:name="_Toc15065"/>
      <w:bookmarkStart w:id="82" w:name="_Toc8201"/>
      <w:bookmarkStart w:id="83" w:name="_Toc4831"/>
      <w:r>
        <w:rPr>
          <w:rFonts w:hint="eastAsia"/>
          <w:b w:val="0"/>
          <w:sz w:val="24"/>
          <w:szCs w:val="24"/>
        </w:rPr>
        <w:t>4、产出成本（满分5分，实得</w:t>
      </w:r>
      <w:r>
        <w:rPr>
          <w:b w:val="0"/>
          <w:sz w:val="24"/>
          <w:szCs w:val="24"/>
        </w:rPr>
        <w:t>4</w:t>
      </w:r>
      <w:r>
        <w:rPr>
          <w:rFonts w:hint="eastAsia"/>
          <w:b w:val="0"/>
          <w:sz w:val="24"/>
          <w:szCs w:val="24"/>
        </w:rPr>
        <w:t>分）</w:t>
      </w:r>
      <w:bookmarkEnd w:id="81"/>
      <w:bookmarkEnd w:id="82"/>
      <w:bookmarkEnd w:id="83"/>
    </w:p>
    <w:p w14:paraId="7A441D62">
      <w:pPr>
        <w:widowControl w:val="0"/>
        <w:shd w:val="clear" w:color="auto" w:fill="auto"/>
        <w:spacing w:line="560" w:lineRule="exact"/>
        <w:ind w:firstLine="480" w:firstLineChars="200"/>
        <w:jc w:val="both"/>
        <w:rPr>
          <w:b w:val="0"/>
          <w:sz w:val="24"/>
          <w:szCs w:val="24"/>
        </w:rPr>
      </w:pPr>
      <w:r>
        <w:rPr>
          <w:rFonts w:hint="eastAsia"/>
          <w:b w:val="0"/>
          <w:sz w:val="24"/>
          <w:szCs w:val="24"/>
        </w:rPr>
        <w:t>指标解释：完成项目计划工作目标的实际节约成本与计划成本的比率，用以反映和考核项目的成本节约程度。</w:t>
      </w:r>
    </w:p>
    <w:p w14:paraId="1A6A9479">
      <w:pPr>
        <w:widowControl w:val="0"/>
        <w:shd w:val="clear" w:color="auto" w:fill="auto"/>
        <w:spacing w:line="560" w:lineRule="exact"/>
        <w:ind w:firstLine="480" w:firstLineChars="200"/>
        <w:jc w:val="both"/>
        <w:rPr>
          <w:b w:val="0"/>
          <w:sz w:val="24"/>
          <w:szCs w:val="24"/>
        </w:rPr>
      </w:pPr>
      <w:r>
        <w:rPr>
          <w:rFonts w:hint="eastAsia"/>
          <w:b w:val="0"/>
          <w:sz w:val="24"/>
          <w:szCs w:val="24"/>
        </w:rPr>
        <w:t>充分利用有限的项目资金获得最大的收益，202</w:t>
      </w:r>
      <w:r>
        <w:rPr>
          <w:b w:val="0"/>
          <w:sz w:val="24"/>
          <w:szCs w:val="24"/>
        </w:rPr>
        <w:t>3</w:t>
      </w:r>
      <w:r>
        <w:rPr>
          <w:rFonts w:hint="eastAsia"/>
          <w:b w:val="0"/>
          <w:sz w:val="24"/>
          <w:szCs w:val="24"/>
        </w:rPr>
        <w:t>年完成从业人员预防性体检33544人</w:t>
      </w:r>
      <w:r>
        <w:rPr>
          <w:b w:val="0"/>
          <w:sz w:val="24"/>
          <w:szCs w:val="24"/>
        </w:rPr>
        <w:t>，</w:t>
      </w:r>
      <w:r>
        <w:rPr>
          <w:rFonts w:hint="eastAsia"/>
          <w:b w:val="0"/>
          <w:sz w:val="24"/>
          <w:szCs w:val="24"/>
        </w:rPr>
        <w:t>没有相关体检规范文件，依据评分标准扣</w:t>
      </w:r>
      <w:r>
        <w:rPr>
          <w:b w:val="0"/>
          <w:sz w:val="24"/>
          <w:szCs w:val="24"/>
        </w:rPr>
        <w:t>1</w:t>
      </w:r>
      <w:r>
        <w:rPr>
          <w:rFonts w:hint="eastAsia"/>
          <w:b w:val="0"/>
          <w:sz w:val="24"/>
          <w:szCs w:val="24"/>
        </w:rPr>
        <w:t>分得</w:t>
      </w:r>
      <w:r>
        <w:rPr>
          <w:b w:val="0"/>
          <w:sz w:val="24"/>
          <w:szCs w:val="24"/>
        </w:rPr>
        <w:t>4</w:t>
      </w:r>
      <w:r>
        <w:rPr>
          <w:rFonts w:hint="eastAsia"/>
          <w:b w:val="0"/>
          <w:sz w:val="24"/>
          <w:szCs w:val="24"/>
        </w:rPr>
        <w:t>分。</w:t>
      </w:r>
    </w:p>
    <w:p w14:paraId="2F13E5B1">
      <w:pPr>
        <w:widowControl w:val="0"/>
        <w:shd w:val="clear" w:color="auto" w:fill="auto"/>
        <w:spacing w:line="560" w:lineRule="exact"/>
        <w:ind w:firstLine="480" w:firstLineChars="200"/>
        <w:jc w:val="both"/>
        <w:rPr>
          <w:b w:val="0"/>
          <w:sz w:val="24"/>
          <w:szCs w:val="24"/>
        </w:rPr>
      </w:pPr>
      <w:r>
        <w:rPr>
          <w:rFonts w:hint="eastAsia"/>
          <w:b w:val="0"/>
          <w:sz w:val="24"/>
          <w:szCs w:val="24"/>
        </w:rPr>
        <w:t xml:space="preserve">（四）项目效益情况（满分30分，实得28.5分）  </w:t>
      </w:r>
    </w:p>
    <w:p w14:paraId="6BE877A6">
      <w:pPr>
        <w:widowControl w:val="0"/>
        <w:shd w:val="clear" w:color="auto" w:fill="auto"/>
        <w:spacing w:line="560" w:lineRule="exact"/>
        <w:ind w:firstLine="480" w:firstLineChars="200"/>
        <w:jc w:val="both"/>
        <w:rPr>
          <w:b w:val="0"/>
          <w:sz w:val="24"/>
          <w:szCs w:val="24"/>
        </w:rPr>
      </w:pPr>
      <w:r>
        <w:rPr>
          <w:rFonts w:hint="eastAsia"/>
          <w:b w:val="0"/>
          <w:sz w:val="24"/>
          <w:szCs w:val="24"/>
        </w:rPr>
        <w:t>项目效益设立1个一级指标，4个二级指标和4个三级指标，具体指标情况如下：</w:t>
      </w:r>
    </w:p>
    <w:tbl>
      <w:tblPr>
        <w:tblStyle w:val="17"/>
        <w:tblpPr w:leftFromText="180" w:rightFromText="180" w:vertAnchor="text" w:horzAnchor="page" w:tblpX="1319" w:tblpY="48"/>
        <w:tblOverlap w:val="never"/>
        <w:tblW w:w="9929" w:type="dxa"/>
        <w:tblInd w:w="0" w:type="dxa"/>
        <w:tblLayout w:type="autofit"/>
        <w:tblCellMar>
          <w:top w:w="0" w:type="dxa"/>
          <w:left w:w="0" w:type="dxa"/>
          <w:bottom w:w="0" w:type="dxa"/>
          <w:right w:w="0" w:type="dxa"/>
        </w:tblCellMar>
      </w:tblPr>
      <w:tblGrid>
        <w:gridCol w:w="912"/>
        <w:gridCol w:w="912"/>
        <w:gridCol w:w="926"/>
        <w:gridCol w:w="2091"/>
        <w:gridCol w:w="912"/>
        <w:gridCol w:w="2352"/>
        <w:gridCol w:w="912"/>
        <w:gridCol w:w="912"/>
      </w:tblGrid>
      <w:tr w14:paraId="608276B0">
        <w:tblPrEx>
          <w:tblCellMar>
            <w:top w:w="0" w:type="dxa"/>
            <w:left w:w="0" w:type="dxa"/>
            <w:bottom w:w="0" w:type="dxa"/>
            <w:right w:w="0" w:type="dxa"/>
          </w:tblCellMar>
        </w:tblPrEx>
        <w:trPr>
          <w:trHeight w:val="692" w:hRule="atLeast"/>
        </w:trPr>
        <w:tc>
          <w:tcPr>
            <w:tcW w:w="91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65B0C39F">
            <w:pPr>
              <w:jc w:val="left"/>
              <w:rPr>
                <w:b w:val="0"/>
                <w:sz w:val="24"/>
                <w:szCs w:val="24"/>
              </w:rPr>
            </w:pPr>
            <w:r>
              <w:rPr>
                <w:rFonts w:hint="eastAsia"/>
                <w:b w:val="0"/>
                <w:sz w:val="24"/>
                <w:szCs w:val="24"/>
              </w:rPr>
              <w:t>序号</w:t>
            </w:r>
          </w:p>
        </w:tc>
        <w:tc>
          <w:tcPr>
            <w:tcW w:w="91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14:paraId="56E80D7E">
            <w:pPr>
              <w:jc w:val="left"/>
              <w:rPr>
                <w:b w:val="0"/>
                <w:sz w:val="24"/>
                <w:szCs w:val="24"/>
              </w:rPr>
            </w:pPr>
            <w:r>
              <w:rPr>
                <w:rFonts w:hint="eastAsia"/>
                <w:b w:val="0"/>
                <w:sz w:val="24"/>
                <w:szCs w:val="24"/>
              </w:rPr>
              <w:t>一级指 标</w:t>
            </w:r>
          </w:p>
        </w:tc>
        <w:tc>
          <w:tcPr>
            <w:tcW w:w="926"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382EF58">
            <w:pPr>
              <w:jc w:val="left"/>
              <w:rPr>
                <w:b w:val="0"/>
                <w:sz w:val="24"/>
                <w:szCs w:val="24"/>
              </w:rPr>
            </w:pPr>
            <w:r>
              <w:rPr>
                <w:rFonts w:hint="eastAsia"/>
                <w:b w:val="0"/>
                <w:sz w:val="24"/>
                <w:szCs w:val="24"/>
              </w:rPr>
              <w:t>二级指 标</w:t>
            </w:r>
          </w:p>
        </w:tc>
        <w:tc>
          <w:tcPr>
            <w:tcW w:w="2091"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ABB7209">
            <w:pPr>
              <w:jc w:val="left"/>
              <w:rPr>
                <w:b w:val="0"/>
                <w:sz w:val="24"/>
                <w:szCs w:val="24"/>
              </w:rPr>
            </w:pPr>
            <w:r>
              <w:rPr>
                <w:rFonts w:hint="eastAsia"/>
                <w:b w:val="0"/>
                <w:sz w:val="24"/>
                <w:szCs w:val="24"/>
              </w:rPr>
              <w:t>三 级</w:t>
            </w:r>
          </w:p>
          <w:p w14:paraId="69337A10">
            <w:pPr>
              <w:jc w:val="left"/>
              <w:rPr>
                <w:b w:val="0"/>
                <w:sz w:val="24"/>
                <w:szCs w:val="24"/>
              </w:rPr>
            </w:pPr>
            <w:r>
              <w:rPr>
                <w:rFonts w:hint="eastAsia"/>
                <w:b w:val="0"/>
                <w:sz w:val="24"/>
                <w:szCs w:val="24"/>
              </w:rPr>
              <w:t>指 标</w:t>
            </w:r>
          </w:p>
        </w:tc>
        <w:tc>
          <w:tcPr>
            <w:tcW w:w="912"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ECA6B88">
            <w:pPr>
              <w:jc w:val="left"/>
              <w:rPr>
                <w:b w:val="0"/>
                <w:sz w:val="24"/>
                <w:szCs w:val="24"/>
              </w:rPr>
            </w:pPr>
            <w:r>
              <w:rPr>
                <w:rFonts w:hint="eastAsia"/>
                <w:b w:val="0"/>
                <w:sz w:val="24"/>
                <w:szCs w:val="24"/>
              </w:rPr>
              <w:t>标准分 值</w:t>
            </w:r>
          </w:p>
        </w:tc>
        <w:tc>
          <w:tcPr>
            <w:tcW w:w="2352"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8AAB47B">
            <w:pPr>
              <w:jc w:val="left"/>
              <w:rPr>
                <w:b w:val="0"/>
                <w:sz w:val="24"/>
                <w:szCs w:val="24"/>
              </w:rPr>
            </w:pPr>
            <w:r>
              <w:rPr>
                <w:rFonts w:hint="eastAsia"/>
                <w:b w:val="0"/>
                <w:sz w:val="24"/>
                <w:szCs w:val="24"/>
              </w:rPr>
              <w:t>评价情况</w:t>
            </w:r>
          </w:p>
        </w:tc>
        <w:tc>
          <w:tcPr>
            <w:tcW w:w="912"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B1E52EF">
            <w:pPr>
              <w:jc w:val="left"/>
              <w:rPr>
                <w:b w:val="0"/>
                <w:sz w:val="24"/>
                <w:szCs w:val="24"/>
              </w:rPr>
            </w:pPr>
            <w:r>
              <w:rPr>
                <w:rFonts w:hint="eastAsia"/>
                <w:b w:val="0"/>
                <w:sz w:val="24"/>
                <w:szCs w:val="24"/>
              </w:rPr>
              <w:t>得分</w:t>
            </w:r>
          </w:p>
        </w:tc>
        <w:tc>
          <w:tcPr>
            <w:tcW w:w="912" w:type="dxa"/>
            <w:tcBorders>
              <w:top w:val="single" w:color="000000" w:sz="8" w:space="0"/>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D7BA97F">
            <w:pPr>
              <w:jc w:val="left"/>
              <w:rPr>
                <w:b w:val="0"/>
                <w:sz w:val="24"/>
                <w:szCs w:val="24"/>
              </w:rPr>
            </w:pPr>
            <w:r>
              <w:rPr>
                <w:rFonts w:hint="eastAsia"/>
                <w:b w:val="0"/>
                <w:sz w:val="24"/>
                <w:szCs w:val="24"/>
              </w:rPr>
              <w:t>扣分</w:t>
            </w:r>
          </w:p>
        </w:tc>
      </w:tr>
      <w:tr w14:paraId="242357FF">
        <w:tblPrEx>
          <w:tblCellMar>
            <w:top w:w="0" w:type="dxa"/>
            <w:left w:w="0" w:type="dxa"/>
            <w:bottom w:w="0" w:type="dxa"/>
            <w:right w:w="0" w:type="dxa"/>
          </w:tblCellMar>
        </w:tblPrEx>
        <w:trPr>
          <w:trHeight w:val="3033" w:hRule="atLeast"/>
        </w:trPr>
        <w:tc>
          <w:tcPr>
            <w:tcW w:w="912"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14:paraId="058ADD70">
            <w:pPr>
              <w:jc w:val="left"/>
              <w:rPr>
                <w:b w:val="0"/>
                <w:sz w:val="24"/>
                <w:szCs w:val="24"/>
              </w:rPr>
            </w:pPr>
            <w:r>
              <w:rPr>
                <w:rFonts w:hint="eastAsia"/>
                <w:b w:val="0"/>
                <w:sz w:val="24"/>
                <w:szCs w:val="24"/>
              </w:rPr>
              <w:t>17</w:t>
            </w:r>
          </w:p>
        </w:tc>
        <w:tc>
          <w:tcPr>
            <w:tcW w:w="912" w:type="dxa"/>
            <w:vMerge w:val="restart"/>
            <w:tcBorders>
              <w:top w:val="nil"/>
              <w:left w:val="single" w:color="000000" w:sz="8" w:space="0"/>
              <w:right w:val="single" w:color="000000" w:sz="8" w:space="0"/>
            </w:tcBorders>
            <w:shd w:val="clear" w:color="auto" w:fill="auto"/>
            <w:tcMar>
              <w:top w:w="0" w:type="dxa"/>
              <w:left w:w="108" w:type="dxa"/>
              <w:bottom w:w="0" w:type="dxa"/>
              <w:right w:w="108" w:type="dxa"/>
            </w:tcMar>
            <w:vAlign w:val="center"/>
          </w:tcPr>
          <w:p w14:paraId="010E1ED1">
            <w:pPr>
              <w:jc w:val="left"/>
              <w:rPr>
                <w:b w:val="0"/>
                <w:sz w:val="24"/>
                <w:szCs w:val="24"/>
              </w:rPr>
            </w:pPr>
            <w:r>
              <w:rPr>
                <w:rFonts w:hint="eastAsia"/>
                <w:b w:val="0"/>
                <w:sz w:val="24"/>
                <w:szCs w:val="24"/>
              </w:rPr>
              <w:t>效益指标（30分）</w:t>
            </w:r>
          </w:p>
        </w:tc>
        <w:tc>
          <w:tcPr>
            <w:tcW w:w="92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14:paraId="467BE560">
            <w:pPr>
              <w:jc w:val="left"/>
              <w:rPr>
                <w:b w:val="0"/>
                <w:sz w:val="24"/>
                <w:szCs w:val="24"/>
              </w:rPr>
            </w:pPr>
            <w:r>
              <w:rPr>
                <w:rFonts w:hint="eastAsia"/>
                <w:b w:val="0"/>
                <w:sz w:val="24"/>
                <w:szCs w:val="24"/>
              </w:rPr>
              <w:t>社会效益（6分）</w:t>
            </w:r>
          </w:p>
        </w:tc>
        <w:tc>
          <w:tcPr>
            <w:tcW w:w="209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A11656C">
            <w:pPr>
              <w:jc w:val="left"/>
              <w:rPr>
                <w:b w:val="0"/>
                <w:sz w:val="24"/>
                <w:szCs w:val="24"/>
              </w:rPr>
            </w:pPr>
            <w:r>
              <w:rPr>
                <w:rFonts w:hint="eastAsia"/>
                <w:b w:val="0"/>
                <w:sz w:val="24"/>
                <w:szCs w:val="24"/>
              </w:rPr>
              <w:t>大力响应国家健康中国政策，提高城市整体健康水平的社会效益，其战略发展意义十分深远</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B78A7F4">
            <w:pPr>
              <w:jc w:val="left"/>
              <w:rPr>
                <w:b w:val="0"/>
                <w:sz w:val="24"/>
                <w:szCs w:val="24"/>
              </w:rPr>
            </w:pPr>
            <w:r>
              <w:rPr>
                <w:rFonts w:hint="eastAsia"/>
                <w:b w:val="0"/>
                <w:sz w:val="24"/>
                <w:szCs w:val="24"/>
              </w:rPr>
              <w:t>6</w:t>
            </w:r>
          </w:p>
        </w:tc>
        <w:tc>
          <w:tcPr>
            <w:tcW w:w="235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F48CF03">
            <w:pPr>
              <w:jc w:val="left"/>
              <w:rPr>
                <w:b w:val="0"/>
                <w:sz w:val="24"/>
                <w:szCs w:val="24"/>
              </w:rPr>
            </w:pPr>
            <w:r>
              <w:rPr>
                <w:rFonts w:hint="eastAsia"/>
                <w:b w:val="0"/>
                <w:sz w:val="24"/>
                <w:szCs w:val="24"/>
              </w:rPr>
              <w:t>提高县城公共卫生水平，方便从业人员</w:t>
            </w:r>
            <w:r>
              <w:rPr>
                <w:b w:val="0"/>
                <w:sz w:val="24"/>
                <w:szCs w:val="24"/>
              </w:rPr>
              <w:t>体检</w:t>
            </w:r>
            <w:r>
              <w:rPr>
                <w:rFonts w:hint="eastAsia"/>
                <w:b w:val="0"/>
                <w:sz w:val="24"/>
                <w:szCs w:val="24"/>
              </w:rPr>
              <w:t>，改善体检环境，得6分</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9C9EC4D">
            <w:pPr>
              <w:jc w:val="left"/>
              <w:rPr>
                <w:b w:val="0"/>
                <w:sz w:val="24"/>
                <w:szCs w:val="24"/>
              </w:rPr>
            </w:pPr>
            <w:r>
              <w:rPr>
                <w:rFonts w:hint="eastAsia"/>
                <w:b w:val="0"/>
                <w:sz w:val="24"/>
                <w:szCs w:val="24"/>
              </w:rPr>
              <w:t>6</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C75993F">
            <w:pPr>
              <w:jc w:val="left"/>
              <w:rPr>
                <w:b w:val="0"/>
                <w:sz w:val="24"/>
                <w:szCs w:val="24"/>
              </w:rPr>
            </w:pPr>
            <w:r>
              <w:rPr>
                <w:rFonts w:hint="eastAsia"/>
                <w:b w:val="0"/>
                <w:sz w:val="24"/>
                <w:szCs w:val="24"/>
              </w:rPr>
              <w:t>0</w:t>
            </w:r>
          </w:p>
        </w:tc>
      </w:tr>
      <w:tr w14:paraId="558BEFD6">
        <w:tblPrEx>
          <w:tblCellMar>
            <w:top w:w="0" w:type="dxa"/>
            <w:left w:w="0" w:type="dxa"/>
            <w:bottom w:w="0" w:type="dxa"/>
            <w:right w:w="0" w:type="dxa"/>
          </w:tblCellMar>
        </w:tblPrEx>
        <w:trPr>
          <w:trHeight w:val="1137" w:hRule="atLeast"/>
        </w:trPr>
        <w:tc>
          <w:tcPr>
            <w:tcW w:w="912" w:type="dxa"/>
            <w:tcBorders>
              <w:top w:val="nil"/>
              <w:left w:val="single" w:color="000000" w:sz="8" w:space="0"/>
              <w:bottom w:val="single" w:color="000000" w:sz="8" w:space="0"/>
              <w:right w:val="single" w:color="000000" w:sz="8" w:space="0"/>
            </w:tcBorders>
            <w:shd w:val="clear" w:color="auto" w:fill="auto"/>
            <w:vAlign w:val="center"/>
          </w:tcPr>
          <w:p w14:paraId="023240BB">
            <w:pPr>
              <w:jc w:val="left"/>
              <w:rPr>
                <w:b w:val="0"/>
                <w:sz w:val="24"/>
                <w:szCs w:val="24"/>
              </w:rPr>
            </w:pPr>
            <w:r>
              <w:rPr>
                <w:rFonts w:hint="eastAsia"/>
                <w:b w:val="0"/>
                <w:sz w:val="24"/>
                <w:szCs w:val="24"/>
              </w:rPr>
              <w:t>18</w:t>
            </w:r>
          </w:p>
        </w:tc>
        <w:tc>
          <w:tcPr>
            <w:tcW w:w="912" w:type="dxa"/>
            <w:vMerge w:val="continue"/>
            <w:tcBorders>
              <w:left w:val="single" w:color="000000" w:sz="8" w:space="0"/>
              <w:right w:val="single" w:color="000000" w:sz="8" w:space="0"/>
            </w:tcBorders>
            <w:shd w:val="clear" w:color="auto" w:fill="auto"/>
            <w:vAlign w:val="center"/>
          </w:tcPr>
          <w:p w14:paraId="1A132AC9">
            <w:pPr>
              <w:jc w:val="left"/>
              <w:rPr>
                <w:b w:val="0"/>
                <w:sz w:val="24"/>
                <w:szCs w:val="24"/>
              </w:rPr>
            </w:pPr>
          </w:p>
        </w:tc>
        <w:tc>
          <w:tcPr>
            <w:tcW w:w="92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14:paraId="4F884358">
            <w:pPr>
              <w:jc w:val="left"/>
              <w:rPr>
                <w:b w:val="0"/>
                <w:sz w:val="24"/>
                <w:szCs w:val="24"/>
              </w:rPr>
            </w:pPr>
            <w:r>
              <w:rPr>
                <w:rFonts w:hint="eastAsia"/>
                <w:b w:val="0"/>
                <w:sz w:val="24"/>
                <w:szCs w:val="24"/>
              </w:rPr>
              <w:t>经济效益（6分）</w:t>
            </w:r>
          </w:p>
        </w:tc>
        <w:tc>
          <w:tcPr>
            <w:tcW w:w="209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2790D8A">
            <w:pPr>
              <w:jc w:val="left"/>
              <w:rPr>
                <w:b w:val="0"/>
                <w:sz w:val="24"/>
                <w:szCs w:val="24"/>
              </w:rPr>
            </w:pPr>
            <w:r>
              <w:rPr>
                <w:rFonts w:hint="eastAsia"/>
                <w:b w:val="0"/>
                <w:sz w:val="24"/>
                <w:szCs w:val="24"/>
              </w:rPr>
              <w:t>本项目的实施将推动怀远县的经济发展和城市繁荣。</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99EC0C8">
            <w:pPr>
              <w:jc w:val="left"/>
              <w:rPr>
                <w:b w:val="0"/>
                <w:sz w:val="24"/>
                <w:szCs w:val="24"/>
              </w:rPr>
            </w:pPr>
            <w:r>
              <w:rPr>
                <w:rFonts w:hint="eastAsia"/>
                <w:b w:val="0"/>
                <w:sz w:val="24"/>
                <w:szCs w:val="24"/>
              </w:rPr>
              <w:t>6</w:t>
            </w:r>
          </w:p>
        </w:tc>
        <w:tc>
          <w:tcPr>
            <w:tcW w:w="235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6D3438A">
            <w:pPr>
              <w:jc w:val="left"/>
              <w:rPr>
                <w:b w:val="0"/>
                <w:sz w:val="24"/>
                <w:szCs w:val="24"/>
              </w:rPr>
            </w:pPr>
            <w:r>
              <w:rPr>
                <w:rFonts w:hint="eastAsia"/>
                <w:b w:val="0"/>
                <w:sz w:val="24"/>
                <w:szCs w:val="24"/>
              </w:rPr>
              <w:t>项目实施</w:t>
            </w:r>
            <w:r>
              <w:rPr>
                <w:b w:val="0"/>
                <w:sz w:val="24"/>
                <w:szCs w:val="24"/>
              </w:rPr>
              <w:t>有助于有关行业从业人员的</w:t>
            </w:r>
            <w:r>
              <w:rPr>
                <w:rFonts w:hint="eastAsia"/>
                <w:b w:val="0"/>
                <w:sz w:val="24"/>
                <w:szCs w:val="24"/>
              </w:rPr>
              <w:t>就业，得6分</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A4A74FC">
            <w:pPr>
              <w:jc w:val="left"/>
              <w:rPr>
                <w:b w:val="0"/>
                <w:sz w:val="24"/>
                <w:szCs w:val="24"/>
              </w:rPr>
            </w:pPr>
            <w:r>
              <w:rPr>
                <w:rFonts w:hint="eastAsia"/>
                <w:b w:val="0"/>
                <w:sz w:val="24"/>
                <w:szCs w:val="24"/>
              </w:rPr>
              <w:t>6</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5CFC7E9">
            <w:pPr>
              <w:jc w:val="left"/>
              <w:rPr>
                <w:b w:val="0"/>
                <w:sz w:val="24"/>
                <w:szCs w:val="24"/>
              </w:rPr>
            </w:pPr>
            <w:r>
              <w:rPr>
                <w:rFonts w:hint="eastAsia"/>
                <w:b w:val="0"/>
                <w:sz w:val="24"/>
                <w:szCs w:val="24"/>
              </w:rPr>
              <w:t>0</w:t>
            </w:r>
          </w:p>
        </w:tc>
      </w:tr>
      <w:tr w14:paraId="7BFE77D9">
        <w:tblPrEx>
          <w:tblCellMar>
            <w:top w:w="0" w:type="dxa"/>
            <w:left w:w="0" w:type="dxa"/>
            <w:bottom w:w="0" w:type="dxa"/>
            <w:right w:w="0" w:type="dxa"/>
          </w:tblCellMar>
        </w:tblPrEx>
        <w:trPr>
          <w:trHeight w:val="1137" w:hRule="atLeast"/>
        </w:trPr>
        <w:tc>
          <w:tcPr>
            <w:tcW w:w="912" w:type="dxa"/>
            <w:tcBorders>
              <w:top w:val="nil"/>
              <w:left w:val="single" w:color="000000" w:sz="8" w:space="0"/>
              <w:bottom w:val="single" w:color="000000" w:sz="8" w:space="0"/>
              <w:right w:val="single" w:color="000000" w:sz="8" w:space="0"/>
            </w:tcBorders>
            <w:shd w:val="clear" w:color="auto" w:fill="auto"/>
            <w:vAlign w:val="center"/>
          </w:tcPr>
          <w:p w14:paraId="39B8E3BE">
            <w:pPr>
              <w:jc w:val="left"/>
              <w:rPr>
                <w:b w:val="0"/>
                <w:sz w:val="24"/>
                <w:szCs w:val="24"/>
              </w:rPr>
            </w:pPr>
            <w:r>
              <w:rPr>
                <w:rFonts w:hint="eastAsia"/>
                <w:b w:val="0"/>
                <w:sz w:val="24"/>
                <w:szCs w:val="24"/>
              </w:rPr>
              <w:t>19</w:t>
            </w:r>
          </w:p>
        </w:tc>
        <w:tc>
          <w:tcPr>
            <w:tcW w:w="912" w:type="dxa"/>
            <w:vMerge w:val="continue"/>
            <w:tcBorders>
              <w:left w:val="single" w:color="000000" w:sz="8" w:space="0"/>
              <w:right w:val="single" w:color="000000" w:sz="8" w:space="0"/>
            </w:tcBorders>
            <w:shd w:val="clear" w:color="auto" w:fill="auto"/>
            <w:vAlign w:val="center"/>
          </w:tcPr>
          <w:p w14:paraId="729DDCCF">
            <w:pPr>
              <w:jc w:val="left"/>
              <w:rPr>
                <w:b w:val="0"/>
                <w:sz w:val="24"/>
                <w:szCs w:val="24"/>
              </w:rPr>
            </w:pPr>
          </w:p>
        </w:tc>
        <w:tc>
          <w:tcPr>
            <w:tcW w:w="92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14:paraId="5E1038A5">
            <w:pPr>
              <w:jc w:val="left"/>
              <w:rPr>
                <w:b w:val="0"/>
                <w:sz w:val="24"/>
                <w:szCs w:val="24"/>
              </w:rPr>
            </w:pPr>
            <w:r>
              <w:rPr>
                <w:rFonts w:hint="eastAsia"/>
                <w:b w:val="0"/>
                <w:sz w:val="24"/>
                <w:szCs w:val="24"/>
              </w:rPr>
              <w:t>生态效益（6分）</w:t>
            </w:r>
          </w:p>
        </w:tc>
        <w:tc>
          <w:tcPr>
            <w:tcW w:w="209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7F1CC50">
            <w:pPr>
              <w:jc w:val="left"/>
              <w:rPr>
                <w:b w:val="0"/>
                <w:sz w:val="24"/>
                <w:szCs w:val="24"/>
              </w:rPr>
            </w:pPr>
            <w:r>
              <w:rPr>
                <w:rFonts w:hint="eastAsia"/>
                <w:b w:val="0"/>
                <w:sz w:val="24"/>
                <w:szCs w:val="24"/>
              </w:rPr>
              <w:t>相应国家政策，推动节能减排、提升城市品位、提高照明质量</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D7DBDA4">
            <w:pPr>
              <w:jc w:val="left"/>
              <w:rPr>
                <w:b w:val="0"/>
                <w:sz w:val="24"/>
                <w:szCs w:val="24"/>
              </w:rPr>
            </w:pPr>
            <w:r>
              <w:rPr>
                <w:rFonts w:hint="eastAsia"/>
                <w:b w:val="0"/>
                <w:sz w:val="24"/>
                <w:szCs w:val="24"/>
              </w:rPr>
              <w:t>6</w:t>
            </w:r>
          </w:p>
        </w:tc>
        <w:tc>
          <w:tcPr>
            <w:tcW w:w="235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63703EFE">
            <w:pPr>
              <w:jc w:val="left"/>
              <w:rPr>
                <w:b w:val="0"/>
                <w:sz w:val="24"/>
                <w:szCs w:val="24"/>
              </w:rPr>
            </w:pPr>
            <w:r>
              <w:rPr>
                <w:rFonts w:hint="eastAsia"/>
                <w:b w:val="0"/>
                <w:sz w:val="24"/>
                <w:szCs w:val="24"/>
              </w:rPr>
              <w:t>本项目的实施将有力的促进和改善怀远县</w:t>
            </w:r>
            <w:r>
              <w:rPr>
                <w:b w:val="0"/>
                <w:sz w:val="24"/>
                <w:szCs w:val="24"/>
              </w:rPr>
              <w:t>就业</w:t>
            </w:r>
            <w:r>
              <w:rPr>
                <w:rFonts w:hint="eastAsia"/>
                <w:b w:val="0"/>
                <w:sz w:val="24"/>
                <w:szCs w:val="24"/>
              </w:rPr>
              <w:t>健康</w:t>
            </w:r>
            <w:r>
              <w:rPr>
                <w:b w:val="0"/>
                <w:sz w:val="24"/>
                <w:szCs w:val="24"/>
              </w:rPr>
              <w:t>环境</w:t>
            </w:r>
            <w:r>
              <w:rPr>
                <w:rFonts w:hint="eastAsia"/>
                <w:b w:val="0"/>
                <w:sz w:val="24"/>
                <w:szCs w:val="24"/>
              </w:rPr>
              <w:t>，推动怀远县的经济发展和城市繁荣。</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044CDACC">
            <w:pPr>
              <w:jc w:val="left"/>
              <w:rPr>
                <w:b w:val="0"/>
                <w:sz w:val="24"/>
                <w:szCs w:val="24"/>
              </w:rPr>
            </w:pPr>
            <w:r>
              <w:rPr>
                <w:rFonts w:hint="eastAsia"/>
                <w:b w:val="0"/>
                <w:sz w:val="24"/>
                <w:szCs w:val="24"/>
              </w:rPr>
              <w:t>6</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E0DA218">
            <w:pPr>
              <w:jc w:val="left"/>
              <w:rPr>
                <w:b w:val="0"/>
                <w:sz w:val="24"/>
                <w:szCs w:val="24"/>
              </w:rPr>
            </w:pPr>
            <w:r>
              <w:rPr>
                <w:rFonts w:hint="eastAsia"/>
                <w:b w:val="0"/>
                <w:sz w:val="24"/>
                <w:szCs w:val="24"/>
              </w:rPr>
              <w:t>0</w:t>
            </w:r>
          </w:p>
        </w:tc>
      </w:tr>
      <w:tr w14:paraId="0106FC5B">
        <w:tblPrEx>
          <w:tblCellMar>
            <w:top w:w="0" w:type="dxa"/>
            <w:left w:w="0" w:type="dxa"/>
            <w:bottom w:w="0" w:type="dxa"/>
            <w:right w:w="0" w:type="dxa"/>
          </w:tblCellMar>
        </w:tblPrEx>
        <w:trPr>
          <w:trHeight w:val="1365" w:hRule="atLeast"/>
        </w:trPr>
        <w:tc>
          <w:tcPr>
            <w:tcW w:w="912" w:type="dxa"/>
            <w:tcBorders>
              <w:top w:val="nil"/>
              <w:left w:val="single" w:color="000000" w:sz="8" w:space="0"/>
              <w:bottom w:val="single" w:color="000000" w:sz="8" w:space="0"/>
              <w:right w:val="single" w:color="000000" w:sz="8" w:space="0"/>
            </w:tcBorders>
            <w:shd w:val="clear" w:color="auto" w:fill="auto"/>
            <w:vAlign w:val="center"/>
          </w:tcPr>
          <w:p w14:paraId="6CB553D1">
            <w:pPr>
              <w:jc w:val="left"/>
              <w:rPr>
                <w:b w:val="0"/>
                <w:sz w:val="24"/>
                <w:szCs w:val="24"/>
              </w:rPr>
            </w:pPr>
            <w:r>
              <w:rPr>
                <w:rFonts w:hint="eastAsia"/>
                <w:b w:val="0"/>
                <w:sz w:val="24"/>
                <w:szCs w:val="24"/>
              </w:rPr>
              <w:t>20</w:t>
            </w:r>
          </w:p>
        </w:tc>
        <w:tc>
          <w:tcPr>
            <w:tcW w:w="912" w:type="dxa"/>
            <w:vMerge w:val="continue"/>
            <w:tcBorders>
              <w:left w:val="single" w:color="000000" w:sz="8" w:space="0"/>
              <w:right w:val="single" w:color="000000" w:sz="8" w:space="0"/>
            </w:tcBorders>
            <w:shd w:val="clear" w:color="auto" w:fill="auto"/>
            <w:vAlign w:val="center"/>
          </w:tcPr>
          <w:p w14:paraId="18255531">
            <w:pPr>
              <w:jc w:val="left"/>
              <w:rPr>
                <w:b w:val="0"/>
                <w:sz w:val="24"/>
                <w:szCs w:val="24"/>
              </w:rPr>
            </w:pPr>
          </w:p>
        </w:tc>
        <w:tc>
          <w:tcPr>
            <w:tcW w:w="92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14:paraId="3CE0ECBE">
            <w:pPr>
              <w:jc w:val="left"/>
              <w:rPr>
                <w:b w:val="0"/>
                <w:sz w:val="24"/>
                <w:szCs w:val="24"/>
              </w:rPr>
            </w:pPr>
            <w:r>
              <w:rPr>
                <w:rFonts w:hint="eastAsia"/>
                <w:b w:val="0"/>
                <w:sz w:val="24"/>
                <w:szCs w:val="24"/>
              </w:rPr>
              <w:t>可持续影响指标（6分）</w:t>
            </w:r>
          </w:p>
        </w:tc>
        <w:tc>
          <w:tcPr>
            <w:tcW w:w="209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1B3D5C56">
            <w:pPr>
              <w:jc w:val="left"/>
              <w:rPr>
                <w:b w:val="0"/>
                <w:sz w:val="24"/>
                <w:szCs w:val="24"/>
              </w:rPr>
            </w:pPr>
            <w:r>
              <w:rPr>
                <w:rFonts w:hint="eastAsia"/>
                <w:b w:val="0"/>
                <w:sz w:val="24"/>
                <w:szCs w:val="24"/>
              </w:rPr>
              <w:t>从业人员预防性体检是利国利民的政府公益事业</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107C672">
            <w:pPr>
              <w:jc w:val="left"/>
              <w:rPr>
                <w:b w:val="0"/>
                <w:sz w:val="24"/>
                <w:szCs w:val="24"/>
              </w:rPr>
            </w:pPr>
            <w:r>
              <w:rPr>
                <w:rFonts w:hint="eastAsia"/>
                <w:b w:val="0"/>
                <w:sz w:val="24"/>
                <w:szCs w:val="24"/>
              </w:rPr>
              <w:t>6</w:t>
            </w:r>
          </w:p>
        </w:tc>
        <w:tc>
          <w:tcPr>
            <w:tcW w:w="235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0DB2323">
            <w:pPr>
              <w:jc w:val="left"/>
              <w:rPr>
                <w:b w:val="0"/>
                <w:sz w:val="24"/>
                <w:szCs w:val="24"/>
              </w:rPr>
            </w:pPr>
            <w:r>
              <w:rPr>
                <w:rFonts w:hint="eastAsia"/>
                <w:b w:val="0"/>
                <w:sz w:val="24"/>
                <w:szCs w:val="24"/>
              </w:rPr>
              <w:t>完善县城功能、提升县城健康水平、改善县城服务环境，促进县城经济社会全面协调可持续发展</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AAF1879">
            <w:pPr>
              <w:jc w:val="left"/>
              <w:rPr>
                <w:b w:val="0"/>
                <w:sz w:val="24"/>
                <w:szCs w:val="24"/>
              </w:rPr>
            </w:pPr>
            <w:r>
              <w:rPr>
                <w:rFonts w:hint="eastAsia"/>
                <w:b w:val="0"/>
                <w:sz w:val="24"/>
                <w:szCs w:val="24"/>
              </w:rPr>
              <w:t>6</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26C38EF6">
            <w:pPr>
              <w:jc w:val="left"/>
              <w:rPr>
                <w:b w:val="0"/>
                <w:sz w:val="24"/>
                <w:szCs w:val="24"/>
              </w:rPr>
            </w:pPr>
            <w:r>
              <w:rPr>
                <w:rFonts w:hint="eastAsia"/>
                <w:b w:val="0"/>
                <w:sz w:val="24"/>
                <w:szCs w:val="24"/>
              </w:rPr>
              <w:t>0</w:t>
            </w:r>
          </w:p>
        </w:tc>
      </w:tr>
      <w:tr w14:paraId="7926B828">
        <w:tblPrEx>
          <w:tblCellMar>
            <w:top w:w="0" w:type="dxa"/>
            <w:left w:w="0" w:type="dxa"/>
            <w:bottom w:w="0" w:type="dxa"/>
            <w:right w:w="0" w:type="dxa"/>
          </w:tblCellMar>
        </w:tblPrEx>
        <w:trPr>
          <w:trHeight w:val="1365" w:hRule="atLeast"/>
        </w:trPr>
        <w:tc>
          <w:tcPr>
            <w:tcW w:w="912" w:type="dxa"/>
            <w:tcBorders>
              <w:top w:val="nil"/>
              <w:left w:val="single" w:color="000000" w:sz="8" w:space="0"/>
              <w:bottom w:val="single" w:color="000000" w:sz="8" w:space="0"/>
              <w:right w:val="single" w:color="000000" w:sz="8" w:space="0"/>
            </w:tcBorders>
            <w:shd w:val="clear" w:color="auto" w:fill="auto"/>
            <w:vAlign w:val="center"/>
          </w:tcPr>
          <w:p w14:paraId="337148AA">
            <w:pPr>
              <w:jc w:val="left"/>
              <w:rPr>
                <w:b w:val="0"/>
                <w:sz w:val="24"/>
                <w:szCs w:val="24"/>
              </w:rPr>
            </w:pPr>
            <w:r>
              <w:rPr>
                <w:rFonts w:hint="eastAsia"/>
                <w:b w:val="0"/>
                <w:sz w:val="24"/>
                <w:szCs w:val="24"/>
              </w:rPr>
              <w:t>21</w:t>
            </w:r>
          </w:p>
        </w:tc>
        <w:tc>
          <w:tcPr>
            <w:tcW w:w="912" w:type="dxa"/>
            <w:vMerge w:val="continue"/>
            <w:tcBorders>
              <w:left w:val="single" w:color="000000" w:sz="8" w:space="0"/>
              <w:bottom w:val="single" w:color="000000" w:sz="8" w:space="0"/>
              <w:right w:val="single" w:color="000000" w:sz="8" w:space="0"/>
            </w:tcBorders>
            <w:shd w:val="clear" w:color="auto" w:fill="auto"/>
            <w:vAlign w:val="center"/>
          </w:tcPr>
          <w:p w14:paraId="14132F06">
            <w:pPr>
              <w:jc w:val="left"/>
              <w:rPr>
                <w:b w:val="0"/>
                <w:sz w:val="24"/>
                <w:szCs w:val="24"/>
              </w:rPr>
            </w:pPr>
          </w:p>
        </w:tc>
        <w:tc>
          <w:tcPr>
            <w:tcW w:w="92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14:paraId="13A4AF47">
            <w:pPr>
              <w:jc w:val="left"/>
              <w:rPr>
                <w:b w:val="0"/>
                <w:sz w:val="24"/>
                <w:szCs w:val="24"/>
              </w:rPr>
            </w:pPr>
            <w:r>
              <w:rPr>
                <w:rFonts w:hint="eastAsia"/>
                <w:b w:val="0"/>
                <w:sz w:val="24"/>
                <w:szCs w:val="24"/>
              </w:rPr>
              <w:t>满意度（6分）</w:t>
            </w:r>
          </w:p>
        </w:tc>
        <w:tc>
          <w:tcPr>
            <w:tcW w:w="2091"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642534B">
            <w:pPr>
              <w:jc w:val="left"/>
              <w:rPr>
                <w:b w:val="0"/>
                <w:sz w:val="24"/>
                <w:szCs w:val="24"/>
              </w:rPr>
            </w:pPr>
            <w:r>
              <w:rPr>
                <w:rFonts w:hint="eastAsia"/>
                <w:b w:val="0"/>
                <w:sz w:val="24"/>
                <w:szCs w:val="24"/>
              </w:rPr>
              <w:t>项目受益企业及</w:t>
            </w:r>
            <w:r>
              <w:rPr>
                <w:b w:val="0"/>
                <w:sz w:val="24"/>
                <w:szCs w:val="24"/>
              </w:rPr>
              <w:t>从业人员</w:t>
            </w:r>
            <w:r>
              <w:rPr>
                <w:rFonts w:hint="eastAsia"/>
                <w:b w:val="0"/>
                <w:sz w:val="24"/>
                <w:szCs w:val="24"/>
              </w:rPr>
              <w:t>满意度</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5A5D4713">
            <w:pPr>
              <w:jc w:val="left"/>
              <w:rPr>
                <w:b w:val="0"/>
                <w:sz w:val="24"/>
                <w:szCs w:val="24"/>
              </w:rPr>
            </w:pPr>
            <w:r>
              <w:rPr>
                <w:rFonts w:hint="eastAsia"/>
                <w:b w:val="0"/>
                <w:sz w:val="24"/>
                <w:szCs w:val="24"/>
              </w:rPr>
              <w:t>6</w:t>
            </w:r>
          </w:p>
        </w:tc>
        <w:tc>
          <w:tcPr>
            <w:tcW w:w="235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332E47AF">
            <w:pPr>
              <w:jc w:val="left"/>
              <w:rPr>
                <w:b w:val="0"/>
                <w:sz w:val="24"/>
                <w:szCs w:val="24"/>
              </w:rPr>
            </w:pPr>
            <w:r>
              <w:rPr>
                <w:rFonts w:hint="eastAsia"/>
                <w:b w:val="0"/>
                <w:sz w:val="24"/>
                <w:szCs w:val="24"/>
              </w:rPr>
              <w:t>满意度89%，得4.5分。</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769D1A43">
            <w:pPr>
              <w:jc w:val="left"/>
              <w:rPr>
                <w:b w:val="0"/>
                <w:sz w:val="24"/>
                <w:szCs w:val="24"/>
              </w:rPr>
            </w:pPr>
            <w:r>
              <w:rPr>
                <w:rFonts w:hint="eastAsia"/>
                <w:b w:val="0"/>
                <w:sz w:val="24"/>
                <w:szCs w:val="24"/>
              </w:rPr>
              <w:t>4.5</w:t>
            </w:r>
          </w:p>
        </w:tc>
        <w:tc>
          <w:tcPr>
            <w:tcW w:w="912" w:type="dxa"/>
            <w:tcBorders>
              <w:top w:val="nil"/>
              <w:left w:val="nil"/>
              <w:bottom w:val="single" w:color="000000" w:sz="8" w:space="0"/>
              <w:right w:val="single" w:color="000000" w:sz="8" w:space="0"/>
            </w:tcBorders>
            <w:shd w:val="clear" w:color="auto" w:fill="FFFFFF"/>
            <w:tcMar>
              <w:top w:w="0" w:type="dxa"/>
              <w:left w:w="108" w:type="dxa"/>
              <w:bottom w:w="0" w:type="dxa"/>
              <w:right w:w="108" w:type="dxa"/>
            </w:tcMar>
            <w:vAlign w:val="center"/>
          </w:tcPr>
          <w:p w14:paraId="4D27EB3C">
            <w:pPr>
              <w:jc w:val="left"/>
              <w:rPr>
                <w:b w:val="0"/>
                <w:sz w:val="24"/>
                <w:szCs w:val="24"/>
              </w:rPr>
            </w:pPr>
            <w:r>
              <w:rPr>
                <w:rFonts w:hint="eastAsia"/>
                <w:b w:val="0"/>
                <w:sz w:val="24"/>
                <w:szCs w:val="24"/>
              </w:rPr>
              <w:t>1.5</w:t>
            </w:r>
          </w:p>
        </w:tc>
      </w:tr>
      <w:tr w14:paraId="607C1A94">
        <w:tblPrEx>
          <w:tblCellMar>
            <w:top w:w="0" w:type="dxa"/>
            <w:left w:w="0" w:type="dxa"/>
            <w:bottom w:w="0" w:type="dxa"/>
            <w:right w:w="0" w:type="dxa"/>
          </w:tblCellMar>
        </w:tblPrEx>
        <w:trPr>
          <w:trHeight w:val="672" w:hRule="atLeast"/>
        </w:trPr>
        <w:tc>
          <w:tcPr>
            <w:tcW w:w="912" w:type="dxa"/>
            <w:tcBorders>
              <w:top w:val="nil"/>
              <w:left w:val="single" w:color="000000" w:sz="8" w:space="0"/>
              <w:bottom w:val="nil"/>
              <w:right w:val="single" w:color="000000" w:sz="8" w:space="0"/>
            </w:tcBorders>
            <w:shd w:val="clear" w:color="auto" w:fill="auto"/>
            <w:tcMar>
              <w:top w:w="0" w:type="dxa"/>
              <w:left w:w="108" w:type="dxa"/>
              <w:bottom w:w="0" w:type="dxa"/>
              <w:right w:w="108" w:type="dxa"/>
            </w:tcMar>
            <w:vAlign w:val="center"/>
          </w:tcPr>
          <w:p w14:paraId="274AC17F">
            <w:pPr>
              <w:jc w:val="left"/>
              <w:rPr>
                <w:b w:val="0"/>
                <w:sz w:val="24"/>
                <w:szCs w:val="24"/>
              </w:rPr>
            </w:pPr>
          </w:p>
        </w:tc>
        <w:tc>
          <w:tcPr>
            <w:tcW w:w="7193" w:type="dxa"/>
            <w:gridSpan w:val="5"/>
            <w:tcBorders>
              <w:top w:val="nil"/>
              <w:left w:val="single" w:color="000000" w:sz="8" w:space="0"/>
              <w:bottom w:val="nil"/>
              <w:right w:val="single" w:color="000000" w:sz="8" w:space="0"/>
            </w:tcBorders>
            <w:shd w:val="clear" w:color="auto" w:fill="auto"/>
            <w:tcMar>
              <w:top w:w="0" w:type="dxa"/>
              <w:left w:w="108" w:type="dxa"/>
              <w:bottom w:w="0" w:type="dxa"/>
              <w:right w:w="108" w:type="dxa"/>
            </w:tcMar>
            <w:vAlign w:val="center"/>
          </w:tcPr>
          <w:p w14:paraId="11A4DCEC">
            <w:pPr>
              <w:jc w:val="left"/>
              <w:rPr>
                <w:b w:val="0"/>
                <w:sz w:val="24"/>
                <w:szCs w:val="24"/>
              </w:rPr>
            </w:pPr>
            <w:r>
              <w:rPr>
                <w:rFonts w:hint="eastAsia"/>
                <w:b w:val="0"/>
                <w:sz w:val="24"/>
                <w:szCs w:val="24"/>
              </w:rPr>
              <w:t>小计</w:t>
            </w:r>
          </w:p>
        </w:tc>
        <w:tc>
          <w:tcPr>
            <w:tcW w:w="912" w:type="dxa"/>
            <w:tcBorders>
              <w:top w:val="nil"/>
              <w:left w:val="nil"/>
              <w:bottom w:val="nil"/>
              <w:right w:val="single" w:color="000000" w:sz="8" w:space="0"/>
            </w:tcBorders>
            <w:shd w:val="clear" w:color="auto" w:fill="FFFFFF"/>
            <w:tcMar>
              <w:top w:w="0" w:type="dxa"/>
              <w:left w:w="108" w:type="dxa"/>
              <w:bottom w:w="0" w:type="dxa"/>
              <w:right w:w="108" w:type="dxa"/>
            </w:tcMar>
            <w:vAlign w:val="center"/>
          </w:tcPr>
          <w:p w14:paraId="17ADDD88">
            <w:pPr>
              <w:jc w:val="left"/>
              <w:rPr>
                <w:b w:val="0"/>
                <w:sz w:val="24"/>
                <w:szCs w:val="24"/>
              </w:rPr>
            </w:pPr>
            <w:r>
              <w:rPr>
                <w:rFonts w:hint="eastAsia"/>
                <w:b w:val="0"/>
                <w:sz w:val="24"/>
                <w:szCs w:val="24"/>
              </w:rPr>
              <w:t>28.5</w:t>
            </w:r>
          </w:p>
        </w:tc>
        <w:tc>
          <w:tcPr>
            <w:tcW w:w="912" w:type="dxa"/>
            <w:tcBorders>
              <w:top w:val="nil"/>
              <w:left w:val="nil"/>
              <w:bottom w:val="nil"/>
              <w:right w:val="single" w:color="000000" w:sz="8" w:space="0"/>
            </w:tcBorders>
            <w:shd w:val="clear" w:color="auto" w:fill="FFFFFF"/>
            <w:tcMar>
              <w:top w:w="0" w:type="dxa"/>
              <w:left w:w="108" w:type="dxa"/>
              <w:bottom w:w="0" w:type="dxa"/>
              <w:right w:w="108" w:type="dxa"/>
            </w:tcMar>
            <w:vAlign w:val="center"/>
          </w:tcPr>
          <w:p w14:paraId="6B69C61D">
            <w:pPr>
              <w:jc w:val="left"/>
              <w:rPr>
                <w:b w:val="0"/>
                <w:sz w:val="24"/>
                <w:szCs w:val="24"/>
              </w:rPr>
            </w:pPr>
            <w:r>
              <w:rPr>
                <w:rFonts w:hint="eastAsia"/>
                <w:b w:val="0"/>
                <w:sz w:val="24"/>
                <w:szCs w:val="24"/>
              </w:rPr>
              <w:t>1.5</w:t>
            </w:r>
          </w:p>
        </w:tc>
      </w:tr>
    </w:tbl>
    <w:p w14:paraId="2E4864F2">
      <w:pPr>
        <w:widowControl w:val="0"/>
        <w:shd w:val="clear" w:color="auto" w:fill="auto"/>
        <w:spacing w:line="560" w:lineRule="exact"/>
        <w:ind w:firstLine="480" w:firstLineChars="200"/>
        <w:jc w:val="both"/>
        <w:rPr>
          <w:b w:val="0"/>
          <w:sz w:val="24"/>
          <w:szCs w:val="24"/>
        </w:rPr>
      </w:pPr>
      <w:bookmarkStart w:id="84" w:name="_Toc6924"/>
      <w:bookmarkStart w:id="85" w:name="_Toc4495"/>
      <w:r>
        <w:rPr>
          <w:rFonts w:hint="eastAsia"/>
          <w:b w:val="0"/>
          <w:sz w:val="24"/>
          <w:szCs w:val="24"/>
        </w:rPr>
        <w:t>1、社会效益（满分6分，实得6分）</w:t>
      </w:r>
      <w:bookmarkEnd w:id="84"/>
      <w:bookmarkEnd w:id="85"/>
    </w:p>
    <w:p w14:paraId="479E02DF">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指标解释：项目实施对经济发展所带来的直接或间接影响情况。</w:t>
      </w:r>
    </w:p>
    <w:p w14:paraId="578733AE">
      <w:pPr>
        <w:widowControl w:val="0"/>
        <w:shd w:val="clear" w:color="auto" w:fill="auto"/>
        <w:spacing w:line="560" w:lineRule="exact"/>
        <w:ind w:firstLine="480" w:firstLineChars="200"/>
        <w:jc w:val="both"/>
        <w:rPr>
          <w:b w:val="0"/>
          <w:sz w:val="24"/>
          <w:szCs w:val="24"/>
        </w:rPr>
      </w:pPr>
      <w:r>
        <w:rPr>
          <w:rFonts w:hint="eastAsia"/>
          <w:b w:val="0"/>
          <w:sz w:val="24"/>
          <w:szCs w:val="24"/>
        </w:rPr>
        <w:t>通过辖区内从事食品和生活饮用水生产经营人员；直接从事化妆品和消毒生产的人员；从事药品、保健品销售人员；公共场所直接为顾客服务人员开展预防性</w:t>
      </w:r>
      <w:r>
        <w:rPr>
          <w:b w:val="0"/>
          <w:sz w:val="24"/>
          <w:szCs w:val="24"/>
        </w:rPr>
        <w:t>体检，</w:t>
      </w:r>
      <w:r>
        <w:rPr>
          <w:rFonts w:hint="eastAsia"/>
          <w:b w:val="0"/>
          <w:sz w:val="24"/>
          <w:szCs w:val="24"/>
        </w:rPr>
        <w:t>营造一个健康的公共空间，改善县城卫生环境，提高人们的生活质量，促进县城卫生健康社会全面协调可持续发展，具有重要的现实和历史意义，对社会效益产生大幅度影响还有待进一步拓展。社会效益指标实际得分6分。</w:t>
      </w:r>
    </w:p>
    <w:p w14:paraId="5A9F606B">
      <w:pPr>
        <w:widowControl w:val="0"/>
        <w:shd w:val="clear" w:color="auto" w:fill="auto"/>
        <w:spacing w:line="560" w:lineRule="exact"/>
        <w:ind w:firstLine="480" w:firstLineChars="200"/>
        <w:jc w:val="both"/>
        <w:rPr>
          <w:b w:val="0"/>
          <w:sz w:val="24"/>
          <w:szCs w:val="24"/>
        </w:rPr>
      </w:pPr>
      <w:bookmarkStart w:id="86" w:name="_Toc28370"/>
      <w:bookmarkStart w:id="87" w:name="_Toc12852"/>
      <w:bookmarkStart w:id="88" w:name="_Toc15316"/>
      <w:r>
        <w:rPr>
          <w:rFonts w:hint="eastAsia"/>
          <w:b w:val="0"/>
          <w:sz w:val="24"/>
          <w:szCs w:val="24"/>
        </w:rPr>
        <w:t>2、经济效益（满分6分，实得6分）</w:t>
      </w:r>
      <w:bookmarkEnd w:id="86"/>
      <w:bookmarkEnd w:id="87"/>
      <w:bookmarkEnd w:id="88"/>
    </w:p>
    <w:p w14:paraId="1634A849">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指标解释：项目实施对社会发展所带来的直接或间接影响情况。</w:t>
      </w:r>
    </w:p>
    <w:p w14:paraId="207EAAE2">
      <w:pPr>
        <w:widowControl w:val="0"/>
        <w:shd w:val="clear" w:color="auto" w:fill="auto"/>
        <w:spacing w:line="560" w:lineRule="exact"/>
        <w:ind w:firstLine="480" w:firstLineChars="200"/>
        <w:jc w:val="both"/>
        <w:rPr>
          <w:b w:val="0"/>
          <w:sz w:val="24"/>
          <w:szCs w:val="24"/>
        </w:rPr>
      </w:pPr>
      <w:r>
        <w:rPr>
          <w:rFonts w:hint="eastAsia"/>
          <w:b w:val="0"/>
          <w:sz w:val="24"/>
          <w:szCs w:val="24"/>
        </w:rPr>
        <w:t>项目实施对提高从事食品、饮用水生产经营、化妆品生产，公共场所中的桑拿、洗浴、交际场所（茶室、酒吧、咖啡馆）、文化娱乐场所（歌舞厅、夜总会、卡拉OK厅、KTV量贩）、美容美发厅（室）、旅店业、游泳场所等从业</w:t>
      </w:r>
      <w:r>
        <w:rPr>
          <w:b w:val="0"/>
          <w:sz w:val="24"/>
          <w:szCs w:val="24"/>
        </w:rPr>
        <w:t>岗位</w:t>
      </w:r>
      <w:r>
        <w:rPr>
          <w:rFonts w:hint="eastAsia"/>
          <w:b w:val="0"/>
          <w:sz w:val="24"/>
          <w:szCs w:val="24"/>
        </w:rPr>
        <w:t>积极性有重大影响，对地方经济增长影响有待提高。该指标实际得分为6分。</w:t>
      </w:r>
    </w:p>
    <w:p w14:paraId="4AFDB63B">
      <w:pPr>
        <w:widowControl w:val="0"/>
        <w:shd w:val="clear" w:color="auto" w:fill="auto"/>
        <w:spacing w:line="560" w:lineRule="exact"/>
        <w:ind w:firstLine="480" w:firstLineChars="200"/>
        <w:jc w:val="both"/>
        <w:rPr>
          <w:b w:val="0"/>
          <w:sz w:val="24"/>
          <w:szCs w:val="24"/>
        </w:rPr>
      </w:pPr>
      <w:bookmarkStart w:id="89" w:name="_Toc13312"/>
      <w:bookmarkStart w:id="90" w:name="_Toc8967"/>
      <w:bookmarkStart w:id="91" w:name="_Toc29189"/>
      <w:r>
        <w:rPr>
          <w:rFonts w:hint="eastAsia"/>
          <w:b w:val="0"/>
          <w:sz w:val="24"/>
          <w:szCs w:val="24"/>
        </w:rPr>
        <w:t>3、生态效益（6分，实得6分）</w:t>
      </w:r>
      <w:bookmarkEnd w:id="89"/>
      <w:bookmarkEnd w:id="90"/>
      <w:bookmarkEnd w:id="91"/>
    </w:p>
    <w:p w14:paraId="47CC41F1">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指标解释：项目实施对生态环境所带来的直接或间接影响情况。</w:t>
      </w:r>
    </w:p>
    <w:p w14:paraId="69DE736A">
      <w:pPr>
        <w:widowControl w:val="0"/>
        <w:shd w:val="clear" w:color="auto" w:fill="auto"/>
        <w:spacing w:line="560" w:lineRule="exact"/>
        <w:ind w:firstLine="480" w:firstLineChars="200"/>
        <w:jc w:val="both"/>
        <w:rPr>
          <w:b w:val="0"/>
          <w:sz w:val="24"/>
          <w:szCs w:val="24"/>
        </w:rPr>
      </w:pPr>
      <w:r>
        <w:rPr>
          <w:rFonts w:hint="eastAsia"/>
          <w:b w:val="0"/>
          <w:sz w:val="24"/>
          <w:szCs w:val="24"/>
        </w:rPr>
        <w:t>项目的实施将改善公共卫生场所与城市健康水平不协调的状况，相关从业人员健康状况，与老百姓的身心健康息息相关为老百姓的日常生活及消费提供健康保障。有利于和谐社会的构建。得6分。</w:t>
      </w:r>
    </w:p>
    <w:p w14:paraId="3E92531A">
      <w:pPr>
        <w:widowControl w:val="0"/>
        <w:shd w:val="clear" w:color="auto" w:fill="auto"/>
        <w:spacing w:line="560" w:lineRule="exact"/>
        <w:ind w:firstLine="480" w:firstLineChars="200"/>
        <w:jc w:val="both"/>
        <w:rPr>
          <w:b w:val="0"/>
          <w:sz w:val="24"/>
          <w:szCs w:val="24"/>
        </w:rPr>
      </w:pPr>
      <w:bookmarkStart w:id="92" w:name="_Toc6626"/>
      <w:bookmarkStart w:id="93" w:name="_Toc26788"/>
      <w:bookmarkStart w:id="94" w:name="_Toc266"/>
      <w:r>
        <w:rPr>
          <w:rFonts w:hint="eastAsia"/>
          <w:b w:val="0"/>
          <w:sz w:val="24"/>
          <w:szCs w:val="24"/>
        </w:rPr>
        <w:t>4、可持续影响（满分6分，实得6分）</w:t>
      </w:r>
      <w:bookmarkEnd w:id="92"/>
      <w:bookmarkEnd w:id="93"/>
      <w:bookmarkEnd w:id="94"/>
    </w:p>
    <w:p w14:paraId="12142DC8">
      <w:pPr>
        <w:widowControl w:val="0"/>
        <w:shd w:val="clear" w:color="auto" w:fill="auto"/>
        <w:spacing w:line="560" w:lineRule="exact"/>
        <w:ind w:firstLine="480" w:firstLineChars="200"/>
        <w:jc w:val="both"/>
        <w:rPr>
          <w:b w:val="0"/>
          <w:sz w:val="24"/>
          <w:szCs w:val="24"/>
        </w:rPr>
      </w:pPr>
      <w:r>
        <w:rPr>
          <w:rFonts w:hint="eastAsia"/>
          <w:b w:val="0"/>
          <w:sz w:val="24"/>
          <w:szCs w:val="24"/>
        </w:rPr>
        <w:t>指标解释：项目实施发挥的持续性作用。</w:t>
      </w:r>
    </w:p>
    <w:p w14:paraId="72DABF97">
      <w:pPr>
        <w:widowControl w:val="0"/>
        <w:shd w:val="clear" w:color="auto" w:fill="auto"/>
        <w:spacing w:line="560" w:lineRule="exact"/>
        <w:ind w:firstLine="480" w:firstLineChars="200"/>
        <w:jc w:val="both"/>
        <w:rPr>
          <w:b w:val="0"/>
          <w:sz w:val="24"/>
          <w:szCs w:val="24"/>
        </w:rPr>
      </w:pPr>
      <w:r>
        <w:rPr>
          <w:rFonts w:hint="eastAsia"/>
          <w:b w:val="0"/>
          <w:sz w:val="24"/>
          <w:szCs w:val="24"/>
        </w:rPr>
        <w:t>本项目的实施为广大人民创造良好的食品和公共场所卫生条件，减少疾病通过餐饮、公共服务行业对社会人群带来的健康危害，预防疾病的传播，保护广大人民群众身体健康。社会效益、生态环境效益较好，其战略发展意义十分深远。</w:t>
      </w:r>
      <w:bookmarkStart w:id="95" w:name="_Toc38031596"/>
    </w:p>
    <w:p w14:paraId="17A0ABFF">
      <w:pPr>
        <w:widowControl w:val="0"/>
        <w:shd w:val="clear" w:color="auto" w:fill="auto"/>
        <w:spacing w:line="560" w:lineRule="exact"/>
        <w:ind w:firstLine="480" w:firstLineChars="200"/>
        <w:jc w:val="both"/>
        <w:rPr>
          <w:b w:val="0"/>
          <w:sz w:val="24"/>
          <w:szCs w:val="24"/>
        </w:rPr>
      </w:pPr>
      <w:r>
        <w:rPr>
          <w:rFonts w:hint="eastAsia"/>
          <w:b w:val="0"/>
          <w:sz w:val="24"/>
          <w:szCs w:val="24"/>
        </w:rPr>
        <w:t>4.1</w:t>
      </w:r>
      <w:bookmarkEnd w:id="95"/>
      <w:r>
        <w:rPr>
          <w:rFonts w:hint="eastAsia"/>
          <w:b w:val="0"/>
          <w:sz w:val="24"/>
          <w:szCs w:val="24"/>
        </w:rPr>
        <w:t>本项目的实施为广大人民创造良好的食品和公共场所卫生条件，减少疾病通过餐饮、公共服务行业对社会人群带来的健康危害，预防疾病的传播，保护广大人民群众身体健康有利于和谐社会的发展。</w:t>
      </w:r>
      <w:bookmarkStart w:id="96" w:name="_Toc38031598"/>
    </w:p>
    <w:p w14:paraId="10B0696B">
      <w:pPr>
        <w:widowControl w:val="0"/>
        <w:shd w:val="clear" w:color="auto" w:fill="auto"/>
        <w:spacing w:line="560" w:lineRule="exact"/>
        <w:ind w:firstLine="480" w:firstLineChars="200"/>
        <w:jc w:val="both"/>
        <w:rPr>
          <w:b w:val="0"/>
          <w:sz w:val="24"/>
          <w:szCs w:val="24"/>
        </w:rPr>
      </w:pPr>
      <w:r>
        <w:rPr>
          <w:rFonts w:hint="eastAsia"/>
          <w:b w:val="0"/>
          <w:sz w:val="24"/>
          <w:szCs w:val="24"/>
        </w:rPr>
        <w:t>4.</w:t>
      </w:r>
      <w:r>
        <w:rPr>
          <w:b w:val="0"/>
          <w:sz w:val="24"/>
          <w:szCs w:val="24"/>
        </w:rPr>
        <w:t>2</w:t>
      </w:r>
      <w:r>
        <w:rPr>
          <w:rFonts w:hint="eastAsia"/>
          <w:b w:val="0"/>
          <w:sz w:val="24"/>
          <w:szCs w:val="24"/>
        </w:rPr>
        <w:t>促进城市可持续发展</w:t>
      </w:r>
      <w:bookmarkEnd w:id="96"/>
    </w:p>
    <w:p w14:paraId="75BEF035">
      <w:pPr>
        <w:widowControl w:val="0"/>
        <w:shd w:val="clear" w:color="auto" w:fill="auto"/>
        <w:spacing w:line="560" w:lineRule="exact"/>
        <w:ind w:firstLine="480" w:firstLineChars="200"/>
        <w:jc w:val="both"/>
        <w:rPr>
          <w:b w:val="0"/>
          <w:sz w:val="24"/>
          <w:szCs w:val="24"/>
        </w:rPr>
      </w:pPr>
      <w:r>
        <w:rPr>
          <w:rFonts w:hint="eastAsia"/>
          <w:b w:val="0"/>
          <w:sz w:val="24"/>
          <w:szCs w:val="24"/>
        </w:rPr>
        <w:t>改革开放以来，怀远县的经济有了较大的发展，城区公共卫生条件在不断地完善。本项目的实施将有力的促进城市可持续发展，改善城区的卫生</w:t>
      </w:r>
      <w:r>
        <w:rPr>
          <w:b w:val="0"/>
          <w:sz w:val="24"/>
          <w:szCs w:val="24"/>
        </w:rPr>
        <w:t>软件</w:t>
      </w:r>
      <w:r>
        <w:rPr>
          <w:rFonts w:hint="eastAsia"/>
          <w:b w:val="0"/>
          <w:sz w:val="24"/>
          <w:szCs w:val="24"/>
        </w:rPr>
        <w:t>环境，推动怀远县的经济发展和城市繁荣，可持续影响指标实际得分6分。</w:t>
      </w:r>
    </w:p>
    <w:p w14:paraId="5FFC8BE7">
      <w:pPr>
        <w:widowControl w:val="0"/>
        <w:shd w:val="clear" w:color="auto" w:fill="auto"/>
        <w:spacing w:line="560" w:lineRule="exact"/>
        <w:ind w:firstLine="480" w:firstLineChars="200"/>
        <w:jc w:val="both"/>
        <w:rPr>
          <w:b w:val="0"/>
          <w:sz w:val="24"/>
          <w:szCs w:val="24"/>
        </w:rPr>
      </w:pPr>
      <w:bookmarkStart w:id="97" w:name="_Toc24508"/>
      <w:bookmarkStart w:id="98" w:name="_Toc11574"/>
      <w:bookmarkStart w:id="99" w:name="_Toc18073"/>
      <w:r>
        <w:rPr>
          <w:rFonts w:hint="eastAsia"/>
          <w:b w:val="0"/>
          <w:sz w:val="24"/>
          <w:szCs w:val="24"/>
        </w:rPr>
        <w:t>5、满意度（满分6分，实得4.5分）</w:t>
      </w:r>
      <w:bookmarkEnd w:id="97"/>
      <w:bookmarkEnd w:id="98"/>
      <w:bookmarkEnd w:id="99"/>
    </w:p>
    <w:p w14:paraId="352D0162">
      <w:pPr>
        <w:widowControl w:val="0"/>
        <w:shd w:val="clear" w:color="auto" w:fill="auto"/>
        <w:spacing w:line="560" w:lineRule="exact"/>
        <w:ind w:firstLine="480" w:firstLineChars="200"/>
        <w:jc w:val="both"/>
        <w:rPr>
          <w:b w:val="0"/>
          <w:sz w:val="24"/>
          <w:szCs w:val="24"/>
        </w:rPr>
      </w:pPr>
      <w:r>
        <w:rPr>
          <w:rFonts w:hint="eastAsia"/>
          <w:b w:val="0"/>
          <w:sz w:val="24"/>
          <w:szCs w:val="24"/>
        </w:rPr>
        <w:t>指标解释：服务对象满意度。</w:t>
      </w:r>
    </w:p>
    <w:p w14:paraId="416B81D9">
      <w:pPr>
        <w:widowControl w:val="0"/>
        <w:shd w:val="clear" w:color="auto" w:fill="auto"/>
        <w:spacing w:line="560" w:lineRule="exact"/>
        <w:ind w:firstLine="480" w:firstLineChars="200"/>
        <w:jc w:val="both"/>
        <w:rPr>
          <w:b w:val="0"/>
          <w:sz w:val="24"/>
          <w:szCs w:val="24"/>
        </w:rPr>
      </w:pPr>
      <w:r>
        <w:rPr>
          <w:rFonts w:hint="eastAsia"/>
          <w:b w:val="0"/>
          <w:sz w:val="24"/>
          <w:szCs w:val="24"/>
        </w:rPr>
        <w:t>电话回访服务对象对项目实施效果的满意程度超过89%，满意度指标实际扣1.5得分4.5分。</w:t>
      </w:r>
    </w:p>
    <w:p w14:paraId="5A0B4DCA">
      <w:pPr>
        <w:widowControl w:val="0"/>
        <w:shd w:val="clear" w:color="auto" w:fill="auto"/>
        <w:spacing w:line="560" w:lineRule="exact"/>
        <w:ind w:firstLine="482" w:firstLineChars="200"/>
        <w:jc w:val="both"/>
        <w:rPr>
          <w:b/>
          <w:bCs/>
          <w:sz w:val="24"/>
          <w:szCs w:val="24"/>
        </w:rPr>
      </w:pPr>
      <w:r>
        <w:rPr>
          <w:rFonts w:hint="eastAsia"/>
          <w:b/>
          <w:bCs/>
          <w:sz w:val="24"/>
          <w:szCs w:val="24"/>
        </w:rPr>
        <w:t>五、主要经验及做法</w:t>
      </w:r>
    </w:p>
    <w:p w14:paraId="5D27A4C5">
      <w:pPr>
        <w:widowControl w:val="0"/>
        <w:shd w:val="clear" w:color="auto" w:fill="auto"/>
        <w:spacing w:line="560" w:lineRule="exact"/>
        <w:ind w:firstLine="480" w:firstLineChars="200"/>
        <w:jc w:val="both"/>
        <w:rPr>
          <w:b w:val="0"/>
          <w:sz w:val="24"/>
          <w:szCs w:val="24"/>
        </w:rPr>
      </w:pPr>
      <w:r>
        <w:rPr>
          <w:rFonts w:hint="eastAsia"/>
          <w:b w:val="0"/>
          <w:sz w:val="24"/>
          <w:szCs w:val="24"/>
        </w:rPr>
        <w:t>（一）从业人员预防性体检项目决策上，严格按照文件汇签的批示立项；年初明确绩效目标，使绩效目标设定明确、可量化。</w:t>
      </w:r>
    </w:p>
    <w:p w14:paraId="0FCED2D0">
      <w:pPr>
        <w:widowControl w:val="0"/>
        <w:shd w:val="clear" w:color="auto" w:fill="auto"/>
        <w:spacing w:line="560" w:lineRule="exact"/>
        <w:ind w:firstLine="480" w:firstLineChars="200"/>
        <w:jc w:val="both"/>
        <w:rPr>
          <w:b w:val="0"/>
          <w:sz w:val="24"/>
          <w:szCs w:val="24"/>
        </w:rPr>
      </w:pPr>
      <w:r>
        <w:rPr>
          <w:rFonts w:hint="eastAsia"/>
          <w:b w:val="0"/>
          <w:sz w:val="24"/>
          <w:szCs w:val="24"/>
        </w:rPr>
        <w:t>（二）在从业人员预防性体检项目过程上，资金及时到位，资金支付经过审批，制度执行有效，提高资金使用效率。</w:t>
      </w:r>
    </w:p>
    <w:p w14:paraId="701C7E8E">
      <w:pPr>
        <w:widowControl w:val="0"/>
        <w:shd w:val="clear" w:color="auto" w:fill="auto"/>
        <w:spacing w:line="560" w:lineRule="exact"/>
        <w:ind w:firstLine="480" w:firstLineChars="200"/>
        <w:jc w:val="both"/>
        <w:rPr>
          <w:b w:val="0"/>
          <w:sz w:val="24"/>
          <w:szCs w:val="24"/>
        </w:rPr>
      </w:pPr>
      <w:r>
        <w:rPr>
          <w:rFonts w:hint="eastAsia"/>
          <w:b w:val="0"/>
          <w:sz w:val="24"/>
          <w:szCs w:val="24"/>
        </w:rPr>
        <w:t>（三）在从业人员预防性体检项目产出上，提前制定工作方案，按照工作计划及时推进，保障工作有序开展。</w:t>
      </w:r>
    </w:p>
    <w:p w14:paraId="0E42A06A">
      <w:pPr>
        <w:widowControl w:val="0"/>
        <w:shd w:val="clear" w:color="auto" w:fill="auto"/>
        <w:spacing w:line="560" w:lineRule="exact"/>
        <w:ind w:firstLine="480" w:firstLineChars="200"/>
        <w:jc w:val="both"/>
        <w:rPr>
          <w:b w:val="0"/>
          <w:sz w:val="24"/>
          <w:szCs w:val="24"/>
        </w:rPr>
      </w:pPr>
      <w:r>
        <w:rPr>
          <w:rFonts w:hint="eastAsia"/>
          <w:b w:val="0"/>
          <w:sz w:val="24"/>
          <w:szCs w:val="24"/>
        </w:rPr>
        <w:t>（四）在从业人员预防性体检项目效益上，注重成本效益原则，围绕财政职能，以提高资金使用效益为导向制定工作计划，成效显著，满意度高。</w:t>
      </w:r>
    </w:p>
    <w:p w14:paraId="6C68D6D5">
      <w:pPr>
        <w:widowControl w:val="0"/>
        <w:shd w:val="clear" w:color="auto" w:fill="auto"/>
        <w:spacing w:line="560" w:lineRule="exact"/>
        <w:ind w:firstLine="482" w:firstLineChars="200"/>
        <w:jc w:val="both"/>
        <w:rPr>
          <w:b/>
          <w:bCs/>
          <w:sz w:val="24"/>
          <w:szCs w:val="24"/>
        </w:rPr>
      </w:pPr>
      <w:r>
        <w:rPr>
          <w:rFonts w:hint="eastAsia"/>
          <w:b/>
          <w:bCs/>
          <w:sz w:val="24"/>
          <w:szCs w:val="24"/>
        </w:rPr>
        <w:t>六、项目存在的主要问题</w:t>
      </w:r>
    </w:p>
    <w:p w14:paraId="03B0B397">
      <w:pPr>
        <w:widowControl w:val="0"/>
        <w:shd w:val="clear" w:color="auto" w:fill="auto"/>
        <w:spacing w:line="560" w:lineRule="exact"/>
        <w:ind w:firstLine="480" w:firstLineChars="200"/>
        <w:jc w:val="both"/>
        <w:rPr>
          <w:b w:val="0"/>
          <w:sz w:val="24"/>
          <w:szCs w:val="24"/>
        </w:rPr>
      </w:pPr>
      <w:r>
        <w:rPr>
          <w:rFonts w:hint="eastAsia"/>
          <w:b w:val="0"/>
          <w:sz w:val="24"/>
          <w:szCs w:val="24"/>
          <w:lang w:eastAsia="zh-CN"/>
        </w:rPr>
        <w:t>（</w:t>
      </w:r>
      <w:r>
        <w:rPr>
          <w:rFonts w:hint="eastAsia"/>
          <w:b w:val="0"/>
          <w:sz w:val="24"/>
          <w:szCs w:val="24"/>
        </w:rPr>
        <w:t>一</w:t>
      </w:r>
      <w:r>
        <w:rPr>
          <w:rFonts w:hint="eastAsia"/>
          <w:b w:val="0"/>
          <w:sz w:val="24"/>
          <w:szCs w:val="24"/>
          <w:lang w:eastAsia="zh-CN"/>
        </w:rPr>
        <w:t>）</w:t>
      </w:r>
      <w:r>
        <w:rPr>
          <w:rFonts w:hint="eastAsia"/>
          <w:b w:val="0"/>
          <w:sz w:val="24"/>
          <w:szCs w:val="24"/>
        </w:rPr>
        <w:t>是没有项目实施规范文件，绩效指标设置不科学、不合理，明确性及细化程度不高，分类不够清晰，部分细化的三级指标与二级指标匹配性不高，质量指标、时效指标等量化不明确，没有绩效自评文件、不规范，指向不明确。</w:t>
      </w:r>
    </w:p>
    <w:p w14:paraId="752103A1">
      <w:pPr>
        <w:widowControl w:val="0"/>
        <w:shd w:val="clear" w:color="auto" w:fill="auto"/>
        <w:spacing w:line="560" w:lineRule="exact"/>
        <w:ind w:firstLine="480" w:firstLineChars="200"/>
        <w:jc w:val="both"/>
        <w:rPr>
          <w:b w:val="0"/>
          <w:sz w:val="24"/>
          <w:szCs w:val="24"/>
        </w:rPr>
      </w:pPr>
      <w:r>
        <w:rPr>
          <w:rFonts w:hint="eastAsia"/>
          <w:b w:val="0"/>
          <w:sz w:val="24"/>
          <w:szCs w:val="24"/>
          <w:lang w:eastAsia="zh-CN"/>
        </w:rPr>
        <w:t>（</w:t>
      </w:r>
      <w:r>
        <w:rPr>
          <w:rFonts w:hint="eastAsia"/>
          <w:b w:val="0"/>
          <w:sz w:val="24"/>
          <w:szCs w:val="24"/>
        </w:rPr>
        <w:t>二</w:t>
      </w:r>
      <w:r>
        <w:rPr>
          <w:rFonts w:hint="eastAsia"/>
          <w:b w:val="0"/>
          <w:sz w:val="24"/>
          <w:szCs w:val="24"/>
          <w:lang w:eastAsia="zh-CN"/>
        </w:rPr>
        <w:t>）</w:t>
      </w:r>
      <w:r>
        <w:rPr>
          <w:rFonts w:hint="eastAsia"/>
          <w:b w:val="0"/>
          <w:sz w:val="24"/>
          <w:szCs w:val="24"/>
        </w:rPr>
        <w:t>是怀远县疾病预防控制中心在此项目管理中，项目管理规范性不强，系统信息化程度有待提高。</w:t>
      </w:r>
    </w:p>
    <w:p w14:paraId="0CCD7600">
      <w:pPr>
        <w:widowControl w:val="0"/>
        <w:shd w:val="clear" w:color="auto" w:fill="auto"/>
        <w:spacing w:line="560" w:lineRule="exact"/>
        <w:ind w:firstLine="480" w:firstLineChars="200"/>
        <w:jc w:val="both"/>
        <w:rPr>
          <w:b w:val="0"/>
          <w:sz w:val="24"/>
          <w:szCs w:val="24"/>
        </w:rPr>
      </w:pPr>
      <w:r>
        <w:rPr>
          <w:rFonts w:hint="eastAsia"/>
          <w:b w:val="0"/>
          <w:sz w:val="24"/>
          <w:szCs w:val="24"/>
          <w:lang w:eastAsia="zh-CN"/>
        </w:rPr>
        <w:t>（</w:t>
      </w:r>
      <w:r>
        <w:rPr>
          <w:rFonts w:hint="eastAsia"/>
          <w:b w:val="0"/>
          <w:sz w:val="24"/>
          <w:szCs w:val="24"/>
        </w:rPr>
        <w:t>三</w:t>
      </w:r>
      <w:r>
        <w:rPr>
          <w:rFonts w:hint="eastAsia"/>
          <w:b w:val="0"/>
          <w:sz w:val="24"/>
          <w:szCs w:val="24"/>
          <w:lang w:eastAsia="zh-CN"/>
        </w:rPr>
        <w:t>）</w:t>
      </w:r>
      <w:r>
        <w:rPr>
          <w:rFonts w:hint="eastAsia"/>
          <w:b w:val="0"/>
          <w:sz w:val="24"/>
          <w:szCs w:val="24"/>
        </w:rPr>
        <w:t>是加强内控流程的设置，从资金申请、预算执行到复审都要经过所有岗位人员的审核。</w:t>
      </w:r>
    </w:p>
    <w:p w14:paraId="722085E0">
      <w:pPr>
        <w:widowControl w:val="0"/>
        <w:shd w:val="clear" w:color="auto" w:fill="auto"/>
        <w:spacing w:line="560" w:lineRule="exact"/>
        <w:ind w:firstLine="482" w:firstLineChars="200"/>
        <w:jc w:val="both"/>
        <w:rPr>
          <w:b/>
          <w:bCs/>
          <w:sz w:val="24"/>
          <w:szCs w:val="24"/>
        </w:rPr>
      </w:pPr>
      <w:r>
        <w:rPr>
          <w:rFonts w:hint="eastAsia"/>
          <w:b/>
          <w:bCs/>
          <w:sz w:val="24"/>
          <w:szCs w:val="24"/>
        </w:rPr>
        <w:t>七、有关建议</w:t>
      </w:r>
    </w:p>
    <w:p w14:paraId="53B20E2E">
      <w:pPr>
        <w:widowControl w:val="0"/>
        <w:shd w:val="clear" w:color="auto" w:fill="auto"/>
        <w:spacing w:line="560" w:lineRule="exact"/>
        <w:ind w:firstLine="480" w:firstLineChars="200"/>
        <w:jc w:val="both"/>
        <w:rPr>
          <w:b w:val="0"/>
          <w:sz w:val="24"/>
          <w:szCs w:val="24"/>
        </w:rPr>
      </w:pPr>
      <w:r>
        <w:rPr>
          <w:rFonts w:ascii="Calibri" w:hAnsi="Calibri" w:cs="Calibri"/>
          <w:b w:val="0"/>
          <w:sz w:val="24"/>
          <w:szCs w:val="24"/>
        </w:rPr>
        <w:t> </w:t>
      </w:r>
      <w:r>
        <w:rPr>
          <w:rFonts w:hint="eastAsia"/>
          <w:b w:val="0"/>
          <w:sz w:val="24"/>
          <w:szCs w:val="24"/>
        </w:rPr>
        <w:t>为进一步提高奖补资金使用效益，针对存在的问题，提出如下建议：</w:t>
      </w:r>
    </w:p>
    <w:p w14:paraId="427C136D">
      <w:pPr>
        <w:widowControl w:val="0"/>
        <w:shd w:val="clear" w:color="auto" w:fill="auto"/>
        <w:spacing w:line="560" w:lineRule="exact"/>
        <w:ind w:firstLine="480" w:firstLineChars="200"/>
        <w:jc w:val="both"/>
        <w:rPr>
          <w:b w:val="0"/>
          <w:sz w:val="24"/>
          <w:szCs w:val="24"/>
        </w:rPr>
      </w:pPr>
      <w:r>
        <w:rPr>
          <w:rFonts w:hint="eastAsia"/>
          <w:b w:val="0"/>
          <w:sz w:val="24"/>
          <w:szCs w:val="24"/>
          <w:lang w:eastAsia="zh-CN"/>
        </w:rPr>
        <w:t>（</w:t>
      </w:r>
      <w:r>
        <w:rPr>
          <w:rFonts w:hint="eastAsia"/>
          <w:b w:val="0"/>
          <w:sz w:val="24"/>
          <w:szCs w:val="24"/>
        </w:rPr>
        <w:t>一</w:t>
      </w:r>
      <w:r>
        <w:rPr>
          <w:rFonts w:hint="eastAsia"/>
          <w:b w:val="0"/>
          <w:sz w:val="24"/>
          <w:szCs w:val="24"/>
          <w:lang w:eastAsia="zh-CN"/>
        </w:rPr>
        <w:t>）</w:t>
      </w:r>
      <w:r>
        <w:rPr>
          <w:rFonts w:hint="eastAsia"/>
          <w:b w:val="0"/>
          <w:sz w:val="24"/>
          <w:szCs w:val="24"/>
        </w:rPr>
        <w:t>是立完善绩效目标编制，细化绩效指标值；在编制年度绩效目标时，怀远县疾病预防控制中心应加强财务部门与项目实施部门之间的信息沟通，共同参与绩效目标编制，根据项目的实际情况、工作计划等合理设置绩效目标，细化量化指标值，便于项目绩效管理。</w:t>
      </w:r>
    </w:p>
    <w:p w14:paraId="78479335">
      <w:pPr>
        <w:widowControl w:val="0"/>
        <w:shd w:val="clear" w:color="auto" w:fill="auto"/>
        <w:spacing w:line="560" w:lineRule="exact"/>
        <w:ind w:firstLine="480" w:firstLineChars="200"/>
        <w:jc w:val="both"/>
        <w:rPr>
          <w:b w:val="0"/>
          <w:sz w:val="24"/>
          <w:szCs w:val="24"/>
        </w:rPr>
      </w:pPr>
      <w:r>
        <w:rPr>
          <w:rFonts w:hint="eastAsia"/>
          <w:b w:val="0"/>
          <w:sz w:val="24"/>
          <w:szCs w:val="24"/>
          <w:lang w:eastAsia="zh-CN"/>
        </w:rPr>
        <w:t>（</w:t>
      </w:r>
      <w:r>
        <w:rPr>
          <w:rFonts w:hint="eastAsia"/>
          <w:b w:val="0"/>
          <w:sz w:val="24"/>
          <w:szCs w:val="24"/>
        </w:rPr>
        <w:t>二</w:t>
      </w:r>
      <w:r>
        <w:rPr>
          <w:rFonts w:hint="eastAsia"/>
          <w:b w:val="0"/>
          <w:sz w:val="24"/>
          <w:szCs w:val="24"/>
          <w:lang w:eastAsia="zh-CN"/>
        </w:rPr>
        <w:t>）</w:t>
      </w:r>
      <w:r>
        <w:rPr>
          <w:rFonts w:hint="eastAsia"/>
          <w:b w:val="0"/>
          <w:sz w:val="24"/>
          <w:szCs w:val="24"/>
        </w:rPr>
        <w:t>是建议强化内部流程制度的制定与落实，根据项目申请到项目落实及后期的管理要制定一个具体的管理办法。</w:t>
      </w:r>
    </w:p>
    <w:p w14:paraId="6DDFD1DC">
      <w:pPr>
        <w:widowControl w:val="0"/>
        <w:shd w:val="clear" w:color="auto" w:fill="auto"/>
        <w:spacing w:line="560" w:lineRule="exact"/>
        <w:ind w:firstLine="480" w:firstLineChars="200"/>
        <w:jc w:val="both"/>
        <w:rPr>
          <w:b w:val="0"/>
          <w:sz w:val="24"/>
          <w:szCs w:val="24"/>
        </w:rPr>
      </w:pPr>
      <w:r>
        <w:rPr>
          <w:rFonts w:hint="eastAsia"/>
          <w:b w:val="0"/>
          <w:sz w:val="24"/>
          <w:szCs w:val="24"/>
          <w:lang w:eastAsia="zh-CN"/>
        </w:rPr>
        <w:t>（</w:t>
      </w:r>
      <w:r>
        <w:rPr>
          <w:rFonts w:hint="eastAsia"/>
          <w:b w:val="0"/>
          <w:sz w:val="24"/>
          <w:szCs w:val="24"/>
        </w:rPr>
        <w:t>三</w:t>
      </w:r>
      <w:r>
        <w:rPr>
          <w:rFonts w:hint="eastAsia"/>
          <w:b w:val="0"/>
          <w:sz w:val="24"/>
          <w:szCs w:val="24"/>
          <w:lang w:eastAsia="zh-CN"/>
        </w:rPr>
        <w:t>）</w:t>
      </w:r>
      <w:r>
        <w:rPr>
          <w:rFonts w:hint="eastAsia"/>
          <w:b w:val="0"/>
          <w:sz w:val="24"/>
          <w:szCs w:val="24"/>
        </w:rPr>
        <w:t>是应制定对实施单位的跟踪机制和管理制度，保证政府资金发挥最大效益，实施单位没有自评文件，不能反应主管部门了解从业人员预防性体检</w:t>
      </w:r>
      <w:r>
        <w:rPr>
          <w:b w:val="0"/>
          <w:sz w:val="24"/>
          <w:szCs w:val="24"/>
        </w:rPr>
        <w:t>项目</w:t>
      </w:r>
      <w:r>
        <w:rPr>
          <w:rFonts w:hint="eastAsia"/>
          <w:b w:val="0"/>
          <w:sz w:val="24"/>
          <w:szCs w:val="24"/>
        </w:rPr>
        <w:t>产生的效益，以及城市居民在提高健康水平，促进当地公共卫生等方面存在的问题，从而带动当地卫生健康环境更好的发展。</w:t>
      </w:r>
    </w:p>
    <w:p w14:paraId="194CC7B5">
      <w:pPr>
        <w:widowControl w:val="0"/>
        <w:shd w:val="clear" w:color="auto" w:fill="auto"/>
        <w:spacing w:line="560" w:lineRule="exact"/>
        <w:ind w:firstLine="482" w:firstLineChars="200"/>
        <w:jc w:val="both"/>
        <w:rPr>
          <w:b/>
          <w:bCs/>
          <w:sz w:val="24"/>
          <w:szCs w:val="24"/>
        </w:rPr>
      </w:pPr>
      <w:r>
        <w:rPr>
          <w:rFonts w:hint="eastAsia"/>
          <w:b/>
          <w:bCs/>
          <w:sz w:val="24"/>
          <w:szCs w:val="24"/>
        </w:rPr>
        <w:t>八、其他需要说明的问题</w:t>
      </w:r>
    </w:p>
    <w:p w14:paraId="53D6072D">
      <w:pPr>
        <w:widowControl w:val="0"/>
        <w:shd w:val="clear" w:color="auto" w:fill="auto"/>
        <w:spacing w:line="560" w:lineRule="exact"/>
        <w:ind w:firstLine="480" w:firstLineChars="200"/>
        <w:jc w:val="both"/>
        <w:rPr>
          <w:b w:val="0"/>
          <w:sz w:val="24"/>
          <w:szCs w:val="24"/>
        </w:rPr>
      </w:pPr>
      <w:r>
        <w:rPr>
          <w:rFonts w:ascii="Calibri" w:hAnsi="Calibri" w:cs="Calibri"/>
          <w:b w:val="0"/>
          <w:sz w:val="24"/>
          <w:szCs w:val="24"/>
        </w:rPr>
        <w:t>    </w:t>
      </w:r>
      <w:r>
        <w:rPr>
          <w:rFonts w:hint="eastAsia"/>
          <w:b w:val="0"/>
          <w:sz w:val="24"/>
          <w:szCs w:val="24"/>
        </w:rPr>
        <w:t xml:space="preserve"> 无其他需要说明的问题。</w:t>
      </w:r>
    </w:p>
    <w:p w14:paraId="0BED4AC5">
      <w:pPr>
        <w:widowControl w:val="0"/>
        <w:shd w:val="clear" w:color="auto" w:fill="auto"/>
        <w:spacing w:line="560" w:lineRule="exact"/>
        <w:ind w:firstLine="480" w:firstLineChars="200"/>
        <w:jc w:val="both"/>
        <w:rPr>
          <w:b w:val="0"/>
          <w:sz w:val="24"/>
          <w:szCs w:val="24"/>
        </w:rPr>
      </w:pPr>
      <w:r>
        <w:rPr>
          <w:rFonts w:ascii="Calibri" w:hAnsi="Calibri" w:cs="Calibri"/>
          <w:b w:val="0"/>
          <w:sz w:val="24"/>
          <w:szCs w:val="24"/>
        </w:rPr>
        <w:t> </w:t>
      </w:r>
      <w:r>
        <w:rPr>
          <w:rFonts w:hint="eastAsia"/>
          <w:b w:val="0"/>
          <w:sz w:val="24"/>
          <w:szCs w:val="24"/>
        </w:rPr>
        <w:t>附：</w:t>
      </w:r>
    </w:p>
    <w:p w14:paraId="190CD5FC">
      <w:pPr>
        <w:widowControl w:val="0"/>
        <w:shd w:val="clear" w:color="auto" w:fill="auto"/>
        <w:spacing w:line="560" w:lineRule="exact"/>
        <w:ind w:firstLine="480" w:firstLineChars="200"/>
        <w:jc w:val="both"/>
        <w:rPr>
          <w:rFonts w:hint="eastAsia" w:eastAsia="仿宋"/>
          <w:b w:val="0"/>
          <w:sz w:val="24"/>
          <w:szCs w:val="24"/>
          <w:lang w:val="en-US" w:eastAsia="zh-CN"/>
        </w:rPr>
      </w:pPr>
      <w:r>
        <w:rPr>
          <w:rFonts w:ascii="Calibri" w:hAnsi="Calibri" w:cs="Calibri"/>
          <w:b w:val="0"/>
          <w:sz w:val="24"/>
          <w:szCs w:val="24"/>
        </w:rPr>
        <w:t> </w:t>
      </w:r>
      <w:r>
        <w:rPr>
          <w:rFonts w:hint="eastAsia"/>
          <w:b w:val="0"/>
          <w:sz w:val="24"/>
          <w:szCs w:val="24"/>
        </w:rPr>
        <w:t>1.202</w:t>
      </w:r>
      <w:r>
        <w:rPr>
          <w:b w:val="0"/>
          <w:sz w:val="24"/>
          <w:szCs w:val="24"/>
        </w:rPr>
        <w:t>3</w:t>
      </w:r>
      <w:r>
        <w:rPr>
          <w:rFonts w:hint="eastAsia"/>
          <w:b w:val="0"/>
          <w:sz w:val="24"/>
          <w:szCs w:val="24"/>
        </w:rPr>
        <w:t>年度怀远县从业人员预防性体检项目</w:t>
      </w:r>
      <w:r>
        <w:rPr>
          <w:rFonts w:hint="eastAsia"/>
          <w:b w:val="0"/>
          <w:sz w:val="24"/>
          <w:szCs w:val="24"/>
          <w:lang w:val="en-US" w:eastAsia="zh-CN"/>
        </w:rPr>
        <w:t>--</w:t>
      </w:r>
      <w:r>
        <w:rPr>
          <w:rFonts w:hint="eastAsia"/>
          <w:b w:val="0"/>
          <w:sz w:val="24"/>
          <w:szCs w:val="24"/>
        </w:rPr>
        <w:t>绩效评价</w:t>
      </w:r>
      <w:r>
        <w:rPr>
          <w:rFonts w:hint="eastAsia"/>
          <w:b w:val="0"/>
          <w:sz w:val="24"/>
          <w:szCs w:val="24"/>
          <w:lang w:eastAsia="zh-CN"/>
        </w:rPr>
        <w:t>指标体系</w:t>
      </w:r>
    </w:p>
    <w:p w14:paraId="3687D68E">
      <w:pPr>
        <w:widowControl w:val="0"/>
        <w:shd w:val="clear" w:color="auto" w:fill="auto"/>
        <w:spacing w:line="560" w:lineRule="exact"/>
        <w:ind w:firstLine="480" w:firstLineChars="200"/>
        <w:jc w:val="both"/>
        <w:rPr>
          <w:rFonts w:hint="eastAsia"/>
          <w:b w:val="0"/>
          <w:sz w:val="24"/>
          <w:szCs w:val="24"/>
          <w:lang w:eastAsia="zh-CN"/>
        </w:rPr>
      </w:pPr>
      <w:r>
        <w:rPr>
          <w:rFonts w:hint="eastAsia"/>
          <w:b w:val="0"/>
          <w:sz w:val="24"/>
          <w:szCs w:val="24"/>
        </w:rPr>
        <w:t>2.202</w:t>
      </w:r>
      <w:r>
        <w:rPr>
          <w:b w:val="0"/>
          <w:sz w:val="24"/>
          <w:szCs w:val="24"/>
        </w:rPr>
        <w:t>3</w:t>
      </w:r>
      <w:r>
        <w:rPr>
          <w:rFonts w:hint="eastAsia"/>
          <w:b w:val="0"/>
          <w:sz w:val="24"/>
          <w:szCs w:val="24"/>
        </w:rPr>
        <w:t>年度怀远县从业人员预防性体检项目</w:t>
      </w:r>
      <w:r>
        <w:rPr>
          <w:rFonts w:hint="eastAsia"/>
          <w:b w:val="0"/>
          <w:sz w:val="24"/>
          <w:szCs w:val="24"/>
          <w:lang w:val="en-US" w:eastAsia="zh-CN"/>
        </w:rPr>
        <w:t>--</w:t>
      </w:r>
      <w:r>
        <w:rPr>
          <w:rFonts w:hint="eastAsia"/>
          <w:b w:val="0"/>
          <w:sz w:val="24"/>
          <w:szCs w:val="24"/>
        </w:rPr>
        <w:t>绩效</w:t>
      </w:r>
      <w:r>
        <w:rPr>
          <w:rFonts w:hint="eastAsia"/>
          <w:b w:val="0"/>
          <w:sz w:val="24"/>
          <w:szCs w:val="24"/>
          <w:lang w:eastAsia="zh-CN"/>
        </w:rPr>
        <w:t>目标完成清单</w:t>
      </w:r>
    </w:p>
    <w:p w14:paraId="1189D2F4">
      <w:pPr>
        <w:widowControl w:val="0"/>
        <w:shd w:val="clear" w:color="auto" w:fill="auto"/>
        <w:spacing w:line="560" w:lineRule="exact"/>
        <w:ind w:firstLine="480" w:firstLineChars="200"/>
        <w:jc w:val="both"/>
        <w:rPr>
          <w:rFonts w:hint="eastAsia" w:eastAsia="仿宋"/>
          <w:b w:val="0"/>
          <w:sz w:val="24"/>
          <w:szCs w:val="24"/>
          <w:lang w:eastAsia="zh-CN"/>
        </w:rPr>
      </w:pPr>
      <w:r>
        <w:rPr>
          <w:rFonts w:hint="eastAsia"/>
          <w:b w:val="0"/>
          <w:sz w:val="24"/>
          <w:szCs w:val="24"/>
        </w:rPr>
        <w:t>3.202</w:t>
      </w:r>
      <w:r>
        <w:rPr>
          <w:b w:val="0"/>
          <w:sz w:val="24"/>
          <w:szCs w:val="24"/>
        </w:rPr>
        <w:t>3</w:t>
      </w:r>
      <w:r>
        <w:rPr>
          <w:rFonts w:hint="eastAsia"/>
          <w:b w:val="0"/>
          <w:sz w:val="24"/>
          <w:szCs w:val="24"/>
        </w:rPr>
        <w:t>年度怀远县从业人员预防性体检项目--</w:t>
      </w:r>
      <w:r>
        <w:rPr>
          <w:rFonts w:hint="eastAsia"/>
          <w:b w:val="0"/>
          <w:sz w:val="24"/>
          <w:szCs w:val="24"/>
          <w:lang w:eastAsia="zh-CN"/>
        </w:rPr>
        <w:t>绩效评价问题清单</w:t>
      </w:r>
    </w:p>
    <w:p w14:paraId="3CF25D85">
      <w:pPr>
        <w:widowControl w:val="0"/>
        <w:shd w:val="clear" w:color="auto" w:fill="auto"/>
        <w:spacing w:line="560" w:lineRule="exact"/>
        <w:ind w:firstLine="480" w:firstLineChars="200"/>
        <w:jc w:val="both"/>
        <w:rPr>
          <w:rFonts w:hint="eastAsia"/>
          <w:b w:val="0"/>
          <w:sz w:val="24"/>
          <w:szCs w:val="24"/>
          <w:lang w:eastAsia="zh-CN"/>
        </w:rPr>
      </w:pPr>
      <w:r>
        <w:rPr>
          <w:rFonts w:hint="eastAsia"/>
          <w:b w:val="0"/>
          <w:sz w:val="24"/>
          <w:szCs w:val="24"/>
        </w:rPr>
        <w:t>4.202</w:t>
      </w:r>
      <w:r>
        <w:rPr>
          <w:b w:val="0"/>
          <w:sz w:val="24"/>
          <w:szCs w:val="24"/>
        </w:rPr>
        <w:t>3</w:t>
      </w:r>
      <w:r>
        <w:rPr>
          <w:rFonts w:hint="eastAsia"/>
          <w:b w:val="0"/>
          <w:sz w:val="24"/>
          <w:szCs w:val="24"/>
        </w:rPr>
        <w:t>年度怀远县从业人员预防性体检项目--</w:t>
      </w:r>
      <w:r>
        <w:rPr>
          <w:rFonts w:hint="eastAsia"/>
          <w:b w:val="0"/>
          <w:sz w:val="24"/>
          <w:szCs w:val="24"/>
          <w:lang w:eastAsia="zh-CN"/>
        </w:rPr>
        <w:t>绩效评价评分情况表</w:t>
      </w:r>
    </w:p>
    <w:p w14:paraId="35058ACC">
      <w:pPr>
        <w:widowControl w:val="0"/>
        <w:shd w:val="clear" w:color="auto" w:fill="auto"/>
        <w:spacing w:line="560" w:lineRule="exact"/>
        <w:ind w:firstLine="480" w:firstLineChars="200"/>
        <w:jc w:val="both"/>
        <w:rPr>
          <w:b w:val="0"/>
          <w:sz w:val="24"/>
          <w:szCs w:val="24"/>
        </w:rPr>
      </w:pPr>
      <w:r>
        <w:rPr>
          <w:rFonts w:hint="eastAsia"/>
          <w:b w:val="0"/>
          <w:sz w:val="24"/>
          <w:szCs w:val="24"/>
        </w:rPr>
        <w:t>5.202</w:t>
      </w:r>
      <w:r>
        <w:rPr>
          <w:b w:val="0"/>
          <w:sz w:val="24"/>
          <w:szCs w:val="24"/>
        </w:rPr>
        <w:t>3</w:t>
      </w:r>
      <w:r>
        <w:rPr>
          <w:rFonts w:hint="eastAsia"/>
          <w:b w:val="0"/>
          <w:sz w:val="24"/>
          <w:szCs w:val="24"/>
        </w:rPr>
        <w:t>年度怀远县从业人员预防性体检项目支出绩效评价-社会问卷调查统计分析表-服务对象</w:t>
      </w:r>
    </w:p>
    <w:p w14:paraId="08375DA9">
      <w:pPr>
        <w:widowControl w:val="0"/>
        <w:shd w:val="clear" w:color="auto" w:fill="auto"/>
        <w:spacing w:line="560" w:lineRule="exact"/>
        <w:ind w:firstLine="480" w:firstLineChars="200"/>
        <w:jc w:val="both"/>
        <w:rPr>
          <w:rFonts w:hint="eastAsia"/>
          <w:b w:val="0"/>
          <w:sz w:val="24"/>
          <w:szCs w:val="24"/>
          <w:lang w:eastAsia="zh-CN"/>
        </w:rPr>
      </w:pPr>
    </w:p>
    <w:p w14:paraId="04F820D2">
      <w:pPr>
        <w:widowControl w:val="0"/>
        <w:shd w:val="clear" w:color="auto" w:fill="auto"/>
        <w:spacing w:line="560" w:lineRule="exact"/>
        <w:ind w:firstLine="480" w:firstLineChars="200"/>
        <w:jc w:val="both"/>
        <w:rPr>
          <w:rFonts w:hint="eastAsia"/>
          <w:b w:val="0"/>
          <w:sz w:val="24"/>
          <w:szCs w:val="24"/>
          <w:lang w:eastAsia="zh-CN"/>
        </w:rPr>
      </w:pPr>
    </w:p>
    <w:p w14:paraId="11C2A9FD">
      <w:pPr>
        <w:widowControl w:val="0"/>
        <w:shd w:val="clear" w:color="auto" w:fill="auto"/>
        <w:spacing w:line="560" w:lineRule="exact"/>
        <w:ind w:firstLine="480" w:firstLineChars="200"/>
        <w:jc w:val="both"/>
        <w:rPr>
          <w:rFonts w:hint="eastAsia"/>
          <w:b w:val="0"/>
          <w:sz w:val="24"/>
          <w:szCs w:val="24"/>
          <w:lang w:eastAsia="zh-CN"/>
        </w:rPr>
      </w:pPr>
    </w:p>
    <w:p w14:paraId="104E6F3E">
      <w:pPr>
        <w:widowControl w:val="0"/>
        <w:shd w:val="clear" w:color="auto" w:fill="auto"/>
        <w:spacing w:line="560" w:lineRule="exact"/>
        <w:ind w:firstLine="480" w:firstLineChars="200"/>
        <w:jc w:val="both"/>
        <w:rPr>
          <w:rFonts w:hint="eastAsia"/>
          <w:b w:val="0"/>
          <w:sz w:val="24"/>
          <w:szCs w:val="24"/>
          <w:lang w:eastAsia="zh-CN"/>
        </w:rPr>
      </w:pPr>
    </w:p>
    <w:p w14:paraId="6448E53A">
      <w:pPr>
        <w:widowControl w:val="0"/>
        <w:shd w:val="clear" w:color="auto" w:fill="auto"/>
        <w:spacing w:line="560" w:lineRule="exact"/>
        <w:ind w:firstLine="480" w:firstLineChars="200"/>
        <w:jc w:val="both"/>
        <w:rPr>
          <w:rFonts w:hint="eastAsia"/>
          <w:b w:val="0"/>
          <w:sz w:val="24"/>
          <w:szCs w:val="24"/>
          <w:lang w:eastAsia="zh-CN"/>
        </w:rPr>
      </w:pPr>
    </w:p>
    <w:p w14:paraId="03657F85">
      <w:pPr>
        <w:widowControl w:val="0"/>
        <w:shd w:val="clear" w:color="auto" w:fill="auto"/>
        <w:spacing w:line="560" w:lineRule="exact"/>
        <w:ind w:firstLine="480" w:firstLineChars="200"/>
        <w:jc w:val="both"/>
        <w:rPr>
          <w:rFonts w:hint="eastAsia"/>
          <w:b w:val="0"/>
          <w:sz w:val="24"/>
          <w:szCs w:val="24"/>
          <w:lang w:eastAsia="zh-CN"/>
        </w:rPr>
      </w:pPr>
    </w:p>
    <w:p w14:paraId="416F4890">
      <w:pPr>
        <w:widowControl w:val="0"/>
        <w:shd w:val="clear" w:color="auto" w:fill="auto"/>
        <w:spacing w:line="560" w:lineRule="exact"/>
        <w:ind w:firstLine="480" w:firstLineChars="200"/>
        <w:jc w:val="both"/>
        <w:rPr>
          <w:rFonts w:hint="eastAsia"/>
          <w:b w:val="0"/>
          <w:sz w:val="24"/>
          <w:szCs w:val="24"/>
          <w:lang w:eastAsia="zh-CN"/>
        </w:rPr>
      </w:pPr>
    </w:p>
    <w:p w14:paraId="7A43E261">
      <w:pPr>
        <w:widowControl w:val="0"/>
        <w:shd w:val="clear" w:color="auto" w:fill="auto"/>
        <w:spacing w:line="560" w:lineRule="exact"/>
        <w:ind w:firstLine="480" w:firstLineChars="200"/>
        <w:jc w:val="both"/>
        <w:rPr>
          <w:rFonts w:hint="eastAsia"/>
          <w:b w:val="0"/>
          <w:sz w:val="24"/>
          <w:szCs w:val="24"/>
          <w:lang w:eastAsia="zh-CN"/>
        </w:rPr>
      </w:pPr>
    </w:p>
    <w:p w14:paraId="5FD9660C">
      <w:pPr>
        <w:widowControl w:val="0"/>
        <w:shd w:val="clear" w:color="auto" w:fill="auto"/>
        <w:spacing w:line="560" w:lineRule="exact"/>
        <w:ind w:firstLine="480" w:firstLineChars="200"/>
        <w:jc w:val="both"/>
        <w:rPr>
          <w:rFonts w:hint="eastAsia"/>
          <w:b w:val="0"/>
          <w:sz w:val="24"/>
          <w:szCs w:val="24"/>
          <w:lang w:eastAsia="zh-CN"/>
        </w:rPr>
      </w:pPr>
    </w:p>
    <w:p w14:paraId="0C564960">
      <w:pPr>
        <w:widowControl w:val="0"/>
        <w:shd w:val="clear" w:color="auto" w:fill="auto"/>
        <w:spacing w:line="560" w:lineRule="exact"/>
        <w:ind w:firstLine="480" w:firstLineChars="200"/>
        <w:jc w:val="both"/>
        <w:rPr>
          <w:rFonts w:hint="eastAsia"/>
          <w:b w:val="0"/>
          <w:sz w:val="24"/>
          <w:szCs w:val="24"/>
          <w:lang w:eastAsia="zh-CN"/>
        </w:rPr>
      </w:pPr>
    </w:p>
    <w:p w14:paraId="073B2F4F">
      <w:pPr>
        <w:widowControl w:val="0"/>
        <w:shd w:val="clear" w:color="auto" w:fill="auto"/>
        <w:spacing w:line="560" w:lineRule="exact"/>
        <w:ind w:firstLine="480" w:firstLineChars="200"/>
        <w:jc w:val="both"/>
        <w:rPr>
          <w:rFonts w:hint="eastAsia"/>
          <w:b w:val="0"/>
          <w:sz w:val="24"/>
          <w:szCs w:val="24"/>
          <w:lang w:eastAsia="zh-CN"/>
        </w:rPr>
      </w:pPr>
    </w:p>
    <w:p w14:paraId="0BC26C46">
      <w:pPr>
        <w:widowControl w:val="0"/>
        <w:shd w:val="clear" w:color="auto" w:fill="auto"/>
        <w:spacing w:line="560" w:lineRule="exact"/>
        <w:ind w:firstLine="480" w:firstLineChars="200"/>
        <w:jc w:val="both"/>
        <w:rPr>
          <w:rFonts w:hint="eastAsia"/>
          <w:b w:val="0"/>
          <w:sz w:val="24"/>
          <w:szCs w:val="24"/>
          <w:lang w:eastAsia="zh-CN"/>
        </w:rPr>
      </w:pPr>
    </w:p>
    <w:p w14:paraId="7F3969AE">
      <w:pPr>
        <w:widowControl w:val="0"/>
        <w:shd w:val="clear" w:color="auto" w:fill="auto"/>
        <w:spacing w:line="560" w:lineRule="exact"/>
        <w:ind w:firstLine="480" w:firstLineChars="200"/>
        <w:jc w:val="both"/>
        <w:rPr>
          <w:rFonts w:hint="eastAsia"/>
          <w:b w:val="0"/>
          <w:sz w:val="24"/>
          <w:szCs w:val="24"/>
          <w:lang w:eastAsia="zh-CN"/>
        </w:rPr>
      </w:pPr>
    </w:p>
    <w:p w14:paraId="01776F33">
      <w:pPr>
        <w:widowControl w:val="0"/>
        <w:shd w:val="clear" w:color="auto" w:fill="auto"/>
        <w:spacing w:line="560" w:lineRule="exact"/>
        <w:ind w:firstLine="480" w:firstLineChars="200"/>
        <w:jc w:val="both"/>
        <w:rPr>
          <w:rFonts w:hint="eastAsia"/>
          <w:b w:val="0"/>
          <w:sz w:val="24"/>
          <w:szCs w:val="24"/>
          <w:lang w:eastAsia="zh-CN"/>
        </w:rPr>
      </w:pPr>
    </w:p>
    <w:p w14:paraId="007E14B7">
      <w:pPr>
        <w:widowControl w:val="0"/>
        <w:shd w:val="clear" w:color="auto" w:fill="auto"/>
        <w:spacing w:line="560" w:lineRule="exact"/>
        <w:ind w:firstLine="480" w:firstLineChars="200"/>
        <w:jc w:val="both"/>
        <w:rPr>
          <w:rFonts w:hint="eastAsia"/>
          <w:b w:val="0"/>
          <w:sz w:val="24"/>
          <w:szCs w:val="24"/>
          <w:lang w:eastAsia="zh-CN"/>
        </w:rPr>
      </w:pPr>
    </w:p>
    <w:p w14:paraId="144D8573">
      <w:pPr>
        <w:widowControl w:val="0"/>
        <w:shd w:val="clear" w:color="auto" w:fill="auto"/>
        <w:spacing w:line="560" w:lineRule="exact"/>
        <w:ind w:firstLine="480" w:firstLineChars="200"/>
        <w:jc w:val="both"/>
        <w:rPr>
          <w:rFonts w:hint="eastAsia"/>
          <w:b w:val="0"/>
          <w:sz w:val="24"/>
          <w:szCs w:val="24"/>
          <w:lang w:eastAsia="zh-CN"/>
        </w:rPr>
      </w:pPr>
    </w:p>
    <w:p w14:paraId="06F3DC62">
      <w:pPr>
        <w:widowControl w:val="0"/>
        <w:shd w:val="clear" w:color="auto" w:fill="auto"/>
        <w:spacing w:line="560" w:lineRule="exact"/>
        <w:ind w:firstLine="480" w:firstLineChars="200"/>
        <w:jc w:val="both"/>
        <w:rPr>
          <w:rFonts w:hint="eastAsia"/>
          <w:b w:val="0"/>
          <w:sz w:val="24"/>
          <w:szCs w:val="24"/>
          <w:lang w:eastAsia="zh-CN"/>
        </w:rPr>
      </w:pPr>
    </w:p>
    <w:p w14:paraId="0D9042E4">
      <w:pPr>
        <w:widowControl w:val="0"/>
        <w:shd w:val="clear" w:color="auto" w:fill="auto"/>
        <w:spacing w:line="560" w:lineRule="exact"/>
        <w:ind w:firstLine="480" w:firstLineChars="200"/>
        <w:jc w:val="both"/>
        <w:rPr>
          <w:rFonts w:hint="eastAsia"/>
          <w:b w:val="0"/>
          <w:sz w:val="24"/>
          <w:szCs w:val="24"/>
          <w:lang w:eastAsia="zh-CN"/>
        </w:rPr>
      </w:pPr>
    </w:p>
    <w:p w14:paraId="3532B59B">
      <w:pPr>
        <w:widowControl w:val="0"/>
        <w:shd w:val="clear" w:color="auto" w:fill="auto"/>
        <w:spacing w:line="560" w:lineRule="exact"/>
        <w:ind w:firstLine="480" w:firstLineChars="200"/>
        <w:jc w:val="both"/>
        <w:rPr>
          <w:rFonts w:hint="eastAsia"/>
          <w:b w:val="0"/>
          <w:sz w:val="24"/>
          <w:szCs w:val="24"/>
          <w:lang w:eastAsia="zh-CN"/>
        </w:rPr>
      </w:pPr>
    </w:p>
    <w:p w14:paraId="2AA2F395">
      <w:pPr>
        <w:widowControl w:val="0"/>
        <w:shd w:val="clear" w:color="auto" w:fill="auto"/>
        <w:spacing w:line="560" w:lineRule="exact"/>
        <w:ind w:firstLine="480" w:firstLineChars="200"/>
        <w:jc w:val="both"/>
        <w:rPr>
          <w:rFonts w:hint="eastAsia"/>
          <w:b w:val="0"/>
          <w:sz w:val="24"/>
          <w:szCs w:val="24"/>
          <w:lang w:eastAsia="zh-CN"/>
        </w:rPr>
      </w:pPr>
    </w:p>
    <w:p w14:paraId="3DCCF088">
      <w:pPr>
        <w:widowControl w:val="0"/>
        <w:shd w:val="clear" w:color="auto" w:fill="auto"/>
        <w:spacing w:line="560" w:lineRule="exact"/>
        <w:ind w:firstLine="480" w:firstLineChars="200"/>
        <w:jc w:val="both"/>
        <w:rPr>
          <w:rFonts w:hint="eastAsia"/>
          <w:b w:val="0"/>
          <w:sz w:val="24"/>
          <w:szCs w:val="24"/>
          <w:lang w:eastAsia="zh-CN"/>
        </w:rPr>
      </w:pPr>
    </w:p>
    <w:p w14:paraId="709C33C6">
      <w:pPr>
        <w:widowControl w:val="0"/>
        <w:shd w:val="clear" w:color="auto" w:fill="auto"/>
        <w:spacing w:line="560" w:lineRule="exact"/>
        <w:ind w:firstLine="480" w:firstLineChars="200"/>
        <w:jc w:val="both"/>
        <w:rPr>
          <w:rFonts w:hint="eastAsia"/>
          <w:b w:val="0"/>
          <w:sz w:val="24"/>
          <w:szCs w:val="24"/>
          <w:lang w:eastAsia="zh-CN"/>
        </w:rPr>
      </w:pPr>
    </w:p>
    <w:p w14:paraId="110EB441">
      <w:pPr>
        <w:widowControl w:val="0"/>
        <w:shd w:val="clear" w:color="auto" w:fill="auto"/>
        <w:spacing w:line="560" w:lineRule="exact"/>
        <w:ind w:firstLine="480" w:firstLineChars="200"/>
        <w:jc w:val="both"/>
        <w:rPr>
          <w:rFonts w:hint="eastAsia"/>
          <w:b w:val="0"/>
          <w:sz w:val="24"/>
          <w:szCs w:val="24"/>
          <w:lang w:eastAsia="zh-CN"/>
        </w:rPr>
      </w:pPr>
    </w:p>
    <w:tbl>
      <w:tblPr>
        <w:tblStyle w:val="17"/>
        <w:tblW w:w="10320" w:type="dxa"/>
        <w:tblInd w:w="-717" w:type="dxa"/>
        <w:tblLayout w:type="fixed"/>
        <w:tblCellMar>
          <w:top w:w="0" w:type="dxa"/>
          <w:left w:w="0" w:type="dxa"/>
          <w:bottom w:w="0" w:type="dxa"/>
          <w:right w:w="0" w:type="dxa"/>
        </w:tblCellMar>
      </w:tblPr>
      <w:tblGrid>
        <w:gridCol w:w="10320"/>
      </w:tblGrid>
      <w:tr w14:paraId="6193BB0A">
        <w:tblPrEx>
          <w:tblCellMar>
            <w:top w:w="0" w:type="dxa"/>
            <w:left w:w="0" w:type="dxa"/>
            <w:bottom w:w="0" w:type="dxa"/>
            <w:right w:w="0" w:type="dxa"/>
          </w:tblCellMar>
        </w:tblPrEx>
        <w:trPr>
          <w:trHeight w:val="1193" w:hRule="atLeast"/>
        </w:trPr>
        <w:tc>
          <w:tcPr>
            <w:tcW w:w="10320" w:type="dxa"/>
            <w:noWrap/>
            <w:tcMar>
              <w:top w:w="0" w:type="dxa"/>
              <w:left w:w="108" w:type="dxa"/>
              <w:bottom w:w="0" w:type="dxa"/>
              <w:right w:w="108" w:type="dxa"/>
            </w:tcMar>
            <w:vAlign w:val="center"/>
          </w:tcPr>
          <w:p w14:paraId="384284D3">
            <w:pPr>
              <w:keepNext w:val="0"/>
              <w:keepLines w:val="0"/>
              <w:pageBreakBefore w:val="0"/>
              <w:widowControl/>
              <w:kinsoku/>
              <w:wordWrap/>
              <w:overflowPunct/>
              <w:topLinePunct w:val="0"/>
              <w:autoSpaceDE/>
              <w:autoSpaceDN/>
              <w:bidi w:val="0"/>
              <w:adjustRightInd/>
              <w:snapToGrid/>
              <w:spacing w:line="560" w:lineRule="exact"/>
              <w:rPr>
                <w:rFonts w:hint="eastAsia" w:ascii="仿宋_GB2312" w:hAnsi="仿宋_GB2312" w:eastAsia="仿宋_GB2312" w:cs="仿宋_GB2312"/>
                <w:b w:val="0"/>
                <w:bCs/>
                <w:kern w:val="0"/>
                <w:sz w:val="28"/>
                <w:szCs w:val="28"/>
              </w:rPr>
            </w:pPr>
          </w:p>
          <w:p w14:paraId="7A44B669">
            <w:pPr>
              <w:keepNext w:val="0"/>
              <w:keepLines w:val="0"/>
              <w:pageBreakBefore w:val="0"/>
              <w:widowControl/>
              <w:kinsoku/>
              <w:wordWrap/>
              <w:overflowPunct/>
              <w:topLinePunct w:val="0"/>
              <w:autoSpaceDE/>
              <w:autoSpaceDN/>
              <w:bidi w:val="0"/>
              <w:adjustRightInd/>
              <w:snapToGrid/>
              <w:spacing w:line="560" w:lineRule="exact"/>
              <w:ind w:firstLine="840" w:firstLineChars="300"/>
              <w:rPr>
                <w:rFonts w:hint="eastAsia" w:ascii="仿宋_GB2312" w:hAnsi="仿宋_GB2312" w:eastAsia="仿宋_GB2312" w:cs="仿宋_GB2312"/>
                <w:b w:val="0"/>
                <w:bCs/>
                <w:kern w:val="0"/>
                <w:sz w:val="28"/>
                <w:szCs w:val="28"/>
              </w:rPr>
            </w:pPr>
            <w:r>
              <w:rPr>
                <w:rFonts w:hint="eastAsia" w:ascii="仿宋_GB2312" w:hAnsi="仿宋_GB2312" w:eastAsia="仿宋_GB2312" w:cs="仿宋_GB2312"/>
                <w:b w:val="0"/>
                <w:bCs/>
                <w:kern w:val="0"/>
                <w:sz w:val="28"/>
                <w:szCs w:val="28"/>
              </w:rPr>
              <w:t>（此页无</w:t>
            </w:r>
            <w:r>
              <w:rPr>
                <w:rFonts w:hint="eastAsia" w:ascii="仿宋_GB2312" w:hAnsi="仿宋_GB2312" w:eastAsia="仿宋_GB2312" w:cs="仿宋_GB2312"/>
                <w:b w:val="0"/>
                <w:bCs/>
                <w:kern w:val="0"/>
                <w:sz w:val="28"/>
                <w:szCs w:val="28"/>
                <w:lang w:val="en-US" w:eastAsia="zh-CN"/>
              </w:rPr>
              <w:t>正</w:t>
            </w:r>
            <w:r>
              <w:rPr>
                <w:rFonts w:hint="eastAsia" w:ascii="仿宋_GB2312" w:hAnsi="仿宋_GB2312" w:eastAsia="仿宋_GB2312" w:cs="仿宋_GB2312"/>
                <w:b w:val="0"/>
                <w:bCs/>
                <w:kern w:val="0"/>
                <w:sz w:val="28"/>
                <w:szCs w:val="28"/>
              </w:rPr>
              <w:t>文）</w:t>
            </w:r>
          </w:p>
        </w:tc>
      </w:tr>
      <w:tr w14:paraId="6C74604E">
        <w:tblPrEx>
          <w:tblCellMar>
            <w:top w:w="0" w:type="dxa"/>
            <w:left w:w="0" w:type="dxa"/>
            <w:bottom w:w="0" w:type="dxa"/>
            <w:right w:w="0" w:type="dxa"/>
          </w:tblCellMar>
        </w:tblPrEx>
        <w:trPr>
          <w:trHeight w:val="874" w:hRule="atLeast"/>
        </w:trPr>
        <w:tc>
          <w:tcPr>
            <w:tcW w:w="10320" w:type="dxa"/>
            <w:noWrap/>
            <w:tcMar>
              <w:top w:w="0" w:type="dxa"/>
              <w:left w:w="108" w:type="dxa"/>
              <w:bottom w:w="0" w:type="dxa"/>
              <w:right w:w="108" w:type="dxa"/>
            </w:tcMar>
            <w:vAlign w:val="center"/>
          </w:tcPr>
          <w:p w14:paraId="7511E0E9">
            <w:pPr>
              <w:keepNext w:val="0"/>
              <w:keepLines w:val="0"/>
              <w:pageBreakBefore w:val="0"/>
              <w:widowControl/>
              <w:kinsoku/>
              <w:wordWrap/>
              <w:overflowPunct/>
              <w:topLinePunct w:val="0"/>
              <w:autoSpaceDE/>
              <w:autoSpaceDN/>
              <w:bidi w:val="0"/>
              <w:adjustRightInd/>
              <w:snapToGrid/>
              <w:spacing w:line="560" w:lineRule="exact"/>
              <w:ind w:firstLine="840" w:firstLineChars="300"/>
              <w:rPr>
                <w:rFonts w:hint="eastAsia" w:ascii="仿宋_GB2312" w:hAnsi="仿宋_GB2312" w:eastAsia="仿宋_GB2312" w:cs="仿宋_GB2312"/>
                <w:b w:val="0"/>
                <w:bCs/>
                <w:kern w:val="0"/>
                <w:sz w:val="28"/>
                <w:szCs w:val="28"/>
              </w:rPr>
            </w:pPr>
          </w:p>
        </w:tc>
      </w:tr>
    </w:tbl>
    <w:p w14:paraId="086DEE90">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_GB2312" w:hAnsi="仿宋_GB2312" w:eastAsia="仿宋_GB2312" w:cs="仿宋_GB2312"/>
          <w:b w:val="0"/>
          <w:bCs/>
          <w:color w:val="000000"/>
          <w:kern w:val="0"/>
          <w:sz w:val="28"/>
          <w:szCs w:val="28"/>
        </w:rPr>
      </w:pPr>
    </w:p>
    <w:p w14:paraId="43D7DFB6">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_GB2312" w:hAnsi="仿宋_GB2312" w:eastAsia="仿宋_GB2312" w:cs="仿宋_GB2312"/>
          <w:b w:val="0"/>
          <w:bCs/>
          <w:color w:val="000000"/>
          <w:kern w:val="0"/>
          <w:sz w:val="28"/>
          <w:szCs w:val="28"/>
        </w:rPr>
      </w:pPr>
    </w:p>
    <w:p w14:paraId="788E45C2">
      <w:pPr>
        <w:keepNext w:val="0"/>
        <w:keepLines w:val="0"/>
        <w:pageBreakBefore w:val="0"/>
        <w:kinsoku/>
        <w:wordWrap/>
        <w:overflowPunct/>
        <w:topLinePunct w:val="0"/>
        <w:autoSpaceDE/>
        <w:autoSpaceDN/>
        <w:bidi w:val="0"/>
        <w:adjustRightInd/>
        <w:snapToGrid/>
        <w:spacing w:line="560" w:lineRule="exact"/>
        <w:jc w:val="both"/>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安徽乔峰信息科技有限公司</w:t>
      </w:r>
      <w:r>
        <w:rPr>
          <w:rFonts w:hint="eastAsia" w:ascii="仿宋_GB2312" w:hAnsi="仿宋_GB2312" w:eastAsia="仿宋_GB2312" w:cs="仿宋_GB2312"/>
          <w:b w:val="0"/>
          <w:bCs/>
          <w:sz w:val="28"/>
          <w:szCs w:val="28"/>
          <w:lang w:val="en-US" w:eastAsia="zh-CN"/>
        </w:rPr>
        <w:t xml:space="preserve">                 主评人：</w:t>
      </w:r>
      <w:r>
        <w:rPr>
          <w:rFonts w:hint="eastAsia" w:ascii="仿宋_GB2312" w:hAnsi="仿宋_GB2312" w:eastAsia="仿宋_GB2312" w:cs="仿宋_GB2312"/>
          <w:b w:val="0"/>
          <w:bCs/>
          <w:sz w:val="28"/>
          <w:szCs w:val="28"/>
        </w:rPr>
        <w:t xml:space="preserve">  </w:t>
      </w:r>
    </w:p>
    <w:p w14:paraId="08EB62C3">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                           </w:t>
      </w:r>
    </w:p>
    <w:p w14:paraId="03702000">
      <w:pPr>
        <w:keepNext w:val="0"/>
        <w:keepLines w:val="0"/>
        <w:pageBreakBefore w:val="0"/>
        <w:kinsoku/>
        <w:wordWrap/>
        <w:overflowPunct/>
        <w:topLinePunct w:val="0"/>
        <w:autoSpaceDE/>
        <w:autoSpaceDN/>
        <w:bidi w:val="0"/>
        <w:adjustRightInd/>
        <w:snapToGrid/>
        <w:spacing w:line="560" w:lineRule="exact"/>
        <w:ind w:firstLine="1120" w:firstLineChars="40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 xml:space="preserve">                       </w:t>
      </w:r>
      <w:r>
        <w:rPr>
          <w:rFonts w:hint="eastAsia" w:ascii="仿宋_GB2312" w:hAnsi="仿宋_GB2312" w:eastAsia="仿宋_GB2312" w:cs="仿宋_GB2312"/>
          <w:b w:val="0"/>
          <w:bCs/>
          <w:sz w:val="28"/>
          <w:szCs w:val="28"/>
          <w:lang w:val="en-US" w:eastAsia="zh-CN"/>
        </w:rPr>
        <w:t>主评人：</w:t>
      </w:r>
      <w:r>
        <w:rPr>
          <w:rFonts w:hint="eastAsia" w:ascii="仿宋_GB2312" w:hAnsi="仿宋_GB2312" w:eastAsia="仿宋_GB2312" w:cs="仿宋_GB2312"/>
          <w:b w:val="0"/>
          <w:bCs/>
          <w:sz w:val="28"/>
          <w:szCs w:val="28"/>
        </w:rPr>
        <w:t xml:space="preserve"> </w:t>
      </w:r>
    </w:p>
    <w:p w14:paraId="5DFBE5F3">
      <w:pPr>
        <w:keepNext w:val="0"/>
        <w:keepLines w:val="0"/>
        <w:pageBreakBefore w:val="0"/>
        <w:kinsoku/>
        <w:wordWrap/>
        <w:overflowPunct/>
        <w:topLinePunct w:val="0"/>
        <w:autoSpaceDE/>
        <w:autoSpaceDN/>
        <w:bidi w:val="0"/>
        <w:adjustRightInd/>
        <w:snapToGrid/>
        <w:spacing w:line="560" w:lineRule="exact"/>
        <w:ind w:firstLine="1120" w:firstLineChars="400"/>
        <w:rPr>
          <w:rFonts w:hint="eastAsia" w:ascii="仿宋_GB2312" w:hAnsi="仿宋_GB2312" w:eastAsia="仿宋_GB2312" w:cs="仿宋_GB2312"/>
          <w:b w:val="0"/>
          <w:bCs/>
          <w:sz w:val="28"/>
          <w:szCs w:val="28"/>
        </w:rPr>
      </w:pPr>
    </w:p>
    <w:p w14:paraId="65DF8377">
      <w:pPr>
        <w:widowControl w:val="0"/>
        <w:shd w:val="clear" w:color="auto" w:fill="auto"/>
        <w:spacing w:line="560" w:lineRule="exact"/>
        <w:ind w:firstLine="5320" w:firstLineChars="1900"/>
        <w:jc w:val="both"/>
        <w:rPr>
          <w:rFonts w:hint="eastAsia"/>
          <w:b w:val="0"/>
          <w:bCs/>
          <w:sz w:val="24"/>
          <w:szCs w:val="24"/>
          <w:lang w:eastAsia="zh-CN"/>
        </w:rPr>
      </w:pPr>
      <w:r>
        <w:rPr>
          <w:rFonts w:hint="eastAsia" w:ascii="仿宋_GB2312" w:hAnsi="仿宋_GB2312" w:eastAsia="仿宋_GB2312" w:cs="仿宋_GB2312"/>
          <w:b w:val="0"/>
          <w:bCs/>
          <w:sz w:val="28"/>
          <w:szCs w:val="28"/>
        </w:rPr>
        <w:t>202</w:t>
      </w:r>
      <w:r>
        <w:rPr>
          <w:rFonts w:hint="eastAsia" w:ascii="仿宋_GB2312" w:hAnsi="仿宋_GB2312" w:eastAsia="仿宋_GB2312" w:cs="仿宋_GB2312"/>
          <w:b w:val="0"/>
          <w:bCs/>
          <w:sz w:val="28"/>
          <w:szCs w:val="28"/>
          <w:lang w:val="en-US" w:eastAsia="zh-CN"/>
        </w:rPr>
        <w:t>4</w:t>
      </w:r>
      <w:r>
        <w:rPr>
          <w:rFonts w:hint="eastAsia" w:ascii="仿宋_GB2312" w:hAnsi="仿宋_GB2312" w:eastAsia="仿宋_GB2312" w:cs="仿宋_GB2312"/>
          <w:b w:val="0"/>
          <w:bCs/>
          <w:sz w:val="28"/>
          <w:szCs w:val="28"/>
        </w:rPr>
        <w:t>年</w:t>
      </w:r>
      <w:r>
        <w:rPr>
          <w:rFonts w:hint="eastAsia" w:ascii="仿宋_GB2312" w:hAnsi="仿宋_GB2312" w:eastAsia="仿宋_GB2312" w:cs="仿宋_GB2312"/>
          <w:b w:val="0"/>
          <w:bCs/>
          <w:sz w:val="28"/>
          <w:szCs w:val="28"/>
          <w:lang w:val="en-US" w:eastAsia="zh-CN"/>
        </w:rPr>
        <w:t>12</w:t>
      </w:r>
      <w:r>
        <w:rPr>
          <w:rFonts w:hint="eastAsia" w:ascii="仿宋_GB2312" w:hAnsi="仿宋_GB2312" w:eastAsia="仿宋_GB2312" w:cs="仿宋_GB2312"/>
          <w:b w:val="0"/>
          <w:bCs/>
          <w:sz w:val="28"/>
          <w:szCs w:val="28"/>
        </w:rPr>
        <w:t xml:space="preserve"> 月</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日</w:t>
      </w:r>
    </w:p>
    <w:p w14:paraId="442AF795">
      <w:pPr>
        <w:widowControl w:val="0"/>
        <w:shd w:val="clear" w:color="auto" w:fill="auto"/>
        <w:spacing w:line="560" w:lineRule="exact"/>
        <w:ind w:firstLine="480" w:firstLineChars="200"/>
        <w:jc w:val="both"/>
        <w:rPr>
          <w:rFonts w:hint="eastAsia"/>
          <w:b w:val="0"/>
          <w:bCs/>
          <w:sz w:val="24"/>
          <w:szCs w:val="24"/>
          <w:lang w:eastAsia="zh-CN"/>
        </w:rPr>
      </w:pPr>
    </w:p>
    <w:p w14:paraId="19303E12">
      <w:pPr>
        <w:widowControl w:val="0"/>
        <w:shd w:val="clear" w:color="auto" w:fill="auto"/>
        <w:spacing w:line="560" w:lineRule="exact"/>
        <w:ind w:firstLine="480" w:firstLineChars="200"/>
        <w:jc w:val="both"/>
        <w:rPr>
          <w:rFonts w:hint="eastAsia"/>
          <w:b w:val="0"/>
          <w:sz w:val="24"/>
          <w:szCs w:val="24"/>
          <w:lang w:eastAsia="zh-CN"/>
        </w:rPr>
      </w:pPr>
    </w:p>
    <w:p w14:paraId="415CD1C7">
      <w:pPr>
        <w:widowControl w:val="0"/>
        <w:shd w:val="clear" w:color="auto" w:fill="auto"/>
        <w:spacing w:line="560" w:lineRule="exact"/>
        <w:ind w:firstLine="480" w:firstLineChars="200"/>
        <w:jc w:val="both"/>
        <w:rPr>
          <w:rFonts w:hint="eastAsia"/>
          <w:b w:val="0"/>
          <w:sz w:val="24"/>
          <w:szCs w:val="24"/>
          <w:lang w:eastAsia="zh-CN"/>
        </w:rPr>
      </w:pPr>
    </w:p>
    <w:p w14:paraId="3C2938DE">
      <w:pPr>
        <w:widowControl w:val="0"/>
        <w:shd w:val="clear" w:color="auto" w:fill="auto"/>
        <w:spacing w:line="560" w:lineRule="exact"/>
        <w:ind w:firstLine="480" w:firstLineChars="200"/>
        <w:jc w:val="both"/>
        <w:rPr>
          <w:rFonts w:hint="eastAsia"/>
          <w:b w:val="0"/>
          <w:sz w:val="24"/>
          <w:szCs w:val="24"/>
          <w:lang w:eastAsia="zh-CN"/>
        </w:rPr>
      </w:pPr>
    </w:p>
    <w:p w14:paraId="26629829">
      <w:pPr>
        <w:widowControl w:val="0"/>
        <w:shd w:val="clear" w:color="auto" w:fill="auto"/>
        <w:spacing w:line="560" w:lineRule="exact"/>
        <w:ind w:firstLine="480" w:firstLineChars="200"/>
        <w:jc w:val="both"/>
        <w:rPr>
          <w:rFonts w:hint="eastAsia"/>
          <w:b w:val="0"/>
          <w:sz w:val="24"/>
          <w:szCs w:val="24"/>
          <w:lang w:eastAsia="zh-CN"/>
        </w:rPr>
      </w:pPr>
    </w:p>
    <w:p w14:paraId="1B0DABDD">
      <w:pPr>
        <w:widowControl w:val="0"/>
        <w:shd w:val="clear" w:color="auto" w:fill="auto"/>
        <w:spacing w:line="560" w:lineRule="exact"/>
        <w:ind w:firstLine="480" w:firstLineChars="200"/>
        <w:jc w:val="both"/>
        <w:rPr>
          <w:rFonts w:hint="eastAsia"/>
          <w:b w:val="0"/>
          <w:sz w:val="24"/>
          <w:szCs w:val="24"/>
          <w:lang w:eastAsia="zh-CN"/>
        </w:rPr>
      </w:pPr>
    </w:p>
    <w:p w14:paraId="56CD6767">
      <w:pPr>
        <w:widowControl w:val="0"/>
        <w:shd w:val="clear" w:color="auto" w:fill="auto"/>
        <w:spacing w:line="560" w:lineRule="exact"/>
        <w:ind w:firstLine="480" w:firstLineChars="200"/>
        <w:jc w:val="both"/>
        <w:rPr>
          <w:rFonts w:hint="eastAsia"/>
          <w:b w:val="0"/>
          <w:sz w:val="24"/>
          <w:szCs w:val="24"/>
          <w:lang w:eastAsia="zh-CN"/>
        </w:rPr>
      </w:pPr>
    </w:p>
    <w:p w14:paraId="45BF7929">
      <w:pPr>
        <w:widowControl w:val="0"/>
        <w:shd w:val="clear" w:color="auto" w:fill="auto"/>
        <w:spacing w:line="560" w:lineRule="exact"/>
        <w:ind w:firstLine="480" w:firstLineChars="200"/>
        <w:jc w:val="both"/>
        <w:rPr>
          <w:rFonts w:hint="eastAsia"/>
          <w:b w:val="0"/>
          <w:sz w:val="24"/>
          <w:szCs w:val="24"/>
          <w:lang w:val="en-US" w:eastAsia="zh-CN"/>
        </w:rPr>
      </w:pPr>
    </w:p>
    <w:sectPr>
      <w:headerReference r:id="rId5" w:type="default"/>
      <w:footerReference r:id="rId6" w:type="default"/>
      <w:pgSz w:w="11906" w:h="16838"/>
      <w:pgMar w:top="1440" w:right="1800" w:bottom="127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宋体">
    <w:altName w:val="宋体"/>
    <w:panose1 w:val="00000000000000000000"/>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7CEF1">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8C5821">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E8C5821">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8D0E1">
    <w:pPr>
      <w:pStyle w:val="10"/>
      <w:rPr>
        <w:sz w:val="21"/>
        <w:szCs w:val="21"/>
      </w:rPr>
    </w:pPr>
    <w:r>
      <w:rPr>
        <w:rFonts w:hint="eastAsia"/>
        <w:bCs/>
        <w:sz w:val="36"/>
      </w:rPr>
      <w:t xml:space="preserve">  </w:t>
    </w:r>
    <w:r>
      <w:rPr>
        <w:rFonts w:hint="eastAsia"/>
      </w:rPr>
      <w:t xml:space="preserve">  202</w:t>
    </w:r>
    <w:r>
      <w:t>3</w:t>
    </w:r>
    <w:r>
      <w:rPr>
        <w:rFonts w:hint="eastAsia"/>
      </w:rPr>
      <w:t>年度怀远县从业人员预防性体检项目支出绩效评价报告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iMTBjYjNkMGU3MjhmNTE3ZWE3ZDEzMDc2OGU1ZjkifQ=="/>
  </w:docVars>
  <w:rsids>
    <w:rsidRoot w:val="00433B5E"/>
    <w:rsid w:val="000A0214"/>
    <w:rsid w:val="000F793D"/>
    <w:rsid w:val="00113EB4"/>
    <w:rsid w:val="001402EA"/>
    <w:rsid w:val="0016361C"/>
    <w:rsid w:val="00174EFC"/>
    <w:rsid w:val="00197746"/>
    <w:rsid w:val="001C31F6"/>
    <w:rsid w:val="001D1DCB"/>
    <w:rsid w:val="001E4520"/>
    <w:rsid w:val="00277C95"/>
    <w:rsid w:val="00280154"/>
    <w:rsid w:val="002923A7"/>
    <w:rsid w:val="002D7190"/>
    <w:rsid w:val="003046A0"/>
    <w:rsid w:val="003A79D4"/>
    <w:rsid w:val="003D6820"/>
    <w:rsid w:val="00433B5E"/>
    <w:rsid w:val="00465AF3"/>
    <w:rsid w:val="004B403D"/>
    <w:rsid w:val="004E2A66"/>
    <w:rsid w:val="004E454C"/>
    <w:rsid w:val="004F7416"/>
    <w:rsid w:val="004F7485"/>
    <w:rsid w:val="00543749"/>
    <w:rsid w:val="00596955"/>
    <w:rsid w:val="005972B6"/>
    <w:rsid w:val="005A119E"/>
    <w:rsid w:val="005A28EA"/>
    <w:rsid w:val="005D4ACE"/>
    <w:rsid w:val="005F34AE"/>
    <w:rsid w:val="006350E3"/>
    <w:rsid w:val="00651804"/>
    <w:rsid w:val="006C3121"/>
    <w:rsid w:val="00737B51"/>
    <w:rsid w:val="007424A8"/>
    <w:rsid w:val="007A5BD1"/>
    <w:rsid w:val="00800835"/>
    <w:rsid w:val="00856E8B"/>
    <w:rsid w:val="00866150"/>
    <w:rsid w:val="00866E0E"/>
    <w:rsid w:val="008848A5"/>
    <w:rsid w:val="008D6B44"/>
    <w:rsid w:val="00914DD9"/>
    <w:rsid w:val="00947CFA"/>
    <w:rsid w:val="009D4CFA"/>
    <w:rsid w:val="00A078B7"/>
    <w:rsid w:val="00A14E92"/>
    <w:rsid w:val="00A3422B"/>
    <w:rsid w:val="00AD64CA"/>
    <w:rsid w:val="00AF680B"/>
    <w:rsid w:val="00B22F18"/>
    <w:rsid w:val="00BB73CF"/>
    <w:rsid w:val="00BD2017"/>
    <w:rsid w:val="00C351CC"/>
    <w:rsid w:val="00C95404"/>
    <w:rsid w:val="00CB541C"/>
    <w:rsid w:val="00CB7345"/>
    <w:rsid w:val="00CC2947"/>
    <w:rsid w:val="00CF3A76"/>
    <w:rsid w:val="00D44E76"/>
    <w:rsid w:val="00D459A3"/>
    <w:rsid w:val="00D95440"/>
    <w:rsid w:val="00DB2F7B"/>
    <w:rsid w:val="00E350F9"/>
    <w:rsid w:val="00E52996"/>
    <w:rsid w:val="00EC7923"/>
    <w:rsid w:val="00ED4E3E"/>
    <w:rsid w:val="00F05ACD"/>
    <w:rsid w:val="00F13739"/>
    <w:rsid w:val="00F172E3"/>
    <w:rsid w:val="011A24F4"/>
    <w:rsid w:val="012C2386"/>
    <w:rsid w:val="01587EBB"/>
    <w:rsid w:val="01695A1E"/>
    <w:rsid w:val="01946082"/>
    <w:rsid w:val="022C5E87"/>
    <w:rsid w:val="026220AC"/>
    <w:rsid w:val="027D0A58"/>
    <w:rsid w:val="02933024"/>
    <w:rsid w:val="02A831A2"/>
    <w:rsid w:val="02EB239A"/>
    <w:rsid w:val="02EB4DB0"/>
    <w:rsid w:val="02F96C46"/>
    <w:rsid w:val="034451A3"/>
    <w:rsid w:val="03BB1AB2"/>
    <w:rsid w:val="03CA0201"/>
    <w:rsid w:val="03CA1FAF"/>
    <w:rsid w:val="040E6340"/>
    <w:rsid w:val="0427765C"/>
    <w:rsid w:val="0428457E"/>
    <w:rsid w:val="066927A1"/>
    <w:rsid w:val="069C40D7"/>
    <w:rsid w:val="06B46D32"/>
    <w:rsid w:val="06D6178A"/>
    <w:rsid w:val="06FD0228"/>
    <w:rsid w:val="0732440A"/>
    <w:rsid w:val="0764271A"/>
    <w:rsid w:val="08005A40"/>
    <w:rsid w:val="08161483"/>
    <w:rsid w:val="08765411"/>
    <w:rsid w:val="08C47915"/>
    <w:rsid w:val="08D83302"/>
    <w:rsid w:val="08FF5006"/>
    <w:rsid w:val="091F2A04"/>
    <w:rsid w:val="09903E00"/>
    <w:rsid w:val="0A2B5C12"/>
    <w:rsid w:val="0A921402"/>
    <w:rsid w:val="0ADF3911"/>
    <w:rsid w:val="0B085F27"/>
    <w:rsid w:val="0B34440D"/>
    <w:rsid w:val="0B6379F7"/>
    <w:rsid w:val="0BC31C2B"/>
    <w:rsid w:val="0E4B63E2"/>
    <w:rsid w:val="0ED66DC8"/>
    <w:rsid w:val="0EDD528C"/>
    <w:rsid w:val="0F0D5446"/>
    <w:rsid w:val="10CA42EC"/>
    <w:rsid w:val="10F24115"/>
    <w:rsid w:val="1122242E"/>
    <w:rsid w:val="114208BC"/>
    <w:rsid w:val="11955B04"/>
    <w:rsid w:val="11FE0AFA"/>
    <w:rsid w:val="121921E1"/>
    <w:rsid w:val="12C1017F"/>
    <w:rsid w:val="130A128E"/>
    <w:rsid w:val="13737F6D"/>
    <w:rsid w:val="13AC11DA"/>
    <w:rsid w:val="13B77E0D"/>
    <w:rsid w:val="148278AB"/>
    <w:rsid w:val="14AD6CA4"/>
    <w:rsid w:val="15480228"/>
    <w:rsid w:val="159F0DA2"/>
    <w:rsid w:val="15F9400B"/>
    <w:rsid w:val="163B27BD"/>
    <w:rsid w:val="17C83F27"/>
    <w:rsid w:val="17E256C1"/>
    <w:rsid w:val="18564F55"/>
    <w:rsid w:val="1A40332C"/>
    <w:rsid w:val="1A8B2040"/>
    <w:rsid w:val="1B4B4399"/>
    <w:rsid w:val="1C923DAD"/>
    <w:rsid w:val="1E1A16F4"/>
    <w:rsid w:val="1F795149"/>
    <w:rsid w:val="1F9A383D"/>
    <w:rsid w:val="2010196E"/>
    <w:rsid w:val="2014250D"/>
    <w:rsid w:val="201A57B6"/>
    <w:rsid w:val="207827C2"/>
    <w:rsid w:val="20A166A9"/>
    <w:rsid w:val="20AF6BF1"/>
    <w:rsid w:val="20C932CD"/>
    <w:rsid w:val="210A4F98"/>
    <w:rsid w:val="21470C8B"/>
    <w:rsid w:val="2192416F"/>
    <w:rsid w:val="21C569DD"/>
    <w:rsid w:val="221A4562"/>
    <w:rsid w:val="22761872"/>
    <w:rsid w:val="22DF038C"/>
    <w:rsid w:val="236A65E4"/>
    <w:rsid w:val="23835431"/>
    <w:rsid w:val="24261DBA"/>
    <w:rsid w:val="244E5302"/>
    <w:rsid w:val="24B565F4"/>
    <w:rsid w:val="24D83084"/>
    <w:rsid w:val="257C7769"/>
    <w:rsid w:val="25816046"/>
    <w:rsid w:val="25EA7F30"/>
    <w:rsid w:val="26225FE1"/>
    <w:rsid w:val="264B04A7"/>
    <w:rsid w:val="265D41FA"/>
    <w:rsid w:val="27015200"/>
    <w:rsid w:val="27910AE6"/>
    <w:rsid w:val="287C7A8F"/>
    <w:rsid w:val="28A64B17"/>
    <w:rsid w:val="28CB5C60"/>
    <w:rsid w:val="297212F3"/>
    <w:rsid w:val="29EE3F0A"/>
    <w:rsid w:val="2A24365F"/>
    <w:rsid w:val="2A344976"/>
    <w:rsid w:val="2AB54EB7"/>
    <w:rsid w:val="2ACD3F13"/>
    <w:rsid w:val="2B4104F9"/>
    <w:rsid w:val="2B9B2E7E"/>
    <w:rsid w:val="2C181E89"/>
    <w:rsid w:val="2CBC7852"/>
    <w:rsid w:val="2CFB60AE"/>
    <w:rsid w:val="2D766B80"/>
    <w:rsid w:val="2E2E2284"/>
    <w:rsid w:val="2E4852DC"/>
    <w:rsid w:val="2E556297"/>
    <w:rsid w:val="2E954F0D"/>
    <w:rsid w:val="2ED17086"/>
    <w:rsid w:val="309E5A35"/>
    <w:rsid w:val="31E8264E"/>
    <w:rsid w:val="32B6787C"/>
    <w:rsid w:val="332D7CE1"/>
    <w:rsid w:val="334D0383"/>
    <w:rsid w:val="33C5616B"/>
    <w:rsid w:val="33ED7C29"/>
    <w:rsid w:val="343346E7"/>
    <w:rsid w:val="34B374B3"/>
    <w:rsid w:val="34F565F4"/>
    <w:rsid w:val="354237EC"/>
    <w:rsid w:val="35FC0FEF"/>
    <w:rsid w:val="35FD74DC"/>
    <w:rsid w:val="36592B9B"/>
    <w:rsid w:val="376753FD"/>
    <w:rsid w:val="376B0518"/>
    <w:rsid w:val="37FB30C2"/>
    <w:rsid w:val="38521F98"/>
    <w:rsid w:val="390831EC"/>
    <w:rsid w:val="399203C5"/>
    <w:rsid w:val="39C3492C"/>
    <w:rsid w:val="3A5D511E"/>
    <w:rsid w:val="3AB01669"/>
    <w:rsid w:val="3C5D5ED4"/>
    <w:rsid w:val="3CF96E86"/>
    <w:rsid w:val="3DF5764D"/>
    <w:rsid w:val="3DFF04CC"/>
    <w:rsid w:val="3ED40D01"/>
    <w:rsid w:val="3EDB2A24"/>
    <w:rsid w:val="3F0B662D"/>
    <w:rsid w:val="3F7D1C70"/>
    <w:rsid w:val="404E11B5"/>
    <w:rsid w:val="405D3B07"/>
    <w:rsid w:val="40CB441E"/>
    <w:rsid w:val="40CF1BD4"/>
    <w:rsid w:val="4105229D"/>
    <w:rsid w:val="412B7DAA"/>
    <w:rsid w:val="41537BB6"/>
    <w:rsid w:val="42310C62"/>
    <w:rsid w:val="429569D3"/>
    <w:rsid w:val="42C722F0"/>
    <w:rsid w:val="43257827"/>
    <w:rsid w:val="448C05DF"/>
    <w:rsid w:val="44B71B00"/>
    <w:rsid w:val="454349DA"/>
    <w:rsid w:val="45CE218B"/>
    <w:rsid w:val="45FD7C97"/>
    <w:rsid w:val="465D0D29"/>
    <w:rsid w:val="47040901"/>
    <w:rsid w:val="47042BC4"/>
    <w:rsid w:val="471B28B4"/>
    <w:rsid w:val="495C20AE"/>
    <w:rsid w:val="49906E93"/>
    <w:rsid w:val="49DE18DD"/>
    <w:rsid w:val="4ADA281F"/>
    <w:rsid w:val="4B056479"/>
    <w:rsid w:val="4B95246F"/>
    <w:rsid w:val="4B9B255F"/>
    <w:rsid w:val="4C123DA1"/>
    <w:rsid w:val="4C2C6367"/>
    <w:rsid w:val="4D281794"/>
    <w:rsid w:val="4D3F3DDA"/>
    <w:rsid w:val="4ED9026B"/>
    <w:rsid w:val="4F697E9B"/>
    <w:rsid w:val="4F89667E"/>
    <w:rsid w:val="50474FE1"/>
    <w:rsid w:val="504D07C4"/>
    <w:rsid w:val="508807F5"/>
    <w:rsid w:val="50C73CF7"/>
    <w:rsid w:val="50E52BA5"/>
    <w:rsid w:val="50E551FB"/>
    <w:rsid w:val="50F31D2C"/>
    <w:rsid w:val="50F65572"/>
    <w:rsid w:val="51B73C98"/>
    <w:rsid w:val="52460A9F"/>
    <w:rsid w:val="527021AA"/>
    <w:rsid w:val="528212A5"/>
    <w:rsid w:val="534D4F99"/>
    <w:rsid w:val="537376DD"/>
    <w:rsid w:val="549239F0"/>
    <w:rsid w:val="549459BA"/>
    <w:rsid w:val="54DA2470"/>
    <w:rsid w:val="554E0503"/>
    <w:rsid w:val="55610FFA"/>
    <w:rsid w:val="558E6908"/>
    <w:rsid w:val="55B338C7"/>
    <w:rsid w:val="55F5199E"/>
    <w:rsid w:val="57144254"/>
    <w:rsid w:val="572B3988"/>
    <w:rsid w:val="57EE718F"/>
    <w:rsid w:val="582924E0"/>
    <w:rsid w:val="58537FC0"/>
    <w:rsid w:val="58786E3D"/>
    <w:rsid w:val="58BA6A91"/>
    <w:rsid w:val="5A0F3A5D"/>
    <w:rsid w:val="5A164706"/>
    <w:rsid w:val="5A442E14"/>
    <w:rsid w:val="5A6A22D8"/>
    <w:rsid w:val="5AF80325"/>
    <w:rsid w:val="5B114F90"/>
    <w:rsid w:val="5B486F50"/>
    <w:rsid w:val="5D7358B6"/>
    <w:rsid w:val="5EDA1CE4"/>
    <w:rsid w:val="5EEE4EC3"/>
    <w:rsid w:val="5FBA3DFB"/>
    <w:rsid w:val="602B7335"/>
    <w:rsid w:val="61B079A3"/>
    <w:rsid w:val="6215742C"/>
    <w:rsid w:val="622A5268"/>
    <w:rsid w:val="62521BBE"/>
    <w:rsid w:val="63400ABB"/>
    <w:rsid w:val="644F6D15"/>
    <w:rsid w:val="64746C6E"/>
    <w:rsid w:val="64D42282"/>
    <w:rsid w:val="65102440"/>
    <w:rsid w:val="651A5FD7"/>
    <w:rsid w:val="658B24C1"/>
    <w:rsid w:val="65AF1157"/>
    <w:rsid w:val="66227156"/>
    <w:rsid w:val="6647487D"/>
    <w:rsid w:val="66644DA3"/>
    <w:rsid w:val="66645CD8"/>
    <w:rsid w:val="6682791F"/>
    <w:rsid w:val="669D32EF"/>
    <w:rsid w:val="672312B6"/>
    <w:rsid w:val="67673ED9"/>
    <w:rsid w:val="680F2547"/>
    <w:rsid w:val="689B3D17"/>
    <w:rsid w:val="68A85138"/>
    <w:rsid w:val="69025709"/>
    <w:rsid w:val="69052BBE"/>
    <w:rsid w:val="69D3741A"/>
    <w:rsid w:val="6A1967EB"/>
    <w:rsid w:val="6A2A3187"/>
    <w:rsid w:val="6AB1521D"/>
    <w:rsid w:val="6AD86EB6"/>
    <w:rsid w:val="6B5855A3"/>
    <w:rsid w:val="6B890047"/>
    <w:rsid w:val="6BB41665"/>
    <w:rsid w:val="6C281322"/>
    <w:rsid w:val="6CB667C0"/>
    <w:rsid w:val="6D155CC1"/>
    <w:rsid w:val="6D6737D4"/>
    <w:rsid w:val="6DA72590"/>
    <w:rsid w:val="6E5378F4"/>
    <w:rsid w:val="6E5A7755"/>
    <w:rsid w:val="6EE420A1"/>
    <w:rsid w:val="6F0230C8"/>
    <w:rsid w:val="6F1154C3"/>
    <w:rsid w:val="6FE37012"/>
    <w:rsid w:val="700C24E8"/>
    <w:rsid w:val="70135B1B"/>
    <w:rsid w:val="70587444"/>
    <w:rsid w:val="70967F6C"/>
    <w:rsid w:val="70A049F5"/>
    <w:rsid w:val="70A616FB"/>
    <w:rsid w:val="70ED2F83"/>
    <w:rsid w:val="71997D14"/>
    <w:rsid w:val="71D9079B"/>
    <w:rsid w:val="71FD6501"/>
    <w:rsid w:val="723D4EF9"/>
    <w:rsid w:val="7266334B"/>
    <w:rsid w:val="72A37C89"/>
    <w:rsid w:val="730114D3"/>
    <w:rsid w:val="73BC703B"/>
    <w:rsid w:val="73DE22F1"/>
    <w:rsid w:val="73F3039A"/>
    <w:rsid w:val="74565612"/>
    <w:rsid w:val="746F3611"/>
    <w:rsid w:val="7513602F"/>
    <w:rsid w:val="756030EE"/>
    <w:rsid w:val="75A37D78"/>
    <w:rsid w:val="762305D7"/>
    <w:rsid w:val="76A77F9C"/>
    <w:rsid w:val="771A36A5"/>
    <w:rsid w:val="77423580"/>
    <w:rsid w:val="775A7240"/>
    <w:rsid w:val="77C6382D"/>
    <w:rsid w:val="78164DE4"/>
    <w:rsid w:val="78A27624"/>
    <w:rsid w:val="790463BB"/>
    <w:rsid w:val="790C34C1"/>
    <w:rsid w:val="792C76C0"/>
    <w:rsid w:val="796A56F7"/>
    <w:rsid w:val="798824CB"/>
    <w:rsid w:val="79986240"/>
    <w:rsid w:val="79B24373"/>
    <w:rsid w:val="7A1759B7"/>
    <w:rsid w:val="7A2A2335"/>
    <w:rsid w:val="7B7214E6"/>
    <w:rsid w:val="7B9A6B62"/>
    <w:rsid w:val="7C0901DF"/>
    <w:rsid w:val="7C660C62"/>
    <w:rsid w:val="7D340D2B"/>
    <w:rsid w:val="7D3F7816"/>
    <w:rsid w:val="7DEF0220"/>
    <w:rsid w:val="7E39774F"/>
    <w:rsid w:val="7E855DAD"/>
    <w:rsid w:val="7ED70906"/>
    <w:rsid w:val="7EFB4B64"/>
    <w:rsid w:val="7F1A34A0"/>
    <w:rsid w:val="7F782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hd w:val="clear" w:color="auto" w:fill="FFFFFF"/>
      <w:spacing w:line="560" w:lineRule="atLeast"/>
      <w:jc w:val="center"/>
    </w:pPr>
    <w:rPr>
      <w:rFonts w:ascii="仿宋" w:hAnsi="仿宋" w:eastAsia="仿宋" w:cs="仿宋"/>
      <w:b/>
      <w:kern w:val="2"/>
      <w:sz w:val="44"/>
      <w:szCs w:val="44"/>
      <w:lang w:val="en-US" w:eastAsia="zh-CN" w:bidi="ar-SA"/>
    </w:rPr>
  </w:style>
  <w:style w:type="paragraph" w:styleId="2">
    <w:name w:val="heading 1"/>
    <w:basedOn w:val="1"/>
    <w:next w:val="1"/>
    <w:link w:val="24"/>
    <w:qFormat/>
    <w:uiPriority w:val="9"/>
    <w:pPr>
      <w:keepNext/>
      <w:keepLines/>
      <w:spacing w:before="340" w:after="330" w:line="578" w:lineRule="atLeast"/>
      <w:outlineLvl w:val="0"/>
    </w:pPr>
    <w:rPr>
      <w:bCs/>
      <w:kern w:val="44"/>
    </w:rPr>
  </w:style>
  <w:style w:type="paragraph" w:styleId="3">
    <w:name w:val="heading 2"/>
    <w:basedOn w:val="1"/>
    <w:next w:val="1"/>
    <w:autoRedefine/>
    <w:qFormat/>
    <w:uiPriority w:val="0"/>
    <w:pPr>
      <w:keepNext/>
      <w:keepLines/>
      <w:spacing w:before="260" w:after="340"/>
      <w:jc w:val="left"/>
      <w:outlineLvl w:val="1"/>
    </w:pPr>
    <w:rPr>
      <w:b w:val="0"/>
      <w:bCs/>
      <w:sz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Body Text"/>
    <w:basedOn w:val="1"/>
    <w:autoRedefine/>
    <w:unhideWhenUsed/>
    <w:qFormat/>
    <w:uiPriority w:val="0"/>
    <w:pPr>
      <w:spacing w:after="120"/>
    </w:pPr>
  </w:style>
  <w:style w:type="paragraph" w:styleId="5">
    <w:name w:val="Body Text Indent"/>
    <w:basedOn w:val="1"/>
    <w:next w:val="6"/>
    <w:autoRedefine/>
    <w:unhideWhenUsed/>
    <w:qFormat/>
    <w:uiPriority w:val="99"/>
    <w:pPr>
      <w:ind w:left="420" w:leftChars="200"/>
    </w:pPr>
  </w:style>
  <w:style w:type="paragraph" w:styleId="6">
    <w:name w:val="envelope return"/>
    <w:basedOn w:val="1"/>
    <w:autoRedefine/>
    <w:qFormat/>
    <w:uiPriority w:val="0"/>
    <w:pPr>
      <w:snapToGrid w:val="0"/>
    </w:pPr>
    <w:rPr>
      <w:rFonts w:ascii="Arial" w:hAnsi="Arial" w:cs="Arial"/>
      <w:szCs w:val="24"/>
    </w:rPr>
  </w:style>
  <w:style w:type="paragraph" w:styleId="7">
    <w:name w:val="Date"/>
    <w:basedOn w:val="1"/>
    <w:next w:val="1"/>
    <w:link w:val="26"/>
    <w:semiHidden/>
    <w:unhideWhenUsed/>
    <w:qFormat/>
    <w:uiPriority w:val="99"/>
    <w:pPr>
      <w:ind w:left="100" w:leftChars="2500"/>
    </w:pPr>
  </w:style>
  <w:style w:type="paragraph" w:styleId="8">
    <w:name w:val="Body Text Indent 2"/>
    <w:basedOn w:val="1"/>
    <w:autoRedefine/>
    <w:qFormat/>
    <w:uiPriority w:val="0"/>
    <w:pPr>
      <w:spacing w:line="590" w:lineRule="exact"/>
      <w:ind w:firstLine="880" w:firstLineChars="200"/>
    </w:pPr>
    <w:rPr>
      <w:rFonts w:eastAsia="方正仿宋_GBK"/>
    </w:rPr>
  </w:style>
  <w:style w:type="paragraph" w:styleId="9">
    <w:name w:val="footer"/>
    <w:basedOn w:val="1"/>
    <w:autoRedefine/>
    <w:unhideWhenUsed/>
    <w:qFormat/>
    <w:uiPriority w:val="99"/>
    <w:pPr>
      <w:tabs>
        <w:tab w:val="center" w:pos="4153"/>
        <w:tab w:val="right" w:pos="8306"/>
      </w:tabs>
      <w:snapToGrid w:val="0"/>
      <w:jc w:val="left"/>
    </w:pPr>
    <w:rPr>
      <w:sz w:val="18"/>
    </w:rPr>
  </w:style>
  <w:style w:type="paragraph" w:styleId="10">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autoRedefine/>
    <w:semiHidden/>
    <w:unhideWhenUsed/>
    <w:qFormat/>
    <w:uiPriority w:val="39"/>
  </w:style>
  <w:style w:type="paragraph" w:styleId="12">
    <w:name w:val="Subtitle"/>
    <w:basedOn w:val="1"/>
    <w:next w:val="1"/>
    <w:link w:val="21"/>
    <w:autoRedefine/>
    <w:qFormat/>
    <w:uiPriority w:val="11"/>
    <w:pPr>
      <w:spacing w:before="240" w:after="60" w:line="312" w:lineRule="auto"/>
      <w:outlineLvl w:val="1"/>
    </w:pPr>
    <w:rPr>
      <w:rFonts w:asciiTheme="minorHAnsi" w:hAnsiTheme="minorHAnsi" w:eastAsiaTheme="minorEastAsia" w:cstheme="minorBidi"/>
      <w:b w:val="0"/>
      <w:bCs/>
      <w:kern w:val="28"/>
      <w:sz w:val="32"/>
      <w:szCs w:val="32"/>
    </w:rPr>
  </w:style>
  <w:style w:type="paragraph" w:styleId="13">
    <w:name w:val="toc 2"/>
    <w:basedOn w:val="1"/>
    <w:next w:val="1"/>
    <w:autoRedefine/>
    <w:semiHidden/>
    <w:unhideWhenUsed/>
    <w:qFormat/>
    <w:uiPriority w:val="39"/>
    <w:pPr>
      <w:ind w:left="420" w:leftChars="200"/>
    </w:pPr>
  </w:style>
  <w:style w:type="paragraph" w:styleId="14">
    <w:name w:val="Normal (Web)"/>
    <w:basedOn w:val="1"/>
    <w:autoRedefine/>
    <w:unhideWhenUsed/>
    <w:qFormat/>
    <w:uiPriority w:val="99"/>
    <w:pPr>
      <w:spacing w:before="100" w:beforeAutospacing="1" w:after="100" w:afterAutospacing="1"/>
      <w:jc w:val="left"/>
    </w:pPr>
    <w:rPr>
      <w:rFonts w:ascii="宋体" w:hAnsi="宋体" w:cs="宋体"/>
      <w:kern w:val="0"/>
      <w:sz w:val="24"/>
      <w:szCs w:val="24"/>
    </w:rPr>
  </w:style>
  <w:style w:type="paragraph" w:styleId="15">
    <w:name w:val="Body Text First Indent"/>
    <w:basedOn w:val="4"/>
    <w:autoRedefine/>
    <w:unhideWhenUsed/>
    <w:qFormat/>
    <w:uiPriority w:val="99"/>
    <w:pPr>
      <w:ind w:firstLine="420" w:firstLineChars="100"/>
    </w:pPr>
    <w:rPr>
      <w:szCs w:val="24"/>
    </w:rPr>
  </w:style>
  <w:style w:type="paragraph" w:styleId="16">
    <w:name w:val="Body Text First Indent 2"/>
    <w:basedOn w:val="5"/>
    <w:next w:val="15"/>
    <w:autoRedefine/>
    <w:unhideWhenUsed/>
    <w:qFormat/>
    <w:uiPriority w:val="99"/>
    <w:pPr>
      <w:ind w:firstLine="420" w:firstLineChars="200"/>
    </w:pPr>
  </w:style>
  <w:style w:type="table" w:styleId="18">
    <w:name w:val="Table Grid"/>
    <w:basedOn w:val="1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Normal_0"/>
    <w:autoRedefine/>
    <w:qFormat/>
    <w:uiPriority w:val="0"/>
    <w:rPr>
      <w:rFonts w:ascii="Times New Roman" w:hAnsi="Times New Roman" w:eastAsia="Times New Roman" w:cs="Times New Roman"/>
      <w:sz w:val="24"/>
      <w:szCs w:val="24"/>
      <w:lang w:val="en-US" w:eastAsia="zh-CN" w:bidi="ar-SA"/>
    </w:rPr>
  </w:style>
  <w:style w:type="character" w:customStyle="1" w:styleId="21">
    <w:name w:val="副标题 字符"/>
    <w:basedOn w:val="19"/>
    <w:link w:val="12"/>
    <w:autoRedefine/>
    <w:qFormat/>
    <w:uiPriority w:val="11"/>
    <w:rPr>
      <w:rFonts w:asciiTheme="minorHAnsi" w:hAnsiTheme="minorHAnsi" w:eastAsiaTheme="minorEastAsia" w:cstheme="minorBidi"/>
      <w:b/>
      <w:bCs/>
      <w:kern w:val="28"/>
      <w:sz w:val="32"/>
      <w:szCs w:val="32"/>
    </w:rPr>
  </w:style>
  <w:style w:type="paragraph" w:customStyle="1" w:styleId="22">
    <w:name w:val="WPSOffice手动目录 1"/>
    <w:autoRedefine/>
    <w:qFormat/>
    <w:uiPriority w:val="0"/>
    <w:rPr>
      <w:rFonts w:ascii="Times New Roman" w:hAnsi="Times New Roman" w:eastAsia="宋体" w:cs="Times New Roman"/>
      <w:lang w:val="en-US" w:eastAsia="zh-CN" w:bidi="ar-SA"/>
    </w:rPr>
  </w:style>
  <w:style w:type="paragraph" w:customStyle="1" w:styleId="23">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24">
    <w:name w:val="标题 1 字符"/>
    <w:basedOn w:val="19"/>
    <w:link w:val="2"/>
    <w:qFormat/>
    <w:uiPriority w:val="9"/>
    <w:rPr>
      <w:rFonts w:ascii="仿宋" w:hAnsi="仿宋" w:eastAsia="仿宋" w:cs="仿宋"/>
      <w:b/>
      <w:bCs/>
      <w:kern w:val="44"/>
      <w:sz w:val="44"/>
      <w:szCs w:val="44"/>
      <w:shd w:val="clear" w:color="auto" w:fill="FFFFFF"/>
    </w:rPr>
  </w:style>
  <w:style w:type="paragraph" w:customStyle="1" w:styleId="25">
    <w:name w:val="TOC 标题1"/>
    <w:basedOn w:val="2"/>
    <w:next w:val="1"/>
    <w:unhideWhenUsed/>
    <w:qFormat/>
    <w:uiPriority w:val="39"/>
    <w:pPr>
      <w:shd w:val="clear" w:color="auto" w:fill="auto"/>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6">
    <w:name w:val="日期 字符"/>
    <w:basedOn w:val="19"/>
    <w:link w:val="7"/>
    <w:semiHidden/>
    <w:qFormat/>
    <w:uiPriority w:val="99"/>
    <w:rPr>
      <w:rFonts w:ascii="仿宋" w:hAnsi="仿宋" w:eastAsia="仿宋" w:cs="仿宋"/>
      <w:b/>
      <w:kern w:val="2"/>
      <w:sz w:val="44"/>
      <w:szCs w:val="44"/>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5587</Words>
  <Characters>5900</Characters>
  <Lines>98</Lines>
  <Paragraphs>27</Paragraphs>
  <TotalTime>1</TotalTime>
  <ScaleCrop>false</ScaleCrop>
  <LinksUpToDate>false</LinksUpToDate>
  <CharactersWithSpaces>5986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2024-12-05T07:12:00Z</dcterms:created>
  <dc:creator>Administrator</dc:creator>
  <cp:lastModifiedBy>MOON</cp:lastModifiedBy>
  <cp:lastPrinted>2024-12-17T06:45:00Z</cp:lastPrinted>
  <dcterms:modified xsi:type="dcterms:W3CDTF">2025-02-24T01:54:58Z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DD044DC4D78E4807AFD2D162CF6717F7_13</vt:lpwstr>
  </property>
  <property fmtid="{D5CDD505-2E9C-101B-9397-08002B2CF9AE}" pid="4" name="KSOTemplateDocerSaveRecord">
    <vt:lpwstr>eyJoZGlkIjoiOWNiMTBjYjNkMGU3MjhmNTE3ZWE3ZDEzMDc2OGU1ZjkiLCJ1c2VySWQiOiIyNzE4NjE5NjIifQ==</vt:lpwstr>
  </property>
</Properties>
</file>