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A91AA1">
      <w:pPr>
        <w:widowControl/>
        <w:shd w:val="clear" w:color="auto" w:fill="FFFFFF"/>
        <w:spacing w:line="560" w:lineRule="atLeast"/>
        <w:jc w:val="center"/>
        <w:rPr>
          <w:rFonts w:ascii="Times New Roman" w:hAnsi="Times New Roman" w:eastAsia="微软雅黑"/>
          <w:b/>
          <w:bCs/>
          <w:color w:val="333333"/>
          <w:kern w:val="0"/>
          <w:sz w:val="30"/>
          <w:szCs w:val="30"/>
        </w:rPr>
      </w:pPr>
      <w:r>
        <w:rPr>
          <w:rFonts w:hint="eastAsia" w:ascii="宋体" w:hAnsi="宋体" w:cs="宋体"/>
          <w:color w:val="000000"/>
          <w:kern w:val="0"/>
          <w:sz w:val="32"/>
          <w:szCs w:val="32"/>
        </w:rPr>
        <w:t> </w:t>
      </w:r>
      <w:r>
        <w:rPr>
          <w:rFonts w:hint="eastAsia" w:ascii="仿宋" w:hAnsi="仿宋" w:eastAsia="仿宋"/>
          <w:b/>
          <w:bCs/>
          <w:color w:val="000000"/>
          <w:kern w:val="0"/>
          <w:sz w:val="44"/>
          <w:szCs w:val="44"/>
        </w:rPr>
        <w:t>项目支出绩效评价报告</w:t>
      </w:r>
    </w:p>
    <w:p w14:paraId="43C3477B">
      <w:pPr>
        <w:widowControl/>
        <w:shd w:val="clear" w:color="auto" w:fill="FFFFFF"/>
        <w:spacing w:line="360" w:lineRule="auto"/>
        <w:rPr>
          <w:rFonts w:hint="eastAsia" w:ascii="宋体" w:hAnsi="宋体" w:cs="宋体"/>
          <w:color w:val="000000"/>
          <w:kern w:val="0"/>
          <w:sz w:val="32"/>
          <w:szCs w:val="32"/>
        </w:rPr>
      </w:pPr>
    </w:p>
    <w:p w14:paraId="186A3A38">
      <w:pPr>
        <w:widowControl/>
        <w:shd w:val="clear" w:color="auto" w:fill="FFFFFF"/>
        <w:spacing w:line="360" w:lineRule="auto"/>
        <w:rPr>
          <w:rFonts w:hint="eastAsia" w:ascii="宋体" w:hAnsi="宋体" w:cs="宋体"/>
          <w:color w:val="000000"/>
          <w:kern w:val="0"/>
          <w:sz w:val="32"/>
          <w:szCs w:val="32"/>
        </w:rPr>
      </w:pPr>
    </w:p>
    <w:p w14:paraId="3E4C0733">
      <w:pPr>
        <w:widowControl/>
        <w:shd w:val="clear" w:color="auto" w:fill="FFFFFF"/>
        <w:spacing w:line="360" w:lineRule="auto"/>
        <w:jc w:val="center"/>
        <w:rPr>
          <w:rFonts w:hint="eastAsia" w:ascii="仿宋" w:hAnsi="仿宋" w:eastAsia="仿宋" w:cs="仿宋"/>
          <w:b/>
          <w:bCs/>
          <w:color w:val="333333"/>
          <w:kern w:val="0"/>
          <w:sz w:val="36"/>
          <w:szCs w:val="36"/>
        </w:rPr>
      </w:pPr>
      <w:r>
        <w:rPr>
          <w:rFonts w:hint="eastAsia" w:ascii="仿宋" w:hAnsi="仿宋" w:eastAsia="仿宋" w:cs="仿宋"/>
          <w:b/>
          <w:bCs/>
          <w:color w:val="000000"/>
          <w:kern w:val="0"/>
          <w:sz w:val="36"/>
          <w:szCs w:val="36"/>
        </w:rPr>
        <w:t>202</w:t>
      </w:r>
      <w:r>
        <w:rPr>
          <w:rFonts w:hint="eastAsia" w:ascii="仿宋" w:hAnsi="仿宋" w:eastAsia="仿宋" w:cs="仿宋"/>
          <w:b/>
          <w:bCs/>
          <w:color w:val="000000"/>
          <w:kern w:val="0"/>
          <w:sz w:val="36"/>
          <w:szCs w:val="36"/>
          <w:lang w:val="en-US" w:eastAsia="zh-CN"/>
        </w:rPr>
        <w:t>3</w:t>
      </w:r>
      <w:r>
        <w:rPr>
          <w:rFonts w:hint="eastAsia" w:ascii="仿宋" w:hAnsi="仿宋" w:eastAsia="仿宋" w:cs="仿宋"/>
          <w:b/>
          <w:bCs/>
          <w:color w:val="000000"/>
          <w:kern w:val="0"/>
          <w:sz w:val="36"/>
          <w:szCs w:val="36"/>
        </w:rPr>
        <w:t>年度</w:t>
      </w:r>
      <w:r>
        <w:rPr>
          <w:rFonts w:hint="eastAsia" w:ascii="仿宋" w:hAnsi="仿宋" w:eastAsia="仿宋" w:cs="仿宋"/>
          <w:b/>
          <w:bCs/>
          <w:color w:val="000000"/>
          <w:kern w:val="0"/>
          <w:sz w:val="36"/>
          <w:szCs w:val="36"/>
          <w:lang w:eastAsia="zh-CN"/>
        </w:rPr>
        <w:t>怀远县教育局</w:t>
      </w:r>
      <w:r>
        <w:rPr>
          <w:rFonts w:hint="eastAsia" w:ascii="仿宋" w:hAnsi="仿宋" w:eastAsia="仿宋" w:cs="仿宋"/>
          <w:b/>
          <w:bCs/>
          <w:color w:val="000000"/>
          <w:kern w:val="0"/>
          <w:sz w:val="36"/>
          <w:szCs w:val="36"/>
          <w:lang w:val="en-US" w:eastAsia="zh-CN"/>
        </w:rPr>
        <w:t>教育教学质量提升奖</w:t>
      </w:r>
      <w:r>
        <w:rPr>
          <w:rFonts w:hint="eastAsia" w:ascii="仿宋" w:hAnsi="仿宋" w:eastAsia="仿宋" w:cs="仿宋"/>
          <w:b/>
          <w:bCs/>
          <w:color w:val="000000"/>
          <w:kern w:val="0"/>
          <w:sz w:val="36"/>
          <w:szCs w:val="36"/>
        </w:rPr>
        <w:t>项目支出绩效评价报告</w:t>
      </w:r>
    </w:p>
    <w:p w14:paraId="5080DB5C">
      <w:pPr>
        <w:widowControl/>
        <w:shd w:val="clear" w:color="auto" w:fill="FFFFFF"/>
        <w:spacing w:line="360" w:lineRule="auto"/>
        <w:jc w:val="center"/>
        <w:rPr>
          <w:rFonts w:ascii="Times New Roman" w:hAnsi="Times New Roman" w:eastAsia="微软雅黑"/>
          <w:color w:val="333333"/>
          <w:kern w:val="0"/>
          <w:sz w:val="36"/>
          <w:szCs w:val="36"/>
        </w:rPr>
      </w:pPr>
    </w:p>
    <w:p w14:paraId="0A04B008">
      <w:pPr>
        <w:widowControl/>
        <w:shd w:val="clear" w:color="auto" w:fill="FFFFFF"/>
        <w:spacing w:line="360" w:lineRule="auto"/>
        <w:jc w:val="center"/>
        <w:rPr>
          <w:rFonts w:ascii="Times New Roman" w:hAnsi="Times New Roman" w:eastAsia="微软雅黑"/>
          <w:color w:val="333333"/>
          <w:kern w:val="0"/>
          <w:sz w:val="30"/>
          <w:szCs w:val="30"/>
        </w:rPr>
      </w:pPr>
      <w:r>
        <w:rPr>
          <w:rFonts w:hint="eastAsia" w:ascii="宋体" w:hAnsi="宋体" w:cs="宋体"/>
          <w:b/>
          <w:bCs/>
          <w:color w:val="000000"/>
          <w:kern w:val="0"/>
          <w:sz w:val="44"/>
          <w:szCs w:val="44"/>
        </w:rPr>
        <w:t> </w:t>
      </w:r>
    </w:p>
    <w:p w14:paraId="07CADEBF">
      <w:pPr>
        <w:widowControl/>
        <w:shd w:val="clear" w:color="auto" w:fill="FFFFFF"/>
        <w:spacing w:line="360" w:lineRule="auto"/>
        <w:ind w:firstLine="1656" w:firstLineChars="600"/>
        <w:jc w:val="both"/>
        <w:rPr>
          <w:rFonts w:hint="eastAsia" w:ascii="仿宋" w:hAnsi="仿宋" w:eastAsia="仿宋" w:cs="仿宋"/>
          <w:sz w:val="28"/>
          <w:szCs w:val="28"/>
          <w:lang w:val="en-US" w:eastAsia="zh-CN"/>
        </w:rPr>
      </w:pPr>
      <w:r>
        <w:rPr>
          <w:rFonts w:hint="eastAsia" w:ascii="仿宋" w:hAnsi="仿宋" w:eastAsia="仿宋" w:cs="仿宋"/>
          <w:sz w:val="28"/>
          <w:szCs w:val="28"/>
        </w:rPr>
        <w:t>项目主管部门：</w:t>
      </w:r>
      <w:r>
        <w:rPr>
          <w:rFonts w:hint="eastAsia" w:ascii="仿宋" w:hAnsi="仿宋" w:eastAsia="仿宋" w:cs="仿宋"/>
          <w:sz w:val="28"/>
          <w:szCs w:val="28"/>
          <w:lang w:val="en-US" w:eastAsia="zh-CN"/>
        </w:rPr>
        <w:t>怀远县教育局</w:t>
      </w:r>
    </w:p>
    <w:p w14:paraId="38A4516B">
      <w:pPr>
        <w:spacing w:line="360" w:lineRule="auto"/>
        <w:ind w:firstLine="1656" w:firstLineChars="600"/>
        <w:jc w:val="left"/>
        <w:rPr>
          <w:rFonts w:hint="eastAsia" w:ascii="仿宋" w:hAnsi="仿宋" w:eastAsia="仿宋" w:cs="仿宋"/>
          <w:color w:val="auto"/>
          <w:sz w:val="28"/>
          <w:szCs w:val="28"/>
        </w:rPr>
      </w:pPr>
      <w:r>
        <w:rPr>
          <w:rFonts w:hint="eastAsia" w:ascii="仿宋" w:hAnsi="仿宋" w:eastAsia="仿宋" w:cs="仿宋"/>
          <w:color w:val="auto"/>
          <w:sz w:val="28"/>
          <w:szCs w:val="28"/>
        </w:rPr>
        <w:t>项目实施单位：</w:t>
      </w:r>
      <w:r>
        <w:rPr>
          <w:rFonts w:hint="eastAsia" w:ascii="仿宋" w:hAnsi="仿宋" w:eastAsia="仿宋" w:cs="仿宋"/>
          <w:color w:val="auto"/>
          <w:sz w:val="28"/>
          <w:szCs w:val="28"/>
          <w:lang w:val="en-US" w:eastAsia="zh-CN"/>
        </w:rPr>
        <w:t>怀远县教育局</w:t>
      </w:r>
    </w:p>
    <w:p w14:paraId="6F50DCD7">
      <w:pPr>
        <w:spacing w:line="360" w:lineRule="auto"/>
        <w:ind w:firstLine="1656" w:firstLineChars="60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委托</w:t>
      </w:r>
      <w:r>
        <w:rPr>
          <w:rFonts w:hint="eastAsia" w:ascii="仿宋" w:hAnsi="仿宋" w:eastAsia="仿宋" w:cs="仿宋"/>
          <w:color w:val="auto"/>
          <w:sz w:val="28"/>
          <w:szCs w:val="28"/>
        </w:rPr>
        <w:t>单位：</w:t>
      </w:r>
      <w:r>
        <w:rPr>
          <w:rFonts w:hint="eastAsia" w:ascii="仿宋" w:hAnsi="仿宋" w:eastAsia="仿宋" w:cs="仿宋"/>
          <w:color w:val="auto"/>
          <w:sz w:val="28"/>
          <w:szCs w:val="28"/>
          <w:lang w:eastAsia="zh-CN"/>
        </w:rPr>
        <w:t>怀远县财政局</w:t>
      </w:r>
    </w:p>
    <w:p w14:paraId="13D0A04F">
      <w:pPr>
        <w:widowControl/>
        <w:shd w:val="clear" w:color="auto" w:fill="FFFFFF"/>
        <w:spacing w:line="360" w:lineRule="auto"/>
        <w:ind w:firstLine="1656" w:firstLineChars="600"/>
        <w:jc w:val="both"/>
        <w:rPr>
          <w:rFonts w:hint="default" w:ascii="仿宋" w:hAnsi="仿宋" w:eastAsia="仿宋" w:cs="仿宋"/>
          <w:sz w:val="28"/>
          <w:szCs w:val="28"/>
          <w:lang w:val="en-US" w:eastAsia="zh-CN"/>
        </w:rPr>
      </w:pPr>
      <w:bookmarkStart w:id="79" w:name="_GoBack"/>
      <w:bookmarkEnd w:id="79"/>
      <w:r>
        <w:rPr>
          <w:rFonts w:hint="eastAsia" w:ascii="仿宋" w:hAnsi="仿宋" w:eastAsia="仿宋" w:cs="仿宋"/>
          <w:sz w:val="28"/>
          <w:szCs w:val="28"/>
          <w:lang w:val="en-US" w:eastAsia="zh-CN"/>
        </w:rPr>
        <w:t>评价单位：</w:t>
      </w:r>
      <w:r>
        <w:rPr>
          <w:rFonts w:hint="eastAsia" w:ascii="仿宋" w:hAnsi="仿宋" w:eastAsia="仿宋" w:cs="仿宋"/>
          <w:sz w:val="28"/>
          <w:szCs w:val="28"/>
        </w:rPr>
        <w:t>安徽乔峰信息科技有限公司</w:t>
      </w:r>
    </w:p>
    <w:p w14:paraId="18FEFAD6">
      <w:pPr>
        <w:pStyle w:val="2"/>
        <w:rPr>
          <w:rFonts w:hint="eastAsia"/>
          <w:lang w:val="en-US" w:eastAsia="zh-CN"/>
        </w:rPr>
      </w:pPr>
    </w:p>
    <w:p w14:paraId="137D714A">
      <w:pPr>
        <w:widowControl/>
        <w:shd w:val="clear" w:color="auto" w:fill="FFFFFF"/>
        <w:spacing w:line="360" w:lineRule="auto"/>
        <w:jc w:val="center"/>
        <w:rPr>
          <w:rFonts w:ascii="Times New Roman" w:hAnsi="Times New Roman" w:eastAsia="微软雅黑"/>
          <w:color w:val="333333"/>
          <w:kern w:val="0"/>
          <w:sz w:val="28"/>
          <w:szCs w:val="28"/>
        </w:rPr>
      </w:pPr>
    </w:p>
    <w:p w14:paraId="1BC7B959">
      <w:pPr>
        <w:widowControl/>
        <w:shd w:val="clear" w:color="auto" w:fill="FFFFFF"/>
        <w:spacing w:line="360" w:lineRule="auto"/>
        <w:jc w:val="center"/>
        <w:rPr>
          <w:b w:val="0"/>
          <w:bCs w:val="0"/>
          <w:sz w:val="28"/>
          <w:szCs w:val="28"/>
        </w:rPr>
      </w:pPr>
      <w:r>
        <w:rPr>
          <w:rFonts w:hint="eastAsia" w:ascii="仿宋" w:hAnsi="仿宋" w:eastAsia="仿宋"/>
          <w:b w:val="0"/>
          <w:bCs w:val="0"/>
          <w:color w:val="000000"/>
          <w:kern w:val="0"/>
          <w:sz w:val="28"/>
          <w:szCs w:val="28"/>
        </w:rPr>
        <w:t>202</w:t>
      </w:r>
      <w:r>
        <w:rPr>
          <w:rFonts w:hint="eastAsia" w:ascii="仿宋" w:hAnsi="仿宋" w:eastAsia="仿宋"/>
          <w:b w:val="0"/>
          <w:bCs w:val="0"/>
          <w:color w:val="000000"/>
          <w:kern w:val="0"/>
          <w:sz w:val="28"/>
          <w:szCs w:val="28"/>
          <w:lang w:val="en-US" w:eastAsia="zh-CN"/>
        </w:rPr>
        <w:t>4</w:t>
      </w:r>
      <w:r>
        <w:rPr>
          <w:rFonts w:hint="eastAsia" w:ascii="仿宋" w:hAnsi="仿宋" w:eastAsia="仿宋"/>
          <w:b w:val="0"/>
          <w:bCs w:val="0"/>
          <w:color w:val="000000"/>
          <w:kern w:val="0"/>
          <w:sz w:val="28"/>
          <w:szCs w:val="28"/>
        </w:rPr>
        <w:t>年</w:t>
      </w:r>
      <w:r>
        <w:rPr>
          <w:rFonts w:hint="eastAsia" w:ascii="仿宋" w:hAnsi="仿宋" w:eastAsia="仿宋"/>
          <w:b w:val="0"/>
          <w:bCs w:val="0"/>
          <w:color w:val="000000"/>
          <w:kern w:val="0"/>
          <w:sz w:val="28"/>
          <w:szCs w:val="28"/>
          <w:lang w:val="en-US" w:eastAsia="zh-CN"/>
        </w:rPr>
        <w:t>12</w:t>
      </w:r>
      <w:r>
        <w:rPr>
          <w:rFonts w:hint="eastAsia" w:ascii="仿宋" w:hAnsi="仿宋" w:eastAsia="仿宋"/>
          <w:b w:val="0"/>
          <w:bCs w:val="0"/>
          <w:color w:val="000000"/>
          <w:kern w:val="0"/>
          <w:sz w:val="28"/>
          <w:szCs w:val="28"/>
        </w:rPr>
        <w:t>月</w:t>
      </w:r>
    </w:p>
    <w:p w14:paraId="280F8E27">
      <w:pPr>
        <w:pStyle w:val="2"/>
        <w:ind w:left="0" w:leftChars="0" w:firstLine="0" w:firstLineChars="0"/>
        <w:rPr>
          <w:rFonts w:ascii="宋体" w:hAnsi="宋体" w:cs="宋体"/>
          <w:kern w:val="0"/>
          <w:sz w:val="24"/>
          <w:szCs w:val="24"/>
        </w:rPr>
      </w:pPr>
    </w:p>
    <w:p w14:paraId="39D7F69D">
      <w:pPr>
        <w:pStyle w:val="2"/>
        <w:ind w:left="0" w:leftChars="0" w:firstLine="0" w:firstLineChars="0"/>
        <w:rPr>
          <w:rFonts w:ascii="宋体" w:hAnsi="宋体" w:cs="宋体"/>
          <w:kern w:val="0"/>
          <w:sz w:val="24"/>
          <w:szCs w:val="24"/>
        </w:rPr>
      </w:pPr>
    </w:p>
    <w:sdt>
      <w:sdtPr>
        <w:rPr>
          <w:rFonts w:hint="eastAsia" w:ascii="方正小标宋简体" w:hAnsi="华文宋体" w:eastAsia="方正小标宋简体" w:cs="Times New Roman"/>
          <w:b/>
          <w:bCs/>
          <w:sz w:val="36"/>
          <w:szCs w:val="36"/>
        </w:rPr>
        <w:id w:val="147475326"/>
        <w:docPartObj>
          <w:docPartGallery w:val="Table of Contents"/>
          <w:docPartUnique/>
        </w:docPartObj>
      </w:sdtPr>
      <w:sdtEndPr>
        <w:rPr>
          <w:rFonts w:hint="eastAsia" w:ascii="方正小标宋简体" w:hAnsi="华文宋体" w:eastAsia="方正小标宋简体" w:cs="Times New Roman"/>
          <w:b/>
          <w:bCs/>
          <w:sz w:val="36"/>
          <w:szCs w:val="36"/>
        </w:rPr>
      </w:sdtEndPr>
      <w:sdtContent>
        <w:p w14:paraId="6E1878DA">
          <w:pPr>
            <w:ind w:firstLine="3204" w:firstLineChars="900"/>
            <w:jc w:val="left"/>
            <w:rPr>
              <w:rFonts w:ascii="方正小标宋简体" w:hAnsi="华文宋体" w:eastAsia="方正小标宋简体" w:cs="Times New Roman"/>
              <w:b/>
              <w:bCs/>
              <w:sz w:val="36"/>
              <w:szCs w:val="36"/>
            </w:rPr>
          </w:pPr>
          <w:r>
            <w:rPr>
              <w:rFonts w:hint="eastAsia" w:ascii="方正小标宋简体" w:hAnsi="华文宋体" w:eastAsia="方正小标宋简体" w:cs="Times New Roman"/>
              <w:b/>
              <w:bCs/>
              <w:sz w:val="36"/>
              <w:szCs w:val="36"/>
              <w:lang w:val="en-US" w:eastAsia="zh-CN"/>
            </w:rPr>
            <w:t xml:space="preserve">   </w:t>
          </w:r>
          <w:r>
            <w:rPr>
              <w:rFonts w:hint="eastAsia" w:ascii="方正小标宋简体" w:hAnsi="华文宋体" w:eastAsia="方正小标宋简体" w:cs="Times New Roman"/>
              <w:b/>
              <w:bCs/>
              <w:sz w:val="36"/>
              <w:szCs w:val="36"/>
            </w:rPr>
            <w:t>目录</w:t>
          </w:r>
        </w:p>
        <w:p w14:paraId="1FBD4ACB">
          <w:pPr>
            <w:pStyle w:val="22"/>
            <w:tabs>
              <w:tab w:val="right" w:leader="dot" w:pos="8844"/>
            </w:tabs>
            <w:rPr>
              <w:rFonts w:ascii="仿宋_GB2312" w:hAnsi="华文宋体" w:eastAsia="仿宋_GB2312"/>
              <w:kern w:val="2"/>
              <w:sz w:val="24"/>
              <w:szCs w:val="24"/>
            </w:rPr>
          </w:pPr>
          <w:r>
            <w:fldChar w:fldCharType="begin"/>
          </w:r>
          <w:r>
            <w:instrText xml:space="preserve">TOC \o "1-2" \h \u </w:instrText>
          </w:r>
          <w:r>
            <w:fldChar w:fldCharType="separate"/>
          </w:r>
          <w:r>
            <w:fldChar w:fldCharType="begin"/>
          </w:r>
          <w:r>
            <w:instrText xml:space="preserve"> HYPERLINK \l "_Toc4018" </w:instrText>
          </w:r>
          <w:r>
            <w:fldChar w:fldCharType="separate"/>
          </w:r>
          <w:r>
            <w:rPr>
              <w:rFonts w:hint="eastAsia" w:ascii="仿宋_GB2312" w:hAnsi="华文宋体" w:eastAsia="仿宋_GB2312"/>
              <w:kern w:val="2"/>
              <w:sz w:val="24"/>
              <w:szCs w:val="24"/>
            </w:rPr>
            <w:t>绩效评价报告摘要</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1</w:t>
          </w:r>
          <w:r>
            <w:rPr>
              <w:rFonts w:hint="eastAsia" w:ascii="仿宋_GB2312" w:hAnsi="华文宋体" w:eastAsia="仿宋_GB2312"/>
              <w:kern w:val="2"/>
              <w:sz w:val="24"/>
              <w:szCs w:val="24"/>
            </w:rPr>
            <w:fldChar w:fldCharType="end"/>
          </w:r>
        </w:p>
        <w:p w14:paraId="7DD2FFF2">
          <w:pPr>
            <w:pStyle w:val="22"/>
            <w:tabs>
              <w:tab w:val="right" w:leader="dot" w:pos="8844"/>
            </w:tabs>
            <w:rPr>
              <w:rFonts w:ascii="仿宋_GB2312" w:hAnsi="华文宋体" w:eastAsia="仿宋_GB2312"/>
              <w:kern w:val="2"/>
              <w:sz w:val="24"/>
              <w:szCs w:val="24"/>
            </w:rPr>
          </w:pPr>
          <w:r>
            <w:fldChar w:fldCharType="begin"/>
          </w:r>
          <w:r>
            <w:instrText xml:space="preserve"> HYPERLINK \l "_Toc26016" </w:instrText>
          </w:r>
          <w:r>
            <w:fldChar w:fldCharType="separate"/>
          </w:r>
          <w:r>
            <w:rPr>
              <w:rFonts w:hint="eastAsia" w:ascii="仿宋_GB2312" w:hAnsi="华文宋体" w:eastAsia="仿宋_GB2312"/>
              <w:kern w:val="2"/>
              <w:sz w:val="24"/>
              <w:szCs w:val="24"/>
            </w:rPr>
            <w:t>绩效评价报告</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5</w:t>
          </w:r>
          <w:r>
            <w:rPr>
              <w:rFonts w:hint="eastAsia" w:ascii="仿宋_GB2312" w:hAnsi="华文宋体" w:eastAsia="仿宋_GB2312"/>
              <w:kern w:val="2"/>
              <w:sz w:val="24"/>
              <w:szCs w:val="24"/>
            </w:rPr>
            <w:fldChar w:fldCharType="end"/>
          </w:r>
        </w:p>
        <w:p w14:paraId="665EE743">
          <w:pPr>
            <w:pStyle w:val="22"/>
            <w:tabs>
              <w:tab w:val="right" w:leader="dot" w:pos="8844"/>
            </w:tabs>
            <w:rPr>
              <w:rFonts w:ascii="仿宋_GB2312" w:hAnsi="华文宋体" w:eastAsia="仿宋_GB2312"/>
              <w:kern w:val="2"/>
              <w:sz w:val="24"/>
              <w:szCs w:val="24"/>
            </w:rPr>
          </w:pPr>
          <w:r>
            <w:fldChar w:fldCharType="begin"/>
          </w:r>
          <w:r>
            <w:instrText xml:space="preserve"> HYPERLINK \l "_Toc27814" </w:instrText>
          </w:r>
          <w:r>
            <w:fldChar w:fldCharType="separate"/>
          </w:r>
          <w:r>
            <w:rPr>
              <w:rFonts w:hint="eastAsia" w:ascii="仿宋_GB2312" w:hAnsi="华文宋体" w:eastAsia="仿宋_GB2312"/>
              <w:kern w:val="2"/>
              <w:sz w:val="24"/>
              <w:szCs w:val="24"/>
            </w:rPr>
            <w:t>一、项目基本情况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5</w:t>
          </w:r>
          <w:r>
            <w:rPr>
              <w:rFonts w:hint="eastAsia" w:ascii="仿宋_GB2312" w:hAnsi="华文宋体" w:eastAsia="仿宋_GB2312"/>
              <w:kern w:val="2"/>
              <w:sz w:val="24"/>
              <w:szCs w:val="24"/>
            </w:rPr>
            <w:fldChar w:fldCharType="end"/>
          </w:r>
        </w:p>
        <w:p w14:paraId="120E68FD">
          <w:pPr>
            <w:pStyle w:val="23"/>
            <w:tabs>
              <w:tab w:val="right" w:leader="dot" w:pos="8844"/>
            </w:tabs>
            <w:ind w:left="632"/>
            <w:rPr>
              <w:rFonts w:ascii="仿宋_GB2312" w:hAnsi="华文宋体" w:eastAsia="仿宋_GB2312"/>
              <w:kern w:val="2"/>
              <w:sz w:val="24"/>
              <w:szCs w:val="24"/>
            </w:rPr>
          </w:pPr>
          <w:r>
            <w:fldChar w:fldCharType="begin"/>
          </w:r>
          <w:r>
            <w:instrText xml:space="preserve"> HYPERLINK \l "_Toc3481" </w:instrText>
          </w:r>
          <w:r>
            <w:fldChar w:fldCharType="separate"/>
          </w:r>
          <w:r>
            <w:rPr>
              <w:rFonts w:hint="eastAsia" w:ascii="仿宋_GB2312" w:hAnsi="华文宋体" w:eastAsia="仿宋_GB2312"/>
              <w:kern w:val="2"/>
              <w:sz w:val="24"/>
              <w:szCs w:val="24"/>
            </w:rPr>
            <w:t>（一）项目概况</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5</w:t>
          </w:r>
          <w:r>
            <w:rPr>
              <w:rFonts w:hint="eastAsia" w:ascii="仿宋_GB2312" w:hAnsi="华文宋体" w:eastAsia="仿宋_GB2312"/>
              <w:kern w:val="2"/>
              <w:sz w:val="24"/>
              <w:szCs w:val="24"/>
            </w:rPr>
            <w:fldChar w:fldCharType="end"/>
          </w:r>
        </w:p>
        <w:p w14:paraId="566F2961">
          <w:pPr>
            <w:pStyle w:val="23"/>
            <w:tabs>
              <w:tab w:val="right" w:leader="dot" w:pos="8844"/>
            </w:tabs>
            <w:ind w:left="632"/>
            <w:rPr>
              <w:rFonts w:ascii="仿宋_GB2312" w:hAnsi="华文宋体" w:eastAsia="仿宋_GB2312"/>
              <w:kern w:val="2"/>
              <w:sz w:val="24"/>
              <w:szCs w:val="24"/>
            </w:rPr>
          </w:pPr>
          <w:r>
            <w:fldChar w:fldCharType="begin"/>
          </w:r>
          <w:r>
            <w:instrText xml:space="preserve"> HYPERLINK \l "_Toc32417" </w:instrText>
          </w:r>
          <w:r>
            <w:fldChar w:fldCharType="separate"/>
          </w:r>
          <w:r>
            <w:rPr>
              <w:rFonts w:hint="eastAsia" w:ascii="仿宋_GB2312" w:hAnsi="华文宋体" w:eastAsia="仿宋_GB2312"/>
              <w:kern w:val="2"/>
              <w:sz w:val="24"/>
              <w:szCs w:val="24"/>
            </w:rPr>
            <w:t>（二）项目绩效目标</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7</w:t>
          </w:r>
          <w:r>
            <w:rPr>
              <w:rFonts w:hint="eastAsia" w:ascii="仿宋_GB2312" w:hAnsi="华文宋体" w:eastAsia="仿宋_GB2312"/>
              <w:kern w:val="2"/>
              <w:sz w:val="24"/>
              <w:szCs w:val="24"/>
            </w:rPr>
            <w:fldChar w:fldCharType="end"/>
          </w:r>
        </w:p>
        <w:p w14:paraId="5A896E43">
          <w:pPr>
            <w:pStyle w:val="22"/>
            <w:tabs>
              <w:tab w:val="right" w:leader="dot" w:pos="8844"/>
            </w:tabs>
            <w:rPr>
              <w:rFonts w:ascii="仿宋_GB2312" w:hAnsi="华文宋体" w:eastAsia="仿宋_GB2312"/>
              <w:kern w:val="2"/>
              <w:sz w:val="24"/>
              <w:szCs w:val="24"/>
            </w:rPr>
          </w:pPr>
          <w:r>
            <w:fldChar w:fldCharType="begin"/>
          </w:r>
          <w:r>
            <w:instrText xml:space="preserve"> HYPERLINK \l "_Toc3602" </w:instrText>
          </w:r>
          <w:r>
            <w:fldChar w:fldCharType="separate"/>
          </w:r>
          <w:r>
            <w:rPr>
              <w:rFonts w:hint="eastAsia" w:ascii="仿宋_GB2312" w:hAnsi="华文宋体" w:eastAsia="仿宋_GB2312"/>
              <w:kern w:val="2"/>
              <w:sz w:val="24"/>
              <w:szCs w:val="24"/>
            </w:rPr>
            <w:t>二、绩效评价工作开展情况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7</w:t>
          </w:r>
          <w:r>
            <w:rPr>
              <w:rFonts w:hint="eastAsia" w:ascii="仿宋_GB2312" w:hAnsi="华文宋体" w:eastAsia="仿宋_GB2312"/>
              <w:kern w:val="2"/>
              <w:sz w:val="24"/>
              <w:szCs w:val="24"/>
            </w:rPr>
            <w:fldChar w:fldCharType="end"/>
          </w:r>
        </w:p>
        <w:p w14:paraId="0EEA7991">
          <w:pPr>
            <w:pStyle w:val="23"/>
            <w:tabs>
              <w:tab w:val="right" w:leader="dot" w:pos="8844"/>
            </w:tabs>
            <w:ind w:left="632"/>
            <w:rPr>
              <w:rFonts w:ascii="仿宋_GB2312" w:hAnsi="华文宋体" w:eastAsia="仿宋_GB2312"/>
              <w:kern w:val="2"/>
              <w:sz w:val="24"/>
              <w:szCs w:val="24"/>
            </w:rPr>
          </w:pPr>
          <w:r>
            <w:fldChar w:fldCharType="begin"/>
          </w:r>
          <w:r>
            <w:instrText xml:space="preserve"> HYPERLINK \l "_Toc23951" </w:instrText>
          </w:r>
          <w:r>
            <w:fldChar w:fldCharType="separate"/>
          </w:r>
          <w:r>
            <w:rPr>
              <w:rFonts w:hint="eastAsia" w:ascii="仿宋_GB2312" w:hAnsi="华文宋体" w:eastAsia="仿宋_GB2312"/>
              <w:kern w:val="2"/>
              <w:sz w:val="24"/>
              <w:szCs w:val="24"/>
            </w:rPr>
            <w:t>（一）绩效评价目的、对象和范围</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7</w:t>
          </w:r>
          <w:r>
            <w:rPr>
              <w:rFonts w:hint="eastAsia" w:ascii="仿宋_GB2312" w:hAnsi="华文宋体" w:eastAsia="仿宋_GB2312"/>
              <w:kern w:val="2"/>
              <w:sz w:val="24"/>
              <w:szCs w:val="24"/>
            </w:rPr>
            <w:fldChar w:fldCharType="end"/>
          </w:r>
        </w:p>
        <w:p w14:paraId="0BBC3CFA">
          <w:pPr>
            <w:pStyle w:val="23"/>
            <w:tabs>
              <w:tab w:val="right" w:leader="dot" w:pos="8844"/>
            </w:tabs>
            <w:ind w:left="632"/>
            <w:rPr>
              <w:rFonts w:ascii="仿宋_GB2312" w:hAnsi="华文宋体" w:eastAsia="仿宋_GB2312"/>
              <w:kern w:val="2"/>
              <w:sz w:val="24"/>
              <w:szCs w:val="24"/>
            </w:rPr>
          </w:pPr>
          <w:r>
            <w:fldChar w:fldCharType="begin"/>
          </w:r>
          <w:r>
            <w:instrText xml:space="preserve"> HYPERLINK \l "_Toc17751" </w:instrText>
          </w:r>
          <w:r>
            <w:fldChar w:fldCharType="separate"/>
          </w:r>
          <w:r>
            <w:rPr>
              <w:rFonts w:hint="eastAsia" w:ascii="仿宋_GB2312" w:hAnsi="华文宋体" w:eastAsia="仿宋_GB2312"/>
              <w:kern w:val="2"/>
              <w:sz w:val="24"/>
              <w:szCs w:val="24"/>
            </w:rPr>
            <w:t>（二）绩效评价原则、评价指标体系、评价方法、评价标准</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8</w:t>
          </w:r>
          <w:r>
            <w:rPr>
              <w:rFonts w:hint="eastAsia" w:ascii="仿宋_GB2312" w:hAnsi="华文宋体" w:eastAsia="仿宋_GB2312"/>
              <w:kern w:val="2"/>
              <w:sz w:val="24"/>
              <w:szCs w:val="24"/>
            </w:rPr>
            <w:fldChar w:fldCharType="end"/>
          </w:r>
        </w:p>
        <w:p w14:paraId="07E640E3">
          <w:pPr>
            <w:pStyle w:val="23"/>
            <w:tabs>
              <w:tab w:val="right" w:leader="dot" w:pos="8844"/>
            </w:tabs>
            <w:ind w:left="632"/>
            <w:rPr>
              <w:rFonts w:ascii="仿宋_GB2312" w:hAnsi="华文宋体" w:eastAsia="仿宋_GB2312"/>
              <w:kern w:val="2"/>
              <w:sz w:val="24"/>
              <w:szCs w:val="24"/>
            </w:rPr>
          </w:pPr>
          <w:r>
            <w:fldChar w:fldCharType="begin"/>
          </w:r>
          <w:r>
            <w:instrText xml:space="preserve"> HYPERLINK \l "_Toc23601" </w:instrText>
          </w:r>
          <w:r>
            <w:fldChar w:fldCharType="separate"/>
          </w:r>
          <w:r>
            <w:rPr>
              <w:rFonts w:hint="eastAsia" w:ascii="仿宋_GB2312" w:hAnsi="华文宋体" w:eastAsia="仿宋_GB2312"/>
              <w:kern w:val="2"/>
              <w:sz w:val="24"/>
              <w:szCs w:val="24"/>
            </w:rPr>
            <w:t>（三）绩效评价工作过程</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8</w:t>
          </w:r>
          <w:r>
            <w:rPr>
              <w:rFonts w:hint="eastAsia" w:ascii="仿宋_GB2312" w:hAnsi="华文宋体" w:eastAsia="仿宋_GB2312"/>
              <w:kern w:val="2"/>
              <w:sz w:val="24"/>
              <w:szCs w:val="24"/>
            </w:rPr>
            <w:fldChar w:fldCharType="end"/>
          </w:r>
        </w:p>
        <w:p w14:paraId="4AB93E9F">
          <w:pPr>
            <w:pStyle w:val="22"/>
            <w:tabs>
              <w:tab w:val="right" w:leader="dot" w:pos="8844"/>
            </w:tabs>
            <w:rPr>
              <w:rFonts w:ascii="仿宋_GB2312" w:hAnsi="华文宋体" w:eastAsia="仿宋_GB2312"/>
              <w:kern w:val="2"/>
              <w:sz w:val="24"/>
              <w:szCs w:val="24"/>
            </w:rPr>
          </w:pPr>
          <w:r>
            <w:fldChar w:fldCharType="begin"/>
          </w:r>
          <w:r>
            <w:instrText xml:space="preserve"> HYPERLINK \l "_Toc31295" </w:instrText>
          </w:r>
          <w:r>
            <w:fldChar w:fldCharType="separate"/>
          </w:r>
          <w:r>
            <w:rPr>
              <w:rFonts w:hint="eastAsia" w:ascii="仿宋_GB2312" w:hAnsi="华文宋体" w:eastAsia="仿宋_GB2312"/>
              <w:kern w:val="2"/>
              <w:sz w:val="24"/>
              <w:szCs w:val="24"/>
            </w:rPr>
            <w:t>三、综合评价情况及评价结论</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9</w:t>
          </w:r>
          <w:r>
            <w:rPr>
              <w:rFonts w:hint="eastAsia" w:ascii="仿宋_GB2312" w:hAnsi="华文宋体" w:eastAsia="仿宋_GB2312"/>
              <w:kern w:val="2"/>
              <w:sz w:val="24"/>
              <w:szCs w:val="24"/>
            </w:rPr>
            <w:fldChar w:fldCharType="end"/>
          </w:r>
        </w:p>
        <w:p w14:paraId="40AA4222">
          <w:pPr>
            <w:pStyle w:val="23"/>
            <w:tabs>
              <w:tab w:val="right" w:leader="dot" w:pos="8844"/>
            </w:tabs>
            <w:ind w:left="632"/>
            <w:rPr>
              <w:rFonts w:ascii="仿宋_GB2312" w:hAnsi="华文宋体" w:eastAsia="仿宋_GB2312"/>
              <w:kern w:val="2"/>
              <w:sz w:val="24"/>
              <w:szCs w:val="24"/>
            </w:rPr>
          </w:pPr>
          <w:r>
            <w:fldChar w:fldCharType="begin"/>
          </w:r>
          <w:r>
            <w:instrText xml:space="preserve"> HYPERLINK \l "_Toc20659" </w:instrText>
          </w:r>
          <w:r>
            <w:fldChar w:fldCharType="separate"/>
          </w:r>
          <w:r>
            <w:rPr>
              <w:rFonts w:hint="eastAsia" w:ascii="仿宋_GB2312" w:hAnsi="华文宋体" w:eastAsia="仿宋_GB2312"/>
              <w:kern w:val="2"/>
              <w:sz w:val="24"/>
              <w:szCs w:val="24"/>
            </w:rPr>
            <w:t>（一）综合评价情况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9</w:t>
          </w:r>
          <w:r>
            <w:rPr>
              <w:rFonts w:hint="eastAsia" w:ascii="仿宋_GB2312" w:hAnsi="华文宋体" w:eastAsia="仿宋_GB2312"/>
              <w:kern w:val="2"/>
              <w:sz w:val="24"/>
              <w:szCs w:val="24"/>
            </w:rPr>
            <w:fldChar w:fldCharType="end"/>
          </w:r>
        </w:p>
        <w:p w14:paraId="7D6C943E">
          <w:pPr>
            <w:pStyle w:val="22"/>
            <w:tabs>
              <w:tab w:val="right" w:leader="dot" w:pos="8844"/>
            </w:tabs>
            <w:rPr>
              <w:rFonts w:ascii="仿宋_GB2312" w:hAnsi="华文宋体" w:eastAsia="仿宋_GB2312"/>
              <w:kern w:val="2"/>
              <w:sz w:val="24"/>
              <w:szCs w:val="24"/>
            </w:rPr>
          </w:pPr>
          <w:r>
            <w:fldChar w:fldCharType="begin"/>
          </w:r>
          <w:r>
            <w:instrText xml:space="preserve"> HYPERLINK \l "_Toc15151" </w:instrText>
          </w:r>
          <w:r>
            <w:fldChar w:fldCharType="separate"/>
          </w:r>
          <w:r>
            <w:rPr>
              <w:rFonts w:hint="eastAsia" w:ascii="仿宋_GB2312" w:hAnsi="华文宋体" w:eastAsia="仿宋_GB2312"/>
              <w:kern w:val="2"/>
              <w:sz w:val="24"/>
              <w:szCs w:val="24"/>
            </w:rPr>
            <w:t>四、绩效评价指标分析</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...9</w:t>
          </w:r>
          <w:r>
            <w:rPr>
              <w:rFonts w:hint="eastAsia" w:ascii="仿宋_GB2312" w:hAnsi="华文宋体" w:eastAsia="仿宋_GB2312"/>
              <w:kern w:val="2"/>
              <w:sz w:val="24"/>
              <w:szCs w:val="24"/>
            </w:rPr>
            <w:fldChar w:fldCharType="end"/>
          </w:r>
        </w:p>
        <w:p w14:paraId="23BE5089">
          <w:pPr>
            <w:pStyle w:val="23"/>
            <w:tabs>
              <w:tab w:val="right" w:leader="dot" w:pos="8844"/>
            </w:tabs>
            <w:ind w:left="632"/>
            <w:rPr>
              <w:rFonts w:hint="eastAsia" w:ascii="仿宋_GB2312" w:hAnsi="华文宋体" w:eastAsia="仿宋_GB2312"/>
              <w:kern w:val="2"/>
              <w:sz w:val="24"/>
              <w:szCs w:val="24"/>
              <w:lang w:val="en-US" w:eastAsia="zh-CN"/>
            </w:rPr>
          </w:pPr>
          <w:r>
            <w:fldChar w:fldCharType="begin"/>
          </w:r>
          <w:r>
            <w:instrText xml:space="preserve"> HYPERLINK \l "_Toc17424" </w:instrText>
          </w:r>
          <w:r>
            <w:fldChar w:fldCharType="separate"/>
          </w:r>
          <w:r>
            <w:rPr>
              <w:rFonts w:hint="eastAsia" w:ascii="仿宋_GB2312" w:hAnsi="华文宋体" w:eastAsia="仿宋_GB2312"/>
              <w:kern w:val="2"/>
              <w:sz w:val="24"/>
              <w:szCs w:val="24"/>
            </w:rPr>
            <w:t>（一）项目决策情况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lang w:val="en-US" w:eastAsia="zh-CN"/>
            </w:rPr>
            <w:t>9</w:t>
          </w:r>
        </w:p>
        <w:p w14:paraId="12830454">
          <w:pPr>
            <w:pStyle w:val="23"/>
            <w:tabs>
              <w:tab w:val="right" w:leader="dot" w:pos="8844"/>
            </w:tabs>
            <w:ind w:left="632"/>
            <w:rPr>
              <w:rFonts w:hint="eastAsia" w:ascii="仿宋_GB2312" w:hAnsi="华文宋体" w:eastAsia="仿宋_GB2312"/>
              <w:kern w:val="2"/>
              <w:sz w:val="24"/>
              <w:szCs w:val="24"/>
              <w:lang w:val="en-US" w:eastAsia="zh-CN"/>
            </w:rPr>
          </w:pPr>
          <w:r>
            <w:fldChar w:fldCharType="begin"/>
          </w:r>
          <w:r>
            <w:instrText xml:space="preserve"> HYPERLINK \l "_Toc31012" </w:instrText>
          </w:r>
          <w:r>
            <w:fldChar w:fldCharType="separate"/>
          </w:r>
          <w:r>
            <w:rPr>
              <w:rFonts w:hint="eastAsia" w:ascii="仿宋_GB2312" w:hAnsi="华文宋体" w:eastAsia="仿宋_GB2312"/>
              <w:kern w:val="2"/>
              <w:sz w:val="24"/>
              <w:szCs w:val="24"/>
            </w:rPr>
            <w:t>（二）项目过程情况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1</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lang w:val="en-US" w:eastAsia="zh-CN"/>
            </w:rPr>
            <w:t>3</w:t>
          </w:r>
        </w:p>
        <w:p w14:paraId="26979BA3">
          <w:pPr>
            <w:pStyle w:val="23"/>
            <w:tabs>
              <w:tab w:val="right" w:leader="dot" w:pos="8844"/>
            </w:tabs>
            <w:ind w:left="632"/>
            <w:rPr>
              <w:rFonts w:hint="eastAsia" w:ascii="仿宋_GB2312" w:hAnsi="华文宋体" w:eastAsia="仿宋_GB2312"/>
              <w:kern w:val="2"/>
              <w:sz w:val="24"/>
              <w:szCs w:val="24"/>
              <w:lang w:val="en-US" w:eastAsia="zh-CN"/>
            </w:rPr>
          </w:pPr>
          <w:r>
            <w:fldChar w:fldCharType="begin"/>
          </w:r>
          <w:r>
            <w:instrText xml:space="preserve"> HYPERLINK \l "_Toc14450" </w:instrText>
          </w:r>
          <w:r>
            <w:fldChar w:fldCharType="separate"/>
          </w:r>
          <w:r>
            <w:rPr>
              <w:rFonts w:hint="eastAsia" w:ascii="仿宋_GB2312" w:hAnsi="华文宋体" w:eastAsia="仿宋_GB2312"/>
              <w:kern w:val="2"/>
              <w:sz w:val="24"/>
              <w:szCs w:val="24"/>
            </w:rPr>
            <w:t>（三）项目产出情况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1</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lang w:val="en-US" w:eastAsia="zh-CN"/>
            </w:rPr>
            <w:t>6</w:t>
          </w:r>
        </w:p>
        <w:p w14:paraId="622100AE">
          <w:pPr>
            <w:pStyle w:val="23"/>
            <w:tabs>
              <w:tab w:val="right" w:leader="dot" w:pos="8844"/>
            </w:tabs>
            <w:ind w:left="632"/>
            <w:rPr>
              <w:rFonts w:hint="eastAsia" w:ascii="仿宋_GB2312" w:hAnsi="华文宋体" w:eastAsia="仿宋_GB2312"/>
              <w:kern w:val="2"/>
              <w:sz w:val="24"/>
              <w:szCs w:val="24"/>
              <w:lang w:val="en-US" w:eastAsia="zh-CN"/>
            </w:rPr>
          </w:pPr>
          <w:r>
            <w:fldChar w:fldCharType="begin"/>
          </w:r>
          <w:r>
            <w:instrText xml:space="preserve"> HYPERLINK \l "_Toc13789" </w:instrText>
          </w:r>
          <w:r>
            <w:fldChar w:fldCharType="separate"/>
          </w:r>
          <w:r>
            <w:rPr>
              <w:rFonts w:hint="eastAsia" w:ascii="仿宋_GB2312" w:hAnsi="华文宋体" w:eastAsia="仿宋_GB2312"/>
              <w:kern w:val="2"/>
              <w:sz w:val="24"/>
              <w:szCs w:val="24"/>
            </w:rPr>
            <w:t>（四）项目效益情况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1</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lang w:val="en-US" w:eastAsia="zh-CN"/>
            </w:rPr>
            <w:t>8</w:t>
          </w:r>
        </w:p>
        <w:p w14:paraId="0755657A">
          <w:pPr>
            <w:pStyle w:val="22"/>
            <w:tabs>
              <w:tab w:val="right" w:leader="dot" w:pos="8844"/>
            </w:tabs>
            <w:rPr>
              <w:rFonts w:hint="eastAsia" w:ascii="仿宋_GB2312" w:hAnsi="华文宋体" w:eastAsia="仿宋_GB2312"/>
              <w:kern w:val="2"/>
              <w:sz w:val="24"/>
              <w:szCs w:val="24"/>
              <w:lang w:val="en-US" w:eastAsia="zh-CN"/>
            </w:rPr>
          </w:pPr>
          <w:r>
            <w:fldChar w:fldCharType="begin"/>
          </w:r>
          <w:r>
            <w:instrText xml:space="preserve"> HYPERLINK \l "_Toc18123" </w:instrText>
          </w:r>
          <w:r>
            <w:fldChar w:fldCharType="separate"/>
          </w:r>
          <w:r>
            <w:rPr>
              <w:rFonts w:hint="eastAsia" w:ascii="仿宋_GB2312" w:hAnsi="华文宋体" w:eastAsia="仿宋_GB2312"/>
              <w:kern w:val="2"/>
              <w:sz w:val="24"/>
              <w:szCs w:val="24"/>
            </w:rPr>
            <w:t>五、 主要经验及做法</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2</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lang w:val="en-US" w:eastAsia="zh-CN"/>
            </w:rPr>
            <w:t>0</w:t>
          </w:r>
        </w:p>
        <w:p w14:paraId="430C702E">
          <w:pPr>
            <w:pStyle w:val="22"/>
            <w:tabs>
              <w:tab w:val="right" w:leader="dot" w:pos="8844"/>
            </w:tabs>
            <w:rPr>
              <w:rFonts w:hint="eastAsia" w:ascii="仿宋_GB2312" w:hAnsi="华文宋体" w:eastAsia="仿宋_GB2312"/>
              <w:kern w:val="2"/>
              <w:sz w:val="24"/>
              <w:szCs w:val="24"/>
              <w:lang w:val="en-US" w:eastAsia="zh-CN"/>
            </w:rPr>
          </w:pPr>
          <w:r>
            <w:fldChar w:fldCharType="begin"/>
          </w:r>
          <w:r>
            <w:instrText xml:space="preserve"> HYPERLINK \l "_Toc1758" </w:instrText>
          </w:r>
          <w:r>
            <w:fldChar w:fldCharType="separate"/>
          </w:r>
          <w:r>
            <w:rPr>
              <w:rFonts w:hint="eastAsia" w:ascii="仿宋_GB2312" w:hAnsi="华文宋体" w:eastAsia="仿宋_GB2312"/>
              <w:kern w:val="2"/>
              <w:sz w:val="24"/>
              <w:szCs w:val="24"/>
            </w:rPr>
            <w:t>六、存在问题及原因分析</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2</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lang w:val="en-US" w:eastAsia="zh-CN"/>
            </w:rPr>
            <w:t>1</w:t>
          </w:r>
        </w:p>
        <w:p w14:paraId="50946897">
          <w:pPr>
            <w:pStyle w:val="22"/>
            <w:tabs>
              <w:tab w:val="right" w:leader="dot" w:pos="8844"/>
            </w:tabs>
            <w:rPr>
              <w:rFonts w:hint="default" w:ascii="仿宋_GB2312" w:hAnsi="华文宋体" w:eastAsia="仿宋_GB2312"/>
              <w:kern w:val="2"/>
              <w:sz w:val="24"/>
              <w:szCs w:val="24"/>
              <w:lang w:val="en-US" w:eastAsia="zh-CN"/>
            </w:rPr>
            <w:sectPr>
              <w:pgSz w:w="11906" w:h="16838"/>
              <w:pgMar w:top="2098" w:right="1474" w:bottom="1985" w:left="1588" w:header="851" w:footer="992" w:gutter="0"/>
              <w:pgNumType w:fmt="numberInDash" w:start="1"/>
              <w:cols w:space="425" w:num="1"/>
              <w:docGrid w:type="linesAndChars" w:linePitch="560" w:charSpace="-849"/>
            </w:sectPr>
          </w:pPr>
          <w:r>
            <w:rPr>
              <w:rFonts w:hint="eastAsia" w:ascii="仿宋_GB2312" w:hAnsi="华文宋体" w:eastAsia="仿宋_GB2312"/>
              <w:kern w:val="2"/>
              <w:sz w:val="24"/>
              <w:szCs w:val="24"/>
              <w:lang w:val="en-US" w:eastAsia="zh-CN"/>
            </w:rPr>
            <w:fldChar w:fldCharType="begin"/>
          </w:r>
          <w:r>
            <w:rPr>
              <w:rFonts w:hint="eastAsia" w:ascii="仿宋_GB2312" w:hAnsi="华文宋体" w:eastAsia="仿宋_GB2312"/>
              <w:kern w:val="2"/>
              <w:sz w:val="24"/>
              <w:szCs w:val="24"/>
              <w:lang w:val="en-US" w:eastAsia="zh-CN"/>
            </w:rPr>
            <w:instrText xml:space="preserve"> HYPERLINK \l "_Toc703" </w:instrText>
          </w:r>
          <w:r>
            <w:rPr>
              <w:rFonts w:hint="eastAsia" w:ascii="仿宋_GB2312" w:hAnsi="华文宋体" w:eastAsia="仿宋_GB2312"/>
              <w:kern w:val="2"/>
              <w:sz w:val="24"/>
              <w:szCs w:val="24"/>
              <w:lang w:val="en-US" w:eastAsia="zh-CN"/>
            </w:rPr>
            <w:fldChar w:fldCharType="separate"/>
          </w:r>
          <w:r>
            <w:rPr>
              <w:rFonts w:hint="eastAsia" w:ascii="仿宋_GB2312" w:hAnsi="华文宋体" w:eastAsia="仿宋_GB2312"/>
              <w:kern w:val="2"/>
              <w:sz w:val="24"/>
              <w:szCs w:val="24"/>
              <w:lang w:val="en-US" w:eastAsia="zh-CN"/>
            </w:rPr>
            <w:t>七、有关建议</w:t>
          </w:r>
          <w:r>
            <w:rPr>
              <w:rFonts w:hint="eastAsia" w:ascii="仿宋_GB2312" w:hAnsi="华文宋体" w:eastAsia="仿宋_GB2312"/>
              <w:kern w:val="2"/>
              <w:sz w:val="24"/>
              <w:szCs w:val="24"/>
              <w:lang w:val="en-US" w:eastAsia="zh-CN"/>
            </w:rPr>
            <w:tab/>
          </w:r>
          <w:r>
            <w:rPr>
              <w:rFonts w:hint="eastAsia" w:ascii="仿宋_GB2312" w:hAnsi="华文宋体" w:eastAsia="仿宋_GB2312"/>
              <w:kern w:val="2"/>
              <w:sz w:val="24"/>
              <w:szCs w:val="24"/>
              <w:lang w:val="en-US" w:eastAsia="zh-CN"/>
            </w:rPr>
            <w:t>2</w:t>
          </w:r>
          <w:r>
            <w:rPr>
              <w:rFonts w:hint="eastAsia" w:ascii="仿宋_GB2312" w:hAnsi="华文宋体" w:eastAsia="仿宋_GB2312"/>
              <w:kern w:val="2"/>
              <w:sz w:val="24"/>
              <w:szCs w:val="24"/>
              <w:lang w:val="en-US" w:eastAsia="zh-CN"/>
            </w:rPr>
            <w:fldChar w:fldCharType="end"/>
          </w:r>
          <w:r>
            <w:rPr>
              <w:rFonts w:hint="eastAsia" w:ascii="仿宋_GB2312" w:hAnsi="华文宋体" w:eastAsia="仿宋_GB2312"/>
              <w:kern w:val="2"/>
              <w:sz w:val="24"/>
              <w:szCs w:val="24"/>
              <w:lang w:val="en-US" w:eastAsia="zh-CN"/>
            </w:rPr>
            <w:t>1</w:t>
          </w:r>
        </w:p>
        <w:p w14:paraId="1D7361CD">
          <w:pPr>
            <w:pStyle w:val="2"/>
          </w:pPr>
          <w:r>
            <w:rPr>
              <w:b/>
            </w:rPr>
            <w:fldChar w:fldCharType="end"/>
          </w:r>
          <w:bookmarkStart w:id="0" w:name="_Toc2722"/>
          <w:bookmarkStart w:id="1" w:name="_Toc9112"/>
          <w:bookmarkStart w:id="2" w:name="_Toc3135"/>
        </w:p>
      </w:sdtContent>
    </w:sdt>
    <w:p w14:paraId="412AD0CC">
      <w:pPr>
        <w:widowControl/>
        <w:shd w:val="clear" w:color="auto" w:fill="FFFFFF"/>
        <w:tabs>
          <w:tab w:val="left" w:pos="750"/>
          <w:tab w:val="center" w:pos="4213"/>
        </w:tabs>
        <w:spacing w:line="360" w:lineRule="auto"/>
        <w:jc w:val="center"/>
        <w:textAlignment w:val="top"/>
        <w:outlineLvl w:val="0"/>
        <w:rPr>
          <w:rFonts w:hint="eastAsia" w:ascii="仿宋" w:hAnsi="仿宋" w:eastAsia="仿宋" w:cs="仿宋"/>
          <w:b/>
          <w:bCs/>
          <w:color w:val="333333"/>
          <w:kern w:val="0"/>
          <w:sz w:val="36"/>
          <w:szCs w:val="36"/>
        </w:rPr>
      </w:pPr>
      <w:r>
        <w:rPr>
          <w:rFonts w:hint="eastAsia" w:ascii="仿宋" w:hAnsi="仿宋" w:eastAsia="仿宋" w:cs="仿宋"/>
          <w:b/>
          <w:bCs/>
          <w:color w:val="000000"/>
          <w:kern w:val="0"/>
          <w:sz w:val="36"/>
          <w:szCs w:val="36"/>
        </w:rPr>
        <w:t>摘 要</w:t>
      </w:r>
      <w:bookmarkEnd w:id="0"/>
      <w:bookmarkEnd w:id="1"/>
      <w:bookmarkEnd w:id="2"/>
    </w:p>
    <w:p w14:paraId="61522A8D">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lang w:val="en-US" w:eastAsia="zh-CN"/>
        </w:rPr>
        <w:t>为贯彻落实全面实施预算绩效管理工作的要求，提高财政资金使用效益，根据《中华人民共和国预算法》规定，按照《中共怀远县委、怀远县人民政府关于印发&lt;全面实施预算</w:t>
      </w:r>
      <w:r>
        <w:rPr>
          <w:rFonts w:hint="eastAsia" w:ascii="仿宋" w:hAnsi="仿宋" w:eastAsia="仿宋" w:cs="仿宋"/>
          <w:sz w:val="24"/>
          <w:szCs w:val="24"/>
          <w:highlight w:val="none"/>
          <w:lang w:val="en-US" w:eastAsia="zh-CN"/>
        </w:rPr>
        <w:t>绩效管理的实施办法&gt;的通知》(怀发(2020) 5号)、《怀远县财政局关于印发&lt;怀远县县级项目支出绩效单位自评操作规程&gt;和&lt;怀远县县级级项目支出绩效财政评价和部门评价操作规程&gt;的通知》（怀财监〔2021〕1号）等要求，我们对2023年度怀远县教育局教育教学质量提升奖项目开展了绩效评价，现将有关情况报告如下：</w:t>
      </w:r>
    </w:p>
    <w:p w14:paraId="268F4A1C">
      <w:pPr>
        <w:numPr>
          <w:ilvl w:val="0"/>
          <w:numId w:val="1"/>
        </w:num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项目内容</w:t>
      </w:r>
    </w:p>
    <w:p w14:paraId="410EDCED">
      <w:pPr>
        <w:numPr>
          <w:ilvl w:val="0"/>
          <w:numId w:val="0"/>
        </w:num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为认真贯彻落实习近平总书记提出的“五育并举”重要指示和新时代教育督导评价体系要求，怀远县教育局每学年对高中、初中、小学、幼儿园、学区管委会和其他类学校进行分类评估，奖励小学、初中、高中教育教学质量提升。根据怀办发〔2021〕87号《关于加强教育教学保障工作的通知》，县教育局会同县财政和县人力资源与社会保障局制定《怀远县学校目标管理督导考核激励实施细则》，根据考核结果对优秀学校进行奖励，充分调动我县高中教师团队工作积极性、主动性和创新性,激发全县办学活力，有效促进全县教育教学质量的提升，促进怀远县教育高质量发展。</w:t>
      </w:r>
    </w:p>
    <w:p w14:paraId="10831E90">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二、项目执行情况</w:t>
      </w:r>
    </w:p>
    <w:p w14:paraId="27D6EFA1">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（一）预算执行情况</w:t>
      </w:r>
    </w:p>
    <w:p w14:paraId="1A2AB3E8">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2023年怀远县教育局“教育教学质量提升奖”项目预算金额52.5万元，实际到位52.5万元，预算执行率100%。</w:t>
      </w:r>
    </w:p>
    <w:p w14:paraId="40582994">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（二）效益实现情况</w:t>
      </w:r>
    </w:p>
    <w:p w14:paraId="5F265AFD">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通过教育教学质量提升奖项目实施，主要用于各民办学校以及123补习班的教育教学质量提升奖,充分调动我县高中教师团队工作积极性、主动性和创新性,激发全县办学活力，有效促进全县教育教学质量的提升和怀远县教育高质量发展。</w:t>
      </w:r>
    </w:p>
    <w:p w14:paraId="27AA36B4">
      <w:pPr>
        <w:numPr>
          <w:ilvl w:val="0"/>
          <w:numId w:val="2"/>
        </w:num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项目实际完成率100%</w:t>
      </w:r>
    </w:p>
    <w:p w14:paraId="28408F11">
      <w:pPr>
        <w:numPr>
          <w:ilvl w:val="0"/>
          <w:numId w:val="0"/>
        </w:numPr>
        <w:spacing w:line="560" w:lineRule="exact"/>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    2023年怀远县教育局“教育教学质量提升奖”项目实际支出数：禹王中学奖励金2.5万元，育人中学奖励金35万元，123高考辅导班奖励金15万元。计划支出数：禹王中学奖励金2.5万元，育人中学奖励金35万元，123高考辅导班奖励金15万元。实际完成率达100%。</w:t>
      </w:r>
    </w:p>
    <w:p w14:paraId="0BCA2F81">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2.提升全县教育教学水平</w:t>
      </w:r>
    </w:p>
    <w:p w14:paraId="458FF5C9">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通过项目实施，能带动全县学校向受表彰学校学习，进一步规范办学行为，提高办学质量，激发全县办学活力，促进怀远县教育高质量发展。</w:t>
      </w:r>
    </w:p>
    <w:p w14:paraId="36807EAC">
      <w:pPr>
        <w:numPr>
          <w:ilvl w:val="0"/>
          <w:numId w:val="0"/>
        </w:num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3.促进教职工的身心健康</w:t>
      </w:r>
    </w:p>
    <w:p w14:paraId="1204E917">
      <w:pPr>
        <w:numPr>
          <w:ilvl w:val="0"/>
          <w:numId w:val="0"/>
        </w:num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本项目的实施，学校将资金用于激励教师，改善教学环境，充分调动我县教师团队工作积极性、主动性和创新性,促进教职工的身心健康，提升教育教学工作能力。</w:t>
      </w:r>
    </w:p>
    <w:p w14:paraId="5002E8B3">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4.改善学校办学条件</w:t>
      </w:r>
    </w:p>
    <w:p w14:paraId="2BFA3EFD">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受表彰学校能获得资金支持，用于激励教师，改善环境等，如禹王中学将教育教学质量提升奖金2.5万元全部用于购置教室护眼灯，育人中学将教育教学质量提升奖金35万元全部用于对优秀教师奖励及承担外出培训学习费用；开放大学将教育教学质量提升奖金15万元全部用于用于教师培训费差旅费及办公费等项目，以此来提高学校办学条件及教学水平。</w:t>
      </w:r>
    </w:p>
    <w:p w14:paraId="382512F1">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三、绩效评价工作情况及评价结论</w:t>
      </w:r>
    </w:p>
    <w:p w14:paraId="43D6B4C8">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（一）评价范围及目的</w:t>
      </w:r>
    </w:p>
    <w:p w14:paraId="6A362D93">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次评价的范围是2023年度怀远县教育局教育教学质量提升奖，评价其绩效目标设定情况，资金投入和使用情况，为实现设定的绩效目标所制定的制度、采取的措施等，以及绩效目标最终的实现程度及效果。通过评价，深入了解2023年度怀远县教育局教育教学质量提升奖项目的决策、产出、过程和效益方面的详细情况，总结项目资金使用中的主要经验及存在问题，提出有针对性和可操作性的政策建议，不断提高财政资金管理水平和使用效益，为预算安排提供重要依据。</w:t>
      </w:r>
    </w:p>
    <w:p w14:paraId="2A5608FC">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（二）评价指标体系</w:t>
      </w:r>
    </w:p>
    <w:p w14:paraId="25FDB97A">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本次绩效评价指标体系包括项目决策、项目过程、项目产出、项目效益 4 个一级指标，满分为 100 分。其中：项目决策（20分）主要评价项目立项、绩效目标、资金投入情况，重点关注项目绩效目标设定情况、预算编制和资金分配情况。项目过程（20分）主要评价项目资金管理和组织实施情况，其中资金方面重点关注资金支出的及时性，合法合规性，以及绩效自评情况，组织实施重点关注管理制度的健全性和制度执行的有效性的情况。项目产出（30分）主要评价项目在本年度的实际产出数量、产出质量、产出成本等产出完成情况，根据项目申报内容，重点核实数量指标是否达到设定目标，产出质量、产出成本是否符合设定标准。项目效益（30分）主要评价社会效益、经济效益、可持续影响及服务对象满意度情况，重点关注项目是否提升全县教育教学水平和社会公众等服务对象的满意度情况。</w:t>
      </w:r>
    </w:p>
    <w:p w14:paraId="349CFC9B">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（三）评价方法</w:t>
      </w:r>
    </w:p>
    <w:p w14:paraId="4C310DB2">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本次评价采用现场调研与非现场评价相结合的形式开展。主要采用定性评价和定量评价相结合方法，对定性评价指标采用因素分析法和公众评判法，对定量指标采用成本效益分析法、比较法进行量化打分。总分为100分，评价结果分为优（≥90 分）、良（≥80分、＜90分）、中（≥60分、＜80分）、差（＜60分），以下为具体评价方法：</w:t>
      </w:r>
    </w:p>
    <w:p w14:paraId="3FF80A18">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1.成本效益分析法，通过将投入与产出、效益进行关联性分析，评价绩效目标实现程度。</w:t>
      </w:r>
    </w:p>
    <w:p w14:paraId="55CFE41F">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2.比较法，通过对绩效目标与实施效果、历史与当期情况的比较，综合分析绩效目标实现程度。</w:t>
      </w:r>
    </w:p>
    <w:p w14:paraId="40F06486">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3.因素分析法，通过综合分析影响绩效目标实现、实施效果的内外因素，评价绩效目标实现程度。</w:t>
      </w:r>
    </w:p>
    <w:p w14:paraId="4056403B">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4.公众评判法，通过群众满意度调查表对财政支出效果进行评判，评价绩效目标实现程度。</w:t>
      </w:r>
    </w:p>
    <w:p w14:paraId="2D861C3B">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（四）评价结论</w:t>
      </w:r>
    </w:p>
    <w:p w14:paraId="06CE9F2D">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根据评价指标体系对本项目的绩效进行评价, 教育教学质量提升奖项目综合评价得分90.5分，评价等级为“优”。2023年怀远县教育局教育教学质量提升奖项目基本按照计划完成年度工作任务，实现了年度绩效目标，取得了较好的社会效益和经济效益</w:t>
      </w:r>
      <w:r>
        <w:rPr>
          <w:rFonts w:hint="eastAsia" w:ascii="仿宋" w:hAnsi="仿宋" w:eastAsia="仿宋" w:cs="仿宋"/>
          <w:sz w:val="24"/>
          <w:szCs w:val="24"/>
          <w:highlight w:val="none"/>
          <w:lang w:val="en-US" w:eastAsia="zh-CN"/>
        </w:rPr>
        <w:t>，服务对象满意度高。但是，项目还存在绩效指标设定不明确、对绩效目标细化量化方面还不够准确等问题。</w:t>
      </w:r>
    </w:p>
    <w:p w14:paraId="3EFE47FC">
      <w:pPr>
        <w:pStyle w:val="20"/>
        <w:spacing w:line="360" w:lineRule="auto"/>
        <w:jc w:val="center"/>
        <w:rPr>
          <w:rFonts w:hint="eastAsia" w:ascii="仿宋" w:hAnsi="仿宋" w:eastAsia="仿宋" w:cs="仿宋"/>
          <w:b/>
          <w:bCs/>
          <w:color w:val="000000"/>
          <w:kern w:val="0"/>
          <w:sz w:val="36"/>
          <w:szCs w:val="36"/>
          <w:highlight w:val="none"/>
        </w:rPr>
      </w:pPr>
    </w:p>
    <w:p w14:paraId="053DFF12">
      <w:pPr>
        <w:pStyle w:val="20"/>
        <w:spacing w:line="360" w:lineRule="auto"/>
        <w:jc w:val="center"/>
        <w:rPr>
          <w:rFonts w:hint="eastAsia" w:ascii="仿宋" w:hAnsi="仿宋" w:eastAsia="仿宋" w:cs="仿宋"/>
          <w:b/>
          <w:bCs/>
          <w:color w:val="000000"/>
          <w:kern w:val="0"/>
          <w:sz w:val="36"/>
          <w:szCs w:val="36"/>
          <w:highlight w:val="none"/>
        </w:rPr>
      </w:pPr>
    </w:p>
    <w:p w14:paraId="35F675B2">
      <w:pPr>
        <w:pStyle w:val="20"/>
        <w:spacing w:line="360" w:lineRule="auto"/>
        <w:jc w:val="center"/>
        <w:rPr>
          <w:rFonts w:hint="eastAsia" w:ascii="仿宋" w:hAnsi="仿宋" w:eastAsia="仿宋" w:cs="仿宋"/>
          <w:b/>
          <w:bCs/>
          <w:color w:val="000000"/>
          <w:kern w:val="0"/>
          <w:sz w:val="36"/>
          <w:szCs w:val="36"/>
          <w:highlight w:val="none"/>
        </w:rPr>
      </w:pPr>
    </w:p>
    <w:p w14:paraId="3CA24493">
      <w:pPr>
        <w:pStyle w:val="20"/>
        <w:spacing w:line="360" w:lineRule="auto"/>
        <w:jc w:val="center"/>
        <w:rPr>
          <w:rFonts w:hint="eastAsia" w:ascii="仿宋" w:hAnsi="仿宋" w:eastAsia="仿宋" w:cs="仿宋"/>
          <w:b/>
          <w:bCs/>
          <w:color w:val="000000"/>
          <w:kern w:val="0"/>
          <w:sz w:val="36"/>
          <w:szCs w:val="36"/>
          <w:highlight w:val="none"/>
        </w:rPr>
      </w:pPr>
    </w:p>
    <w:p w14:paraId="7F3D8188">
      <w:pPr>
        <w:pStyle w:val="20"/>
        <w:spacing w:line="360" w:lineRule="auto"/>
        <w:jc w:val="center"/>
        <w:rPr>
          <w:rFonts w:hint="eastAsia" w:ascii="仿宋" w:hAnsi="仿宋" w:eastAsia="仿宋" w:cs="仿宋"/>
          <w:b/>
          <w:bCs/>
          <w:color w:val="000000"/>
          <w:kern w:val="0"/>
          <w:sz w:val="36"/>
          <w:szCs w:val="36"/>
          <w:highlight w:val="none"/>
        </w:rPr>
      </w:pPr>
    </w:p>
    <w:p w14:paraId="247F7849">
      <w:pPr>
        <w:pStyle w:val="20"/>
        <w:spacing w:line="360" w:lineRule="auto"/>
        <w:jc w:val="center"/>
        <w:rPr>
          <w:rFonts w:hint="eastAsia" w:ascii="仿宋" w:hAnsi="仿宋" w:eastAsia="仿宋" w:cs="仿宋"/>
          <w:b/>
          <w:bCs/>
          <w:color w:val="000000"/>
          <w:kern w:val="0"/>
          <w:sz w:val="36"/>
          <w:szCs w:val="36"/>
          <w:highlight w:val="none"/>
        </w:rPr>
      </w:pPr>
    </w:p>
    <w:p w14:paraId="2C420C66">
      <w:pPr>
        <w:pStyle w:val="20"/>
        <w:spacing w:line="360" w:lineRule="auto"/>
        <w:jc w:val="center"/>
        <w:rPr>
          <w:rFonts w:hint="eastAsia" w:ascii="仿宋" w:hAnsi="仿宋" w:eastAsia="仿宋" w:cs="仿宋"/>
          <w:b/>
          <w:bCs/>
          <w:color w:val="000000"/>
          <w:kern w:val="0"/>
          <w:sz w:val="36"/>
          <w:szCs w:val="36"/>
          <w:highlight w:val="none"/>
        </w:rPr>
      </w:pPr>
    </w:p>
    <w:p w14:paraId="4B63188E">
      <w:pPr>
        <w:pStyle w:val="20"/>
        <w:spacing w:line="360" w:lineRule="auto"/>
        <w:jc w:val="center"/>
        <w:rPr>
          <w:rFonts w:hint="eastAsia" w:ascii="仿宋" w:hAnsi="仿宋" w:eastAsia="仿宋" w:cs="仿宋"/>
          <w:b/>
          <w:bCs/>
          <w:color w:val="000000"/>
          <w:kern w:val="0"/>
          <w:sz w:val="36"/>
          <w:szCs w:val="36"/>
          <w:highlight w:val="none"/>
        </w:rPr>
      </w:pPr>
    </w:p>
    <w:p w14:paraId="07BCF492">
      <w:pPr>
        <w:pStyle w:val="20"/>
        <w:spacing w:line="360" w:lineRule="auto"/>
        <w:jc w:val="center"/>
        <w:rPr>
          <w:rFonts w:hint="eastAsia" w:ascii="仿宋" w:hAnsi="仿宋" w:eastAsia="仿宋" w:cs="仿宋"/>
          <w:b/>
          <w:bCs/>
          <w:color w:val="000000"/>
          <w:kern w:val="0"/>
          <w:sz w:val="36"/>
          <w:szCs w:val="36"/>
          <w:highlight w:val="none"/>
        </w:rPr>
      </w:pPr>
    </w:p>
    <w:p w14:paraId="6979F8F0">
      <w:pPr>
        <w:pStyle w:val="20"/>
        <w:spacing w:line="360" w:lineRule="auto"/>
        <w:jc w:val="center"/>
        <w:rPr>
          <w:rFonts w:hint="eastAsia" w:ascii="仿宋" w:hAnsi="仿宋" w:eastAsia="仿宋" w:cs="仿宋"/>
          <w:b/>
          <w:bCs/>
          <w:color w:val="000000"/>
          <w:kern w:val="0"/>
          <w:sz w:val="36"/>
          <w:szCs w:val="36"/>
          <w:highlight w:val="none"/>
        </w:rPr>
      </w:pPr>
    </w:p>
    <w:p w14:paraId="6DCBDB46">
      <w:pPr>
        <w:pStyle w:val="20"/>
        <w:spacing w:line="360" w:lineRule="auto"/>
        <w:jc w:val="center"/>
        <w:rPr>
          <w:rFonts w:hint="eastAsia" w:ascii="仿宋" w:hAnsi="仿宋" w:eastAsia="仿宋" w:cs="仿宋"/>
          <w:b/>
          <w:bCs/>
          <w:color w:val="000000"/>
          <w:kern w:val="0"/>
          <w:sz w:val="36"/>
          <w:szCs w:val="36"/>
          <w:highlight w:val="none"/>
        </w:rPr>
      </w:pPr>
    </w:p>
    <w:p w14:paraId="5A805697">
      <w:pPr>
        <w:pStyle w:val="20"/>
        <w:spacing w:line="360" w:lineRule="auto"/>
        <w:jc w:val="center"/>
        <w:rPr>
          <w:rFonts w:hint="eastAsia" w:ascii="仿宋" w:hAnsi="仿宋" w:eastAsia="仿宋" w:cs="仿宋"/>
          <w:b/>
          <w:bCs/>
          <w:color w:val="000000"/>
          <w:kern w:val="0"/>
          <w:sz w:val="36"/>
          <w:szCs w:val="36"/>
          <w:highlight w:val="none"/>
        </w:rPr>
      </w:pPr>
    </w:p>
    <w:p w14:paraId="34910CCF">
      <w:pPr>
        <w:pStyle w:val="20"/>
        <w:spacing w:line="360" w:lineRule="auto"/>
        <w:jc w:val="center"/>
        <w:rPr>
          <w:rFonts w:hint="eastAsia" w:ascii="仿宋" w:hAnsi="仿宋" w:eastAsia="仿宋" w:cs="仿宋"/>
          <w:b/>
          <w:bCs/>
          <w:color w:val="000000"/>
          <w:kern w:val="0"/>
          <w:sz w:val="36"/>
          <w:szCs w:val="36"/>
          <w:highlight w:val="none"/>
        </w:rPr>
      </w:pPr>
    </w:p>
    <w:p w14:paraId="6C30E0F1">
      <w:pPr>
        <w:pStyle w:val="20"/>
        <w:spacing w:line="360" w:lineRule="auto"/>
        <w:jc w:val="center"/>
        <w:rPr>
          <w:rFonts w:hint="eastAsia" w:ascii="仿宋" w:hAnsi="仿宋" w:eastAsia="仿宋" w:cs="仿宋"/>
          <w:b/>
          <w:bCs/>
          <w:color w:val="000000"/>
          <w:kern w:val="0"/>
          <w:sz w:val="36"/>
          <w:szCs w:val="36"/>
          <w:highlight w:val="none"/>
        </w:rPr>
      </w:pPr>
    </w:p>
    <w:p w14:paraId="621C71FA">
      <w:pPr>
        <w:pStyle w:val="20"/>
        <w:spacing w:line="360" w:lineRule="auto"/>
        <w:jc w:val="center"/>
        <w:rPr>
          <w:rFonts w:hint="eastAsia" w:ascii="仿宋" w:hAnsi="仿宋" w:eastAsia="仿宋" w:cs="仿宋"/>
          <w:b/>
          <w:bCs/>
          <w:color w:val="000000"/>
          <w:kern w:val="0"/>
          <w:sz w:val="36"/>
          <w:szCs w:val="36"/>
          <w:highlight w:val="none"/>
        </w:rPr>
      </w:pPr>
    </w:p>
    <w:p w14:paraId="6148986D">
      <w:pPr>
        <w:pStyle w:val="20"/>
        <w:spacing w:line="360" w:lineRule="auto"/>
        <w:jc w:val="center"/>
        <w:rPr>
          <w:rFonts w:hint="eastAsia" w:ascii="仿宋" w:hAnsi="仿宋" w:eastAsia="仿宋" w:cs="仿宋"/>
          <w:b/>
          <w:bCs/>
          <w:color w:val="000000"/>
          <w:kern w:val="0"/>
          <w:sz w:val="36"/>
          <w:szCs w:val="36"/>
          <w:highlight w:val="none"/>
        </w:rPr>
      </w:pPr>
    </w:p>
    <w:p w14:paraId="0CD19938">
      <w:pPr>
        <w:pStyle w:val="20"/>
        <w:spacing w:line="360" w:lineRule="auto"/>
        <w:jc w:val="center"/>
        <w:rPr>
          <w:rFonts w:hint="eastAsia" w:ascii="仿宋" w:hAnsi="仿宋" w:eastAsia="仿宋" w:cs="仿宋"/>
          <w:b/>
          <w:bCs/>
          <w:color w:val="333333"/>
          <w:kern w:val="0"/>
          <w:sz w:val="36"/>
          <w:szCs w:val="36"/>
          <w:highlight w:val="none"/>
        </w:rPr>
      </w:pPr>
      <w:r>
        <w:rPr>
          <w:rFonts w:hint="eastAsia" w:ascii="仿宋" w:hAnsi="仿宋" w:eastAsia="仿宋" w:cs="仿宋"/>
          <w:b/>
          <w:bCs/>
          <w:color w:val="000000"/>
          <w:kern w:val="0"/>
          <w:sz w:val="36"/>
          <w:szCs w:val="36"/>
          <w:highlight w:val="none"/>
        </w:rPr>
        <w:t>202</w:t>
      </w:r>
      <w:r>
        <w:rPr>
          <w:rFonts w:hint="eastAsia" w:ascii="仿宋" w:hAnsi="仿宋" w:eastAsia="仿宋" w:cs="仿宋"/>
          <w:b/>
          <w:bCs/>
          <w:color w:val="000000"/>
          <w:kern w:val="0"/>
          <w:sz w:val="36"/>
          <w:szCs w:val="36"/>
          <w:highlight w:val="none"/>
          <w:lang w:val="en-US" w:eastAsia="zh-CN"/>
        </w:rPr>
        <w:t>3</w:t>
      </w:r>
      <w:r>
        <w:rPr>
          <w:rFonts w:hint="eastAsia" w:ascii="仿宋" w:hAnsi="仿宋" w:eastAsia="仿宋" w:cs="仿宋"/>
          <w:b/>
          <w:bCs/>
          <w:color w:val="000000"/>
          <w:kern w:val="0"/>
          <w:sz w:val="36"/>
          <w:szCs w:val="36"/>
          <w:highlight w:val="none"/>
        </w:rPr>
        <w:t>年度</w:t>
      </w:r>
      <w:r>
        <w:rPr>
          <w:rFonts w:hint="eastAsia" w:ascii="仿宋" w:hAnsi="仿宋" w:eastAsia="仿宋" w:cs="仿宋"/>
          <w:b/>
          <w:bCs/>
          <w:color w:val="000000"/>
          <w:kern w:val="0"/>
          <w:sz w:val="36"/>
          <w:szCs w:val="36"/>
          <w:highlight w:val="none"/>
          <w:lang w:val="zh-CN" w:eastAsia="zh-CN" w:bidi="ar-SA"/>
        </w:rPr>
        <w:t>怀远县教育局教育教学质量提升奖</w:t>
      </w:r>
      <w:r>
        <w:rPr>
          <w:rFonts w:hint="eastAsia" w:ascii="仿宋" w:hAnsi="仿宋" w:eastAsia="仿宋" w:cs="仿宋"/>
          <w:b/>
          <w:bCs/>
          <w:color w:val="000000"/>
          <w:kern w:val="0"/>
          <w:sz w:val="36"/>
          <w:szCs w:val="36"/>
          <w:highlight w:val="none"/>
        </w:rPr>
        <w:t>项目支出绩效评价报告</w:t>
      </w:r>
    </w:p>
    <w:p w14:paraId="2C64DBD8">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为进一步加强怀远县教育局教育教学质量提升奖项目，提高财政资金使用效益，受怀远县财政局委托</w:t>
      </w:r>
      <w:r>
        <w:rPr>
          <w:rFonts w:hint="eastAsia" w:ascii="仿宋" w:hAnsi="仿宋" w:eastAsia="仿宋" w:cs="仿宋"/>
          <w:sz w:val="24"/>
          <w:szCs w:val="24"/>
          <w:highlight w:val="none"/>
          <w:lang w:val="en-US" w:eastAsia="zh-CN"/>
        </w:rPr>
        <w:t>，安徽宝逸通企业咨询管理有限公司组成评价小组，于2024年12月，对怀远县教育局的“</w:t>
      </w:r>
      <w:r>
        <w:rPr>
          <w:rFonts w:hint="eastAsia" w:ascii="仿宋" w:hAnsi="仿宋" w:eastAsia="仿宋" w:cs="仿宋"/>
          <w:sz w:val="24"/>
          <w:szCs w:val="24"/>
          <w:highlight w:val="none"/>
          <w:lang w:val="zh-CN" w:eastAsia="zh-CN"/>
        </w:rPr>
        <w:t>怀远县教育局教育教学质量提</w:t>
      </w:r>
      <w:r>
        <w:rPr>
          <w:rFonts w:hint="eastAsia" w:ascii="仿宋" w:hAnsi="仿宋" w:eastAsia="仿宋" w:cs="仿宋"/>
          <w:sz w:val="24"/>
          <w:szCs w:val="24"/>
          <w:lang w:val="zh-CN" w:eastAsia="zh-CN"/>
        </w:rPr>
        <w:t>升奖</w:t>
      </w:r>
      <w:r>
        <w:rPr>
          <w:rFonts w:hint="eastAsia" w:ascii="仿宋" w:hAnsi="仿宋" w:eastAsia="仿宋" w:cs="仿宋"/>
          <w:sz w:val="24"/>
          <w:szCs w:val="24"/>
          <w:lang w:val="en-US" w:eastAsia="zh-CN"/>
        </w:rPr>
        <w:t>”（以下简称“项目”）开展绩效评价工作，现将评价情况报告如下：</w:t>
      </w:r>
    </w:p>
    <w:p w14:paraId="082430FA">
      <w:pPr>
        <w:widowControl/>
        <w:shd w:val="clear" w:color="auto" w:fill="FFFFFF"/>
        <w:spacing w:line="360" w:lineRule="auto"/>
        <w:ind w:firstLine="645"/>
        <w:outlineLvl w:val="1"/>
        <w:rPr>
          <w:rFonts w:ascii="Times New Roman" w:hAnsi="Times New Roman" w:eastAsia="微软雅黑"/>
          <w:b/>
          <w:bCs/>
          <w:color w:val="333333"/>
          <w:kern w:val="0"/>
          <w:sz w:val="28"/>
          <w:szCs w:val="28"/>
          <w:highlight w:val="none"/>
        </w:rPr>
      </w:pPr>
      <w:bookmarkStart w:id="3" w:name="_Toc13647"/>
      <w:r>
        <w:rPr>
          <w:rFonts w:hint="eastAsia" w:ascii="黑体" w:hAnsi="黑体" w:eastAsia="黑体"/>
          <w:b/>
          <w:bCs/>
          <w:color w:val="000000"/>
          <w:kern w:val="0"/>
          <w:sz w:val="28"/>
          <w:szCs w:val="28"/>
          <w:highlight w:val="none"/>
        </w:rPr>
        <w:t>一、项目基本情况</w:t>
      </w:r>
      <w:bookmarkEnd w:id="3"/>
    </w:p>
    <w:p w14:paraId="7516ED7A">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（一）项目概况</w:t>
      </w:r>
    </w:p>
    <w:p w14:paraId="654686F8">
      <w:pPr>
        <w:spacing w:line="560" w:lineRule="exact"/>
        <w:ind w:firstLine="480" w:firstLineChars="200"/>
        <w:outlineLvl w:val="0"/>
        <w:rPr>
          <w:rFonts w:hint="eastAsia" w:ascii="仿宋" w:hAnsi="仿宋" w:eastAsia="仿宋" w:cs="仿宋"/>
          <w:sz w:val="24"/>
          <w:szCs w:val="24"/>
          <w:highlight w:val="none"/>
          <w:lang w:val="en-US" w:eastAsia="zh-CN"/>
        </w:rPr>
      </w:pPr>
      <w:bookmarkStart w:id="4" w:name="_Toc31247"/>
      <w:bookmarkStart w:id="5" w:name="_Toc31308"/>
      <w:r>
        <w:rPr>
          <w:rFonts w:hint="eastAsia" w:ascii="仿宋" w:hAnsi="仿宋" w:eastAsia="仿宋" w:cs="仿宋"/>
          <w:sz w:val="24"/>
          <w:szCs w:val="24"/>
          <w:highlight w:val="none"/>
          <w:lang w:val="en-US" w:eastAsia="zh-CN"/>
        </w:rPr>
        <w:t>1、项目立项背景及实施目的。</w:t>
      </w:r>
      <w:bookmarkEnd w:id="4"/>
      <w:bookmarkEnd w:id="5"/>
    </w:p>
    <w:p w14:paraId="715855E2">
      <w:pPr>
        <w:pStyle w:val="5"/>
        <w:keepNext w:val="0"/>
        <w:keepLines w:val="0"/>
        <w:pageBreakBefore w:val="0"/>
        <w:widowControl/>
        <w:kinsoku/>
        <w:wordWrap/>
        <w:overflowPunct/>
        <w:topLinePunct w:val="0"/>
        <w:autoSpaceDE w:val="0"/>
        <w:autoSpaceDN/>
        <w:bidi w:val="0"/>
        <w:adjustRightInd/>
        <w:snapToGrid/>
        <w:spacing w:line="480" w:lineRule="exact"/>
        <w:ind w:firstLine="480" w:firstLineChars="200"/>
        <w:jc w:val="left"/>
        <w:textAlignment w:val="auto"/>
        <w:rPr>
          <w:rFonts w:hint="eastAsia" w:ascii="仿宋" w:hAnsi="仿宋" w:eastAsia="仿宋" w:cs="仿宋"/>
          <w:kern w:val="2"/>
          <w:sz w:val="24"/>
          <w:szCs w:val="24"/>
          <w:highlight w:val="none"/>
          <w:lang w:val="en-US" w:eastAsia="zh-CN" w:bidi="ar-SA"/>
        </w:rPr>
      </w:pPr>
      <w:bookmarkStart w:id="6" w:name="_Toc19977"/>
      <w:bookmarkStart w:id="7" w:name="_Toc28238"/>
      <w:r>
        <w:rPr>
          <w:rFonts w:hint="eastAsia" w:ascii="仿宋" w:hAnsi="仿宋" w:eastAsia="仿宋" w:cs="仿宋"/>
          <w:kern w:val="2"/>
          <w:sz w:val="24"/>
          <w:szCs w:val="24"/>
          <w:highlight w:val="none"/>
          <w:lang w:val="en-US" w:eastAsia="zh-CN" w:bidi="ar-SA"/>
        </w:rPr>
        <w:t>为认真贯彻落实习近平总书记提出的“五育并举”重要指示和新时代教育督导评价体系要求，强化对各级各类学校办学能力和办学水平评估和监测结果的运用，根据怀办发〔2021〕87号《关于加强教育教学保障工作的通知》，怀远县教育局每学年对高中、初中、小学、幼儿园、学区管委会和其他类学校进行分类评估，按照考核要求对优秀学校进行奖励，奖励小学、初中、高中教育教学质量提升。该项目的实施能够充分调动我县高中教师团队工作积极性、主动性和创新性,激发全县办学活力，有效促进全县教育教学质量的提升，进一步促进怀远县教育高质量发展。</w:t>
      </w:r>
    </w:p>
    <w:p w14:paraId="7B72C906">
      <w:pPr>
        <w:spacing w:line="560" w:lineRule="exact"/>
        <w:ind w:firstLine="480" w:firstLineChars="200"/>
        <w:outlineLvl w:val="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2、项目主要内容及实施情况</w:t>
      </w:r>
      <w:bookmarkEnd w:id="6"/>
      <w:bookmarkEnd w:id="7"/>
    </w:p>
    <w:p w14:paraId="56BAC702">
      <w:pPr>
        <w:spacing w:line="560" w:lineRule="exact"/>
        <w:ind w:firstLine="480" w:firstLineChars="200"/>
        <w:outlineLvl w:val="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2.1项目立项时间</w:t>
      </w:r>
    </w:p>
    <w:p w14:paraId="4CBB9AB1">
      <w:pPr>
        <w:spacing w:line="560" w:lineRule="exact"/>
        <w:ind w:firstLine="480" w:firstLineChars="200"/>
        <w:outlineLvl w:val="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项目于2023年1月初由怀远县教育局立项。</w:t>
      </w:r>
    </w:p>
    <w:p w14:paraId="73192A0E">
      <w:pPr>
        <w:spacing w:line="560" w:lineRule="exact"/>
        <w:ind w:firstLine="480" w:firstLineChars="200"/>
        <w:outlineLvl w:val="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2.2项目批复单位</w:t>
      </w:r>
    </w:p>
    <w:p w14:paraId="056A23FE">
      <w:pPr>
        <w:spacing w:line="560" w:lineRule="exact"/>
        <w:ind w:firstLine="480" w:firstLineChars="200"/>
        <w:outlineLvl w:val="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项目预算由怀远县财政局批复。</w:t>
      </w:r>
    </w:p>
    <w:p w14:paraId="3BB1C390">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2.3项目具体内容</w:t>
      </w:r>
    </w:p>
    <w:p w14:paraId="6DBBD2F7">
      <w:pPr>
        <w:spacing w:line="560" w:lineRule="exact"/>
        <w:ind w:firstLine="480" w:firstLineChars="200"/>
        <w:outlineLvl w:val="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按照怀教体〔2021〕82号关于印发《怀远县2021年度学校目标管理督导考核实施方案》的通知和关于《怀远县2021年度学校目标管理督导考核实施方案》几点修改的通知，组织实施了怀远县高中及初中学校2021—2022学年度学校目标管理督导考核，根据督导考核结果对学校进行奖励，拟拨付资金如下：</w:t>
      </w:r>
    </w:p>
    <w:p w14:paraId="54087539">
      <w:pPr>
        <w:spacing w:line="560" w:lineRule="exact"/>
        <w:ind w:firstLine="480" w:firstLineChars="200"/>
        <w:outlineLvl w:val="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怀远一中100万元；怀远二中75万元；常坟中学50万元；包集中学25万元；育人中学35万元；怀远县123高考辅导班15万元。合计高中组奖励300万元。</w:t>
      </w:r>
    </w:p>
    <w:p w14:paraId="76866BCD">
      <w:pPr>
        <w:spacing w:line="560" w:lineRule="exact"/>
        <w:ind w:firstLine="480" w:firstLineChars="200"/>
        <w:outlineLvl w:val="0"/>
        <w:rPr>
          <w:rFonts w:hint="default"/>
          <w:highlight w:val="none"/>
          <w:lang w:val="en-US" w:eastAsia="zh-CN"/>
        </w:rPr>
      </w:pPr>
      <w:r>
        <w:rPr>
          <w:rFonts w:hint="eastAsia" w:ascii="仿宋" w:hAnsi="仿宋" w:eastAsia="仿宋" w:cs="仿宋"/>
          <w:sz w:val="24"/>
          <w:szCs w:val="24"/>
          <w:highlight w:val="none"/>
          <w:lang w:val="en-US" w:eastAsia="zh-CN"/>
        </w:rPr>
        <w:t>实验中学7.5万元；荆涂学校7.5万元；支湖学校7.5万元；龙亢中学7.5万元；新城实验学校7.5万元；淝南镇学区徐湾学校5万元；常坟中学5万元；淝河镇学区淝河中学5万元；白莲坡镇学区茆塘学校5万元；白莲坡镇学区白莲坡中学5万元；魏庄镇学区方坝学校4万元；河溜中学4万元；白莲坡镇学区叶湖学校4万元；淝南镇学区燕集中学4万元；龙亢农场中学4万元；常坟镇学区邹庙学校3万元；唐集镇学区运华学校3万元；徐圩乡学区徐圩中学3万元；毅德实验学校3万元；常坟镇学区孔岗学校3万元；怀远县禹王学校2.5万元。合计初中组奖励100万元。</w:t>
      </w:r>
    </w:p>
    <w:p w14:paraId="333C3D2B">
      <w:pPr>
        <w:spacing w:line="560" w:lineRule="exact"/>
        <w:ind w:firstLine="480" w:firstLineChars="200"/>
        <w:outlineLvl w:val="0"/>
        <w:rPr>
          <w:rFonts w:hint="eastAsia" w:ascii="仿宋" w:hAnsi="仿宋" w:eastAsia="仿宋" w:cs="仿宋"/>
          <w:color w:val="auto"/>
          <w:sz w:val="24"/>
          <w:szCs w:val="24"/>
          <w:highlight w:val="none"/>
          <w:lang w:val="en-US" w:eastAsia="zh-CN"/>
        </w:rPr>
      </w:pPr>
      <w:bookmarkStart w:id="8" w:name="_Toc32503"/>
      <w:bookmarkStart w:id="9" w:name="_Toc9775"/>
      <w:r>
        <w:rPr>
          <w:rFonts w:hint="eastAsia" w:ascii="仿宋" w:hAnsi="仿宋" w:eastAsia="仿宋" w:cs="仿宋"/>
          <w:sz w:val="24"/>
          <w:szCs w:val="24"/>
          <w:highlight w:val="none"/>
          <w:lang w:val="en-US" w:eastAsia="zh-CN"/>
        </w:rPr>
        <w:t>3</w:t>
      </w:r>
      <w:r>
        <w:rPr>
          <w:rFonts w:hint="eastAsia" w:ascii="仿宋" w:hAnsi="仿宋" w:eastAsia="仿宋" w:cs="仿宋"/>
          <w:color w:val="0000FF"/>
          <w:sz w:val="24"/>
          <w:szCs w:val="24"/>
          <w:highlight w:val="none"/>
          <w:lang w:val="en-US" w:eastAsia="zh-CN"/>
        </w:rPr>
        <w:t>、</w:t>
      </w:r>
      <w:r>
        <w:rPr>
          <w:rFonts w:hint="eastAsia" w:ascii="仿宋" w:hAnsi="仿宋" w:eastAsia="仿宋" w:cs="仿宋"/>
          <w:color w:val="auto"/>
          <w:sz w:val="24"/>
          <w:szCs w:val="24"/>
          <w:highlight w:val="none"/>
          <w:lang w:val="en-US" w:eastAsia="zh-CN"/>
        </w:rPr>
        <w:t>项目实施情况</w:t>
      </w:r>
      <w:bookmarkEnd w:id="8"/>
      <w:bookmarkEnd w:id="9"/>
    </w:p>
    <w:p w14:paraId="2637031E">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color w:val="auto"/>
          <w:sz w:val="24"/>
          <w:szCs w:val="24"/>
          <w:highlight w:val="none"/>
          <w:lang w:val="en-US" w:eastAsia="zh-CN"/>
        </w:rPr>
        <w:t>2023年1月，怀远</w:t>
      </w:r>
      <w:r>
        <w:rPr>
          <w:rFonts w:hint="eastAsia" w:ascii="仿宋" w:hAnsi="仿宋" w:eastAsia="仿宋" w:cs="仿宋"/>
          <w:sz w:val="24"/>
          <w:szCs w:val="24"/>
          <w:highlight w:val="none"/>
          <w:lang w:val="en-US" w:eastAsia="zh-CN"/>
        </w:rPr>
        <w:t>县教育局项目预算52.5万元。2023年实际支出52.5万元，预算执行率达100%。专项资金使用情况如下（单位：万元）：</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61"/>
        <w:gridCol w:w="3892"/>
        <w:gridCol w:w="2669"/>
      </w:tblGrid>
      <w:tr w14:paraId="5A04B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1" w:type="dxa"/>
          </w:tcPr>
          <w:p w14:paraId="1AC5CC46">
            <w:pPr>
              <w:spacing w:line="560" w:lineRule="exact"/>
              <w:rPr>
                <w:rFonts w:hint="eastAsia"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vertAlign w:val="baseline"/>
                <w:lang w:val="en-US" w:eastAsia="zh-CN"/>
              </w:rPr>
              <w:t>序号</w:t>
            </w:r>
          </w:p>
        </w:tc>
        <w:tc>
          <w:tcPr>
            <w:tcW w:w="3892" w:type="dxa"/>
          </w:tcPr>
          <w:p w14:paraId="0FE19278">
            <w:pPr>
              <w:spacing w:line="560" w:lineRule="exact"/>
              <w:rPr>
                <w:rFonts w:hint="eastAsia"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vertAlign w:val="baseline"/>
                <w:lang w:val="en-US" w:eastAsia="zh-CN"/>
              </w:rPr>
              <w:t>单位</w:t>
            </w:r>
          </w:p>
        </w:tc>
        <w:tc>
          <w:tcPr>
            <w:tcW w:w="2669" w:type="dxa"/>
          </w:tcPr>
          <w:p w14:paraId="5D8EB0F4">
            <w:pPr>
              <w:spacing w:line="560" w:lineRule="exact"/>
              <w:rPr>
                <w:rFonts w:hint="eastAsia"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vertAlign w:val="baseline"/>
                <w:lang w:val="en-US" w:eastAsia="zh-CN"/>
              </w:rPr>
              <w:t>奖金</w:t>
            </w:r>
          </w:p>
        </w:tc>
      </w:tr>
      <w:tr w14:paraId="0FBA3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1" w:type="dxa"/>
          </w:tcPr>
          <w:p w14:paraId="5162E705">
            <w:pPr>
              <w:spacing w:line="560" w:lineRule="exact"/>
              <w:rPr>
                <w:rFonts w:hint="default"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vertAlign w:val="baseline"/>
                <w:lang w:val="en-US" w:eastAsia="zh-CN"/>
              </w:rPr>
              <w:t>1</w:t>
            </w:r>
          </w:p>
        </w:tc>
        <w:tc>
          <w:tcPr>
            <w:tcW w:w="3892" w:type="dxa"/>
          </w:tcPr>
          <w:p w14:paraId="2CA681A9">
            <w:pPr>
              <w:spacing w:line="560" w:lineRule="exact"/>
              <w:rPr>
                <w:rFonts w:hint="eastAsia"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vertAlign w:val="baseline"/>
                <w:lang w:val="en-US" w:eastAsia="zh-CN"/>
              </w:rPr>
              <w:t>禹王中学</w:t>
            </w:r>
          </w:p>
        </w:tc>
        <w:tc>
          <w:tcPr>
            <w:tcW w:w="2669" w:type="dxa"/>
          </w:tcPr>
          <w:p w14:paraId="30C1016C">
            <w:pPr>
              <w:spacing w:line="560" w:lineRule="exact"/>
              <w:rPr>
                <w:rFonts w:hint="default"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vertAlign w:val="baseline"/>
                <w:lang w:val="en-US" w:eastAsia="zh-CN"/>
              </w:rPr>
              <w:t>2.5</w:t>
            </w:r>
          </w:p>
        </w:tc>
      </w:tr>
      <w:tr w14:paraId="36383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1" w:type="dxa"/>
          </w:tcPr>
          <w:p w14:paraId="18EBC431">
            <w:pPr>
              <w:spacing w:line="560" w:lineRule="exact"/>
              <w:rPr>
                <w:rFonts w:hint="default"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vertAlign w:val="baseline"/>
                <w:lang w:val="en-US" w:eastAsia="zh-CN"/>
              </w:rPr>
              <w:t>2</w:t>
            </w:r>
          </w:p>
        </w:tc>
        <w:tc>
          <w:tcPr>
            <w:tcW w:w="3892" w:type="dxa"/>
          </w:tcPr>
          <w:p w14:paraId="2D75F0DE">
            <w:pPr>
              <w:spacing w:line="560" w:lineRule="exact"/>
              <w:rPr>
                <w:rFonts w:hint="eastAsia"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vertAlign w:val="baseline"/>
                <w:lang w:val="en-US" w:eastAsia="zh-CN"/>
              </w:rPr>
              <w:t>育人中学</w:t>
            </w:r>
          </w:p>
        </w:tc>
        <w:tc>
          <w:tcPr>
            <w:tcW w:w="2669" w:type="dxa"/>
          </w:tcPr>
          <w:p w14:paraId="2FA12465">
            <w:pPr>
              <w:spacing w:line="560" w:lineRule="exact"/>
              <w:rPr>
                <w:rFonts w:hint="default"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vertAlign w:val="baseline"/>
                <w:lang w:val="en-US" w:eastAsia="zh-CN"/>
              </w:rPr>
              <w:t>35</w:t>
            </w:r>
          </w:p>
        </w:tc>
      </w:tr>
      <w:tr w14:paraId="0D3A5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1" w:type="dxa"/>
          </w:tcPr>
          <w:p w14:paraId="129B8D6F">
            <w:pPr>
              <w:spacing w:line="560" w:lineRule="exact"/>
              <w:rPr>
                <w:rFonts w:hint="default"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vertAlign w:val="baseline"/>
                <w:lang w:val="en-US" w:eastAsia="zh-CN"/>
              </w:rPr>
              <w:t>3</w:t>
            </w:r>
          </w:p>
        </w:tc>
        <w:tc>
          <w:tcPr>
            <w:tcW w:w="3892" w:type="dxa"/>
          </w:tcPr>
          <w:p w14:paraId="64DB9CF2">
            <w:pPr>
              <w:spacing w:line="560" w:lineRule="exact"/>
              <w:rPr>
                <w:rFonts w:hint="eastAsia"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vertAlign w:val="baseline"/>
                <w:lang w:val="en-US" w:eastAsia="zh-CN"/>
              </w:rPr>
              <w:t>一二三高考辅导班</w:t>
            </w:r>
          </w:p>
        </w:tc>
        <w:tc>
          <w:tcPr>
            <w:tcW w:w="2669" w:type="dxa"/>
          </w:tcPr>
          <w:p w14:paraId="5ED1247B">
            <w:pPr>
              <w:spacing w:line="560" w:lineRule="exact"/>
              <w:rPr>
                <w:rFonts w:hint="default"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vertAlign w:val="baseline"/>
                <w:lang w:val="en-US" w:eastAsia="zh-CN"/>
              </w:rPr>
              <w:t>15</w:t>
            </w:r>
          </w:p>
        </w:tc>
      </w:tr>
    </w:tbl>
    <w:p w14:paraId="65A4097C">
      <w:pPr>
        <w:spacing w:line="560" w:lineRule="exact"/>
        <w:rPr>
          <w:rFonts w:hint="eastAsia" w:ascii="仿宋" w:hAnsi="仿宋" w:eastAsia="仿宋" w:cs="仿宋"/>
          <w:sz w:val="24"/>
          <w:szCs w:val="24"/>
          <w:highlight w:val="none"/>
          <w:lang w:val="en-US" w:eastAsia="zh-CN"/>
        </w:rPr>
      </w:pPr>
    </w:p>
    <w:p w14:paraId="740AB661">
      <w:pPr>
        <w:pStyle w:val="2"/>
        <w:rPr>
          <w:rFonts w:hint="eastAsia" w:ascii="仿宋" w:hAnsi="仿宋" w:eastAsia="仿宋" w:cs="仿宋"/>
          <w:sz w:val="24"/>
          <w:szCs w:val="24"/>
          <w:highlight w:val="none"/>
          <w:lang w:val="en-US" w:eastAsia="zh-CN"/>
        </w:rPr>
      </w:pPr>
    </w:p>
    <w:p w14:paraId="07561B1E">
      <w:pPr>
        <w:pStyle w:val="2"/>
        <w:rPr>
          <w:rFonts w:hint="eastAsia" w:ascii="仿宋" w:hAnsi="仿宋" w:eastAsia="仿宋" w:cs="仿宋"/>
          <w:sz w:val="24"/>
          <w:szCs w:val="24"/>
          <w:highlight w:val="none"/>
          <w:lang w:val="en-US" w:eastAsia="zh-CN"/>
        </w:rPr>
      </w:pPr>
    </w:p>
    <w:p w14:paraId="109AB167">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（二）项目绩效目标</w:t>
      </w:r>
    </w:p>
    <w:p w14:paraId="0078DFF1">
      <w:pPr>
        <w:spacing w:line="560" w:lineRule="exact"/>
        <w:ind w:firstLine="480" w:firstLineChars="200"/>
        <w:rPr>
          <w:rFonts w:hint="eastAsia" w:ascii="仿宋" w:hAnsi="仿宋" w:eastAsia="仿宋" w:cs="仿宋"/>
          <w:sz w:val="24"/>
          <w:szCs w:val="24"/>
          <w:highlight w:val="none"/>
          <w:lang w:val="en-US" w:eastAsia="zh-CN"/>
        </w:rPr>
      </w:pPr>
      <w:bookmarkStart w:id="10" w:name="_Toc25852"/>
      <w:r>
        <w:rPr>
          <w:rFonts w:hint="eastAsia" w:ascii="仿宋" w:hAnsi="仿宋" w:eastAsia="仿宋" w:cs="仿宋"/>
          <w:sz w:val="24"/>
          <w:szCs w:val="24"/>
          <w:highlight w:val="none"/>
          <w:lang w:val="en-US" w:eastAsia="zh-CN"/>
        </w:rPr>
        <w:t>1.总体目标</w:t>
      </w:r>
    </w:p>
    <w:p w14:paraId="406DA45B">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主要用于各民办学校以及123补习班的教育教学质量提升奖,充分调动我县高中教师团队工作积极性、主动性和创新性,激发全县办学活力，有效促进全县教育教学质量的提升和怀远县教育高质量发展。</w:t>
      </w:r>
    </w:p>
    <w:p w14:paraId="23227677">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2.年度绩效目标</w:t>
      </w:r>
    </w:p>
    <w:p w14:paraId="251BAE28">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主要用于各民办学校以及123补习班的教育教学质量提升奖，其中：禹王中学奖励金2.5万元，育人中学奖励金35万元，一二三高考辅导班奖励金15万元，涉及资金及时拨付、发放。该项目的实施能够强化对各级各类学校办学能力和办学水平评估和监测结果的运用，对加强教师业务能力、激励培养教师人才以及促进怀远县教育高质量发展都起到了一定的作用。</w:t>
      </w:r>
    </w:p>
    <w:p w14:paraId="6C51FFBC">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二、绩效评价工作开展情况</w:t>
      </w:r>
      <w:bookmarkEnd w:id="10"/>
    </w:p>
    <w:p w14:paraId="264B37D9">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（一）绩效评价目的、对象和范围</w:t>
      </w:r>
    </w:p>
    <w:p w14:paraId="758E0C81">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1.评价目的</w:t>
      </w:r>
    </w:p>
    <w:p w14:paraId="0322358E">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了解怀远县教育局教育教学质量提升奖项目的使用和效益情况，通过对2023年度教育教学质量提升奖项目的立项投入、过程、产出和效果四个方面进行客观、公正的评价，总结本项目实施过程中的经验，发现问题，提出改进该项目立项投入、组织实施、运行管理的具体建议，进一步加强项目管理，提高财政资金的使用效益，为下一步预算资金安排提供重要参考。</w:t>
      </w:r>
    </w:p>
    <w:p w14:paraId="2A7E5E26">
      <w:pPr>
        <w:numPr>
          <w:ilvl w:val="0"/>
          <w:numId w:val="3"/>
        </w:num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评价对象</w:t>
      </w:r>
    </w:p>
    <w:p w14:paraId="0F4B38F8">
      <w:pPr>
        <w:numPr>
          <w:ilvl w:val="0"/>
          <w:numId w:val="0"/>
        </w:num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2021—2022学年度各民办学校以及123补习班。</w:t>
      </w:r>
    </w:p>
    <w:p w14:paraId="2319FB5D">
      <w:pPr>
        <w:numPr>
          <w:ilvl w:val="0"/>
          <w:numId w:val="3"/>
        </w:num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评价范围</w:t>
      </w:r>
    </w:p>
    <w:p w14:paraId="3F2B2F18">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本次评价的范围是2023年度教育教学质量提升奖项目，评价其绩效目标设定情况，资金投入和使用情况，为实现设定的绩效目标所制定的制度、采取的措施等，以及绩效目标最终的实现程度及效果。</w:t>
      </w:r>
    </w:p>
    <w:p w14:paraId="21591B67">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（二）绩效评价原则、评价指标体系、评价方法及评价标准</w:t>
      </w:r>
    </w:p>
    <w:p w14:paraId="0F6CE8F3">
      <w:pPr>
        <w:spacing w:line="560" w:lineRule="exact"/>
        <w:ind w:firstLine="480" w:firstLineChars="200"/>
        <w:rPr>
          <w:rFonts w:hint="eastAsia" w:ascii="仿宋" w:hAnsi="仿宋" w:eastAsia="仿宋" w:cs="仿宋"/>
          <w:sz w:val="24"/>
          <w:szCs w:val="24"/>
          <w:lang w:val="en-US" w:eastAsia="zh-CN"/>
        </w:rPr>
      </w:pPr>
      <w:bookmarkStart w:id="11" w:name="_Toc29742"/>
      <w:bookmarkStart w:id="12" w:name="_Toc10082"/>
      <w:r>
        <w:rPr>
          <w:rFonts w:hint="eastAsia" w:ascii="仿宋" w:hAnsi="仿宋" w:eastAsia="仿宋" w:cs="仿宋"/>
          <w:sz w:val="24"/>
          <w:szCs w:val="24"/>
          <w:lang w:val="en-US" w:eastAsia="zh-CN"/>
        </w:rPr>
        <w:t>1、评价原则</w:t>
      </w:r>
      <w:bookmarkEnd w:id="11"/>
      <w:bookmarkEnd w:id="12"/>
    </w:p>
    <w:p w14:paraId="058D5C74">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科学规范原则。绩效评价应当严格执行规定的程序，按照科学可行的要求，采用定量与定性分析相结合的方法。</w:t>
      </w:r>
    </w:p>
    <w:p w14:paraId="24E240CD">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公正公开原则。绩效评价应当符合真实、客观、公正的要求，依法公开并接受监督。</w:t>
      </w:r>
    </w:p>
    <w:p w14:paraId="4913CFD5">
      <w:pPr>
        <w:widowControl/>
        <w:shd w:val="clear" w:color="auto" w:fill="FFFFFF"/>
        <w:spacing w:line="360" w:lineRule="auto"/>
        <w:ind w:firstLine="640"/>
        <w:jc w:val="left"/>
        <w:rPr>
          <w:rFonts w:hint="eastAsia" w:ascii="仿宋" w:hAnsi="仿宋" w:eastAsia="仿宋" w:cs="仿宋"/>
          <w:sz w:val="24"/>
          <w:szCs w:val="24"/>
          <w:lang w:val="en-US" w:eastAsia="zh-CN"/>
        </w:rPr>
      </w:pPr>
      <w:r>
        <w:rPr>
          <w:rFonts w:hint="eastAsia" w:ascii="仿宋" w:hAnsi="仿宋" w:eastAsia="仿宋"/>
          <w:color w:val="000000"/>
          <w:kern w:val="0"/>
          <w:sz w:val="24"/>
          <w:szCs w:val="24"/>
        </w:rPr>
        <w:t>绩效相关原则。绩效评价应当针对具体支出及其产出绩效进行，评价结果应当清晰反映支出和产出绩效之间的紧密对应关系。</w:t>
      </w:r>
    </w:p>
    <w:p w14:paraId="464F5855">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2、绩效目标完成情况</w:t>
      </w:r>
    </w:p>
    <w:p w14:paraId="19294B2A">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项目绩效评价小组遵循科学规范、公正公开和绩效相关原则，通过审计材料、核对数据、询问查验、阅卷分析等方法，全面评价了“2023年度怀远县教育局教育教学质量提升奖项目”综合绩效，得出绩效评价结论是：项目有实际具体社会需求和量化目标，符合国家法规和政策，项目决策正确； </w:t>
      </w:r>
    </w:p>
    <w:p w14:paraId="37B75CA2">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从资金分配、使用、执行到监督有章可循，进度、质量管理实施有效，管理水</w:t>
      </w:r>
      <w:r>
        <w:rPr>
          <w:rFonts w:hint="eastAsia" w:ascii="仿宋" w:hAnsi="仿宋" w:eastAsia="仿宋" w:cs="仿宋"/>
          <w:sz w:val="24"/>
          <w:szCs w:val="24"/>
          <w:highlight w:val="none"/>
          <w:lang w:val="en-US" w:eastAsia="zh-CN"/>
        </w:rPr>
        <w:t>平较高，项目绩效较好。较好的发挥了社会效益和经济效益，教育教学质量提升奖项目对加强教师业务能力、激励培养教师人才以及提升怀远县整体中高考发展都起到了一定的作用。</w:t>
      </w:r>
    </w:p>
    <w:p w14:paraId="5E504C66">
      <w:pPr>
        <w:spacing w:line="560" w:lineRule="exact"/>
        <w:ind w:firstLine="480" w:firstLineChars="200"/>
        <w:rPr>
          <w:rFonts w:hint="eastAsia" w:ascii="仿宋" w:hAnsi="仿宋" w:eastAsia="仿宋" w:cs="仿宋"/>
          <w:sz w:val="24"/>
          <w:szCs w:val="24"/>
          <w:lang w:val="en-US" w:eastAsia="zh-CN"/>
        </w:rPr>
      </w:pPr>
      <w:bookmarkStart w:id="13" w:name="_Toc20173"/>
      <w:bookmarkStart w:id="14" w:name="_Toc32154"/>
      <w:r>
        <w:rPr>
          <w:rFonts w:hint="eastAsia" w:ascii="仿宋" w:hAnsi="仿宋" w:eastAsia="仿宋" w:cs="仿宋"/>
          <w:sz w:val="24"/>
          <w:szCs w:val="24"/>
          <w:lang w:val="en-US" w:eastAsia="zh-CN"/>
        </w:rPr>
        <w:t>3、评价等级</w:t>
      </w:r>
      <w:bookmarkEnd w:id="13"/>
      <w:bookmarkEnd w:id="14"/>
    </w:p>
    <w:p w14:paraId="48AF1C14">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绩效评价结果采取评分和评级相结合的方式，本项目具体分值和等级的设定：总分设置为100分，等级划分为四档： 90(含）-100 分为优、80 (含）- 90分为良、 60(含）-80分为中、 60分以下为差。</w:t>
      </w:r>
    </w:p>
    <w:p w14:paraId="3C8F435A">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（三）绩效评价工作过程</w:t>
      </w:r>
    </w:p>
    <w:p w14:paraId="08581798">
      <w:pPr>
        <w:spacing w:line="560" w:lineRule="exact"/>
        <w:ind w:firstLine="480" w:firstLineChars="200"/>
        <w:rPr>
          <w:rFonts w:hint="eastAsia" w:ascii="仿宋" w:hAnsi="仿宋" w:eastAsia="仿宋" w:cs="仿宋"/>
          <w:sz w:val="24"/>
          <w:szCs w:val="24"/>
          <w:lang w:val="en-US" w:eastAsia="zh-CN"/>
        </w:rPr>
      </w:pPr>
      <w:bookmarkStart w:id="15" w:name="_Toc12409"/>
      <w:bookmarkStart w:id="16" w:name="_Toc22859"/>
      <w:r>
        <w:rPr>
          <w:rFonts w:hint="eastAsia" w:ascii="仿宋" w:hAnsi="仿宋" w:eastAsia="仿宋" w:cs="仿宋"/>
          <w:sz w:val="24"/>
          <w:szCs w:val="24"/>
          <w:lang w:val="en-US" w:eastAsia="zh-CN"/>
        </w:rPr>
        <w:t>1、前期准备</w:t>
      </w:r>
      <w:bookmarkEnd w:id="15"/>
      <w:bookmarkEnd w:id="16"/>
    </w:p>
    <w:p w14:paraId="105535F3">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highlight w:val="none"/>
          <w:lang w:val="en-US" w:eastAsia="zh-CN"/>
        </w:rPr>
        <w:t>2024年1月，开始</w:t>
      </w:r>
      <w:r>
        <w:rPr>
          <w:rFonts w:hint="eastAsia" w:ascii="仿宋" w:hAnsi="仿宋" w:eastAsia="仿宋" w:cs="仿宋"/>
          <w:sz w:val="24"/>
          <w:szCs w:val="24"/>
          <w:lang w:val="en-US" w:eastAsia="zh-CN"/>
        </w:rPr>
        <w:t>前期准备工作，单位自评，财政组织，评价组通过对评价对象前期调研，确定了评价的目的、方法以及评价的原则，根据项目的内容和特征制定了评价指标体系及评价标准以及评价实施方案，了解个性指标，修正并确定所需资料清单、社会效益调查问卷，最终确定实施方案。</w:t>
      </w:r>
    </w:p>
    <w:p w14:paraId="03C372DF">
      <w:pPr>
        <w:spacing w:line="560" w:lineRule="exact"/>
        <w:ind w:firstLine="480" w:firstLineChars="200"/>
        <w:rPr>
          <w:rFonts w:hint="eastAsia" w:ascii="仿宋" w:hAnsi="仿宋" w:eastAsia="仿宋" w:cs="仿宋"/>
          <w:sz w:val="24"/>
          <w:szCs w:val="24"/>
          <w:lang w:val="en-US" w:eastAsia="zh-CN"/>
        </w:rPr>
      </w:pPr>
      <w:bookmarkStart w:id="17" w:name="_Toc29233"/>
      <w:bookmarkStart w:id="18" w:name="_Toc19319"/>
      <w:r>
        <w:rPr>
          <w:rFonts w:hint="eastAsia" w:ascii="仿宋" w:hAnsi="仿宋" w:eastAsia="仿宋" w:cs="仿宋"/>
          <w:sz w:val="24"/>
          <w:szCs w:val="24"/>
          <w:lang w:val="en-US" w:eastAsia="zh-CN"/>
        </w:rPr>
        <w:t>2、组织实施</w:t>
      </w:r>
      <w:bookmarkEnd w:id="17"/>
      <w:bookmarkEnd w:id="18"/>
    </w:p>
    <w:p w14:paraId="7E127575">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2024年2月，评</w:t>
      </w:r>
      <w:r>
        <w:rPr>
          <w:rFonts w:hint="eastAsia" w:ascii="仿宋" w:hAnsi="仿宋" w:eastAsia="仿宋" w:cs="仿宋"/>
          <w:sz w:val="24"/>
          <w:szCs w:val="24"/>
          <w:lang w:val="en-US" w:eastAsia="zh-CN"/>
        </w:rPr>
        <w:t>价工作进入实施阶段，整理项目相关信息，确立项目绩效目标，设计绩效评价指标体系</w:t>
      </w:r>
      <w:r>
        <w:rPr>
          <w:rFonts w:hint="eastAsia" w:ascii="仿宋" w:hAnsi="仿宋" w:eastAsia="仿宋" w:cs="仿宋"/>
          <w:sz w:val="24"/>
          <w:szCs w:val="24"/>
          <w:highlight w:val="none"/>
          <w:lang w:val="en-US" w:eastAsia="zh-CN"/>
        </w:rPr>
        <w:t>，查阅财务会计资料，电话微信回访。</w:t>
      </w:r>
    </w:p>
    <w:p w14:paraId="3A573484">
      <w:pPr>
        <w:spacing w:line="560" w:lineRule="exact"/>
        <w:ind w:firstLine="480" w:firstLineChars="200"/>
        <w:rPr>
          <w:rFonts w:hint="eastAsia" w:ascii="仿宋" w:hAnsi="仿宋" w:eastAsia="仿宋" w:cs="仿宋"/>
          <w:sz w:val="24"/>
          <w:szCs w:val="24"/>
          <w:highlight w:val="none"/>
          <w:lang w:val="en-US" w:eastAsia="zh-CN"/>
        </w:rPr>
      </w:pPr>
      <w:bookmarkStart w:id="19" w:name="_Toc10257"/>
      <w:bookmarkStart w:id="20" w:name="_Toc8989"/>
      <w:r>
        <w:rPr>
          <w:rFonts w:hint="eastAsia" w:ascii="仿宋" w:hAnsi="仿宋" w:eastAsia="仿宋" w:cs="仿宋"/>
          <w:sz w:val="24"/>
          <w:szCs w:val="24"/>
          <w:highlight w:val="none"/>
          <w:lang w:val="en-US" w:eastAsia="zh-CN"/>
        </w:rPr>
        <w:t>3、分析评价</w:t>
      </w:r>
      <w:bookmarkEnd w:id="19"/>
      <w:bookmarkEnd w:id="20"/>
    </w:p>
    <w:p w14:paraId="2E967CAD">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2024年3月，评价组按照绩效评价的原则和规范，对取得的资料进行审査核实，对采集的数据进行分析，分析项目管理情况和资金效益，按照绩效评价指标评分表逐项进行评分、分析，汇总各方评价结果，综合分析并形成评价结论。根据结果进行综合评价并提出提议。</w:t>
      </w:r>
    </w:p>
    <w:p w14:paraId="261767CB">
      <w:pPr>
        <w:spacing w:line="560" w:lineRule="exact"/>
        <w:ind w:firstLine="480" w:firstLineChars="200"/>
        <w:rPr>
          <w:rFonts w:hint="eastAsia" w:ascii="仿宋" w:hAnsi="仿宋" w:eastAsia="仿宋" w:cs="仿宋"/>
          <w:sz w:val="24"/>
          <w:szCs w:val="24"/>
          <w:highlight w:val="none"/>
          <w:lang w:val="en-US" w:eastAsia="zh-CN"/>
        </w:rPr>
      </w:pPr>
      <w:bookmarkStart w:id="21" w:name="_Toc25015"/>
      <w:r>
        <w:rPr>
          <w:rFonts w:hint="eastAsia" w:ascii="仿宋" w:hAnsi="仿宋" w:eastAsia="仿宋" w:cs="仿宋"/>
          <w:sz w:val="24"/>
          <w:szCs w:val="24"/>
          <w:highlight w:val="none"/>
          <w:lang w:val="en-US" w:eastAsia="zh-CN"/>
        </w:rPr>
        <w:t>三、综合评价情况及评价结论</w:t>
      </w:r>
      <w:bookmarkEnd w:id="21"/>
    </w:p>
    <w:p w14:paraId="4F0B4BCD">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（一）指标评价得分</w:t>
      </w:r>
    </w:p>
    <w:p w14:paraId="7C89BC02">
      <w:pPr>
        <w:spacing w:line="560" w:lineRule="exact"/>
        <w:ind w:firstLine="480" w:firstLineChars="200"/>
        <w:rPr>
          <w:rFonts w:hint="eastAsia" w:ascii="仿宋" w:hAnsi="仿宋" w:eastAsia="仿宋" w:cs="仿宋"/>
          <w:sz w:val="24"/>
          <w:szCs w:val="24"/>
          <w:highlight w:val="yellow"/>
          <w:lang w:val="en-US" w:eastAsia="zh-CN"/>
        </w:rPr>
      </w:pPr>
      <w:r>
        <w:rPr>
          <w:rFonts w:hint="eastAsia" w:ascii="仿宋" w:hAnsi="仿宋" w:eastAsia="仿宋" w:cs="仿宋"/>
          <w:sz w:val="24"/>
          <w:szCs w:val="24"/>
          <w:lang w:val="en-US" w:eastAsia="zh-CN"/>
        </w:rPr>
        <w:t>评价组对项目实施单位提供的资料进行书面评审、项目组现场检查评价、评</w:t>
      </w:r>
      <w:r>
        <w:rPr>
          <w:rFonts w:hint="eastAsia" w:ascii="仿宋" w:hAnsi="仿宋" w:eastAsia="仿宋" w:cs="仿宋"/>
          <w:sz w:val="24"/>
          <w:szCs w:val="24"/>
          <w:highlight w:val="none"/>
          <w:lang w:val="en-US" w:eastAsia="zh-CN"/>
        </w:rPr>
        <w:t>价分析等程序得出评价结果，得分为90.5分，评价等级为“优”。评价得分汇总情况见下表所示：</w:t>
      </w:r>
    </w:p>
    <w:tbl>
      <w:tblPr>
        <w:tblStyle w:val="17"/>
        <w:tblW w:w="9129" w:type="dxa"/>
        <w:tblInd w:w="0" w:type="dxa"/>
        <w:tblLayout w:type="autofit"/>
        <w:tblCellMar>
          <w:top w:w="0" w:type="dxa"/>
          <w:left w:w="0" w:type="dxa"/>
          <w:bottom w:w="0" w:type="dxa"/>
          <w:right w:w="0" w:type="dxa"/>
        </w:tblCellMar>
      </w:tblPr>
      <w:tblGrid>
        <w:gridCol w:w="1500"/>
        <w:gridCol w:w="1146"/>
        <w:gridCol w:w="1532"/>
        <w:gridCol w:w="1819"/>
        <w:gridCol w:w="1261"/>
        <w:gridCol w:w="1871"/>
      </w:tblGrid>
      <w:tr w14:paraId="34BC434E">
        <w:tblPrEx>
          <w:tblCellMar>
            <w:top w:w="0" w:type="dxa"/>
            <w:left w:w="0" w:type="dxa"/>
            <w:bottom w:w="0" w:type="dxa"/>
            <w:right w:w="0" w:type="dxa"/>
          </w:tblCellMar>
        </w:tblPrEx>
        <w:tc>
          <w:tcPr>
            <w:tcW w:w="1500"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14:paraId="2A8278B5">
            <w:pPr>
              <w:spacing w:line="560" w:lineRule="exac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评价指标</w:t>
            </w:r>
          </w:p>
        </w:tc>
        <w:tc>
          <w:tcPr>
            <w:tcW w:w="1146"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top"/>
          </w:tcPr>
          <w:p w14:paraId="22AA22BC">
            <w:pPr>
              <w:spacing w:line="560" w:lineRule="exac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权重</w:t>
            </w:r>
          </w:p>
        </w:tc>
        <w:tc>
          <w:tcPr>
            <w:tcW w:w="153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top"/>
          </w:tcPr>
          <w:p w14:paraId="4780DD71">
            <w:pPr>
              <w:spacing w:line="560" w:lineRule="exac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评级分值</w:t>
            </w:r>
          </w:p>
        </w:tc>
        <w:tc>
          <w:tcPr>
            <w:tcW w:w="1819"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top"/>
          </w:tcPr>
          <w:p w14:paraId="2B84F8AA">
            <w:pPr>
              <w:spacing w:line="560" w:lineRule="exac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本项目得分</w:t>
            </w:r>
          </w:p>
        </w:tc>
        <w:tc>
          <w:tcPr>
            <w:tcW w:w="12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top"/>
          </w:tcPr>
          <w:p w14:paraId="49C5BC28">
            <w:pPr>
              <w:spacing w:line="560" w:lineRule="exac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得分率</w:t>
            </w:r>
          </w:p>
        </w:tc>
        <w:tc>
          <w:tcPr>
            <w:tcW w:w="187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top"/>
          </w:tcPr>
          <w:p w14:paraId="48BDAFB5">
            <w:pPr>
              <w:spacing w:line="560" w:lineRule="exact"/>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绩效评价</w:t>
            </w:r>
          </w:p>
        </w:tc>
      </w:tr>
      <w:tr w14:paraId="122E38BC">
        <w:tblPrEx>
          <w:tblCellMar>
            <w:top w:w="0" w:type="dxa"/>
            <w:left w:w="0" w:type="dxa"/>
            <w:bottom w:w="0" w:type="dxa"/>
            <w:right w:w="0" w:type="dxa"/>
          </w:tblCellMar>
        </w:tblPrEx>
        <w:tc>
          <w:tcPr>
            <w:tcW w:w="1500"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top"/>
          </w:tcPr>
          <w:p w14:paraId="10D61D25">
            <w:pPr>
              <w:spacing w:line="560" w:lineRule="exact"/>
              <w:ind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决策</w:t>
            </w:r>
          </w:p>
        </w:tc>
        <w:tc>
          <w:tcPr>
            <w:tcW w:w="1146"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0CECE2FE">
            <w:pPr>
              <w:spacing w:line="560" w:lineRule="exact"/>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20%</w:t>
            </w:r>
          </w:p>
        </w:tc>
        <w:tc>
          <w:tcPr>
            <w:tcW w:w="1532"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74B45D83">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20</w:t>
            </w:r>
          </w:p>
        </w:tc>
        <w:tc>
          <w:tcPr>
            <w:tcW w:w="1819"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696D18D8">
            <w:pPr>
              <w:spacing w:line="560" w:lineRule="exact"/>
              <w:ind w:firstLine="480" w:firstLineChars="200"/>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16</w:t>
            </w:r>
          </w:p>
        </w:tc>
        <w:tc>
          <w:tcPr>
            <w:tcW w:w="1261"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42572AB4">
            <w:pPr>
              <w:spacing w:line="560" w:lineRule="exact"/>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80%</w:t>
            </w:r>
          </w:p>
        </w:tc>
        <w:tc>
          <w:tcPr>
            <w:tcW w:w="1871"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3AE63439">
            <w:pPr>
              <w:spacing w:line="560" w:lineRule="exact"/>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合规可行</w:t>
            </w:r>
          </w:p>
        </w:tc>
      </w:tr>
      <w:tr w14:paraId="549AB9A4">
        <w:tblPrEx>
          <w:tblCellMar>
            <w:top w:w="0" w:type="dxa"/>
            <w:left w:w="0" w:type="dxa"/>
            <w:bottom w:w="0" w:type="dxa"/>
            <w:right w:w="0" w:type="dxa"/>
          </w:tblCellMar>
        </w:tblPrEx>
        <w:trPr>
          <w:trHeight w:val="90" w:hRule="atLeast"/>
        </w:trPr>
        <w:tc>
          <w:tcPr>
            <w:tcW w:w="1500"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top"/>
          </w:tcPr>
          <w:p w14:paraId="0A3E9D8F">
            <w:pPr>
              <w:spacing w:line="560" w:lineRule="exact"/>
              <w:ind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过程</w:t>
            </w:r>
          </w:p>
        </w:tc>
        <w:tc>
          <w:tcPr>
            <w:tcW w:w="1146"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0740339E">
            <w:pPr>
              <w:spacing w:line="560" w:lineRule="exact"/>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20%</w:t>
            </w:r>
          </w:p>
        </w:tc>
        <w:tc>
          <w:tcPr>
            <w:tcW w:w="1532"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46E346D5">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20</w:t>
            </w:r>
          </w:p>
        </w:tc>
        <w:tc>
          <w:tcPr>
            <w:tcW w:w="1819"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269E36E2">
            <w:pPr>
              <w:spacing w:line="560" w:lineRule="exact"/>
              <w:ind w:firstLine="480" w:firstLineChars="200"/>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16.5</w:t>
            </w:r>
          </w:p>
        </w:tc>
        <w:tc>
          <w:tcPr>
            <w:tcW w:w="1261"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4DF78473">
            <w:pPr>
              <w:spacing w:line="560" w:lineRule="exact"/>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82.5%</w:t>
            </w:r>
          </w:p>
        </w:tc>
        <w:tc>
          <w:tcPr>
            <w:tcW w:w="1871"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0CDBC478">
            <w:pPr>
              <w:spacing w:line="560" w:lineRule="exact"/>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管理较好</w:t>
            </w:r>
          </w:p>
        </w:tc>
      </w:tr>
      <w:tr w14:paraId="00E436FB">
        <w:tblPrEx>
          <w:tblCellMar>
            <w:top w:w="0" w:type="dxa"/>
            <w:left w:w="0" w:type="dxa"/>
            <w:bottom w:w="0" w:type="dxa"/>
            <w:right w:w="0" w:type="dxa"/>
          </w:tblCellMar>
        </w:tblPrEx>
        <w:trPr>
          <w:trHeight w:val="565" w:hRule="atLeast"/>
        </w:trPr>
        <w:tc>
          <w:tcPr>
            <w:tcW w:w="1500"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top"/>
          </w:tcPr>
          <w:p w14:paraId="7F38D402">
            <w:pPr>
              <w:spacing w:line="560" w:lineRule="exact"/>
              <w:ind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产出</w:t>
            </w:r>
          </w:p>
        </w:tc>
        <w:tc>
          <w:tcPr>
            <w:tcW w:w="1146"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0F26358A">
            <w:pPr>
              <w:spacing w:line="560" w:lineRule="exact"/>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30%</w:t>
            </w:r>
          </w:p>
        </w:tc>
        <w:tc>
          <w:tcPr>
            <w:tcW w:w="1532"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0C0C0D3D">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30</w:t>
            </w:r>
          </w:p>
        </w:tc>
        <w:tc>
          <w:tcPr>
            <w:tcW w:w="1819"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21D4CFB0">
            <w:pPr>
              <w:spacing w:line="560" w:lineRule="exact"/>
              <w:ind w:firstLine="480" w:firstLineChars="200"/>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28</w:t>
            </w:r>
          </w:p>
        </w:tc>
        <w:tc>
          <w:tcPr>
            <w:tcW w:w="1261"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299CF820">
            <w:pPr>
              <w:spacing w:line="560" w:lineRule="exact"/>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93.3%</w:t>
            </w:r>
          </w:p>
        </w:tc>
        <w:tc>
          <w:tcPr>
            <w:tcW w:w="1871"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46E03BBC">
            <w:pPr>
              <w:spacing w:line="560" w:lineRule="exact"/>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产出满意</w:t>
            </w:r>
          </w:p>
        </w:tc>
      </w:tr>
      <w:tr w14:paraId="1164110F">
        <w:tblPrEx>
          <w:tblCellMar>
            <w:top w:w="0" w:type="dxa"/>
            <w:left w:w="0" w:type="dxa"/>
            <w:bottom w:w="0" w:type="dxa"/>
            <w:right w:w="0" w:type="dxa"/>
          </w:tblCellMar>
        </w:tblPrEx>
        <w:tc>
          <w:tcPr>
            <w:tcW w:w="1500"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top"/>
          </w:tcPr>
          <w:p w14:paraId="550B49D7">
            <w:pPr>
              <w:spacing w:line="560" w:lineRule="exact"/>
              <w:ind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效益</w:t>
            </w:r>
          </w:p>
        </w:tc>
        <w:tc>
          <w:tcPr>
            <w:tcW w:w="1146"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09D51942">
            <w:pPr>
              <w:spacing w:line="560" w:lineRule="exact"/>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30%</w:t>
            </w:r>
          </w:p>
        </w:tc>
        <w:tc>
          <w:tcPr>
            <w:tcW w:w="1532"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6EDD8B26">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30</w:t>
            </w:r>
          </w:p>
        </w:tc>
        <w:tc>
          <w:tcPr>
            <w:tcW w:w="1819"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3A1114EA">
            <w:pPr>
              <w:spacing w:line="560" w:lineRule="exact"/>
              <w:ind w:firstLine="480" w:firstLineChars="200"/>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30</w:t>
            </w:r>
          </w:p>
        </w:tc>
        <w:tc>
          <w:tcPr>
            <w:tcW w:w="1261"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00BC45DF">
            <w:pPr>
              <w:spacing w:line="560" w:lineRule="exact"/>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100%</w:t>
            </w:r>
          </w:p>
        </w:tc>
        <w:tc>
          <w:tcPr>
            <w:tcW w:w="1871"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7B1FA1FF">
            <w:pPr>
              <w:spacing w:line="560" w:lineRule="exact"/>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效果好</w:t>
            </w:r>
          </w:p>
        </w:tc>
      </w:tr>
      <w:tr w14:paraId="6AE28D5E">
        <w:tblPrEx>
          <w:tblCellMar>
            <w:top w:w="0" w:type="dxa"/>
            <w:left w:w="0" w:type="dxa"/>
            <w:bottom w:w="0" w:type="dxa"/>
            <w:right w:w="0" w:type="dxa"/>
          </w:tblCellMar>
        </w:tblPrEx>
        <w:tc>
          <w:tcPr>
            <w:tcW w:w="1500"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top"/>
          </w:tcPr>
          <w:p w14:paraId="2CE10397">
            <w:pPr>
              <w:spacing w:line="560" w:lineRule="exact"/>
              <w:ind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合计</w:t>
            </w:r>
          </w:p>
        </w:tc>
        <w:tc>
          <w:tcPr>
            <w:tcW w:w="1146"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097F0F60">
            <w:pPr>
              <w:spacing w:line="560" w:lineRule="exact"/>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100%</w:t>
            </w:r>
          </w:p>
        </w:tc>
        <w:tc>
          <w:tcPr>
            <w:tcW w:w="1532"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3C76DA23">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100</w:t>
            </w:r>
          </w:p>
        </w:tc>
        <w:tc>
          <w:tcPr>
            <w:tcW w:w="1819"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3156B493">
            <w:pPr>
              <w:spacing w:line="560" w:lineRule="exact"/>
              <w:ind w:firstLine="480" w:firstLineChars="200"/>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90.5</w:t>
            </w:r>
          </w:p>
        </w:tc>
        <w:tc>
          <w:tcPr>
            <w:tcW w:w="1261"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431E6D80">
            <w:pPr>
              <w:spacing w:line="560" w:lineRule="exact"/>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90.5%</w:t>
            </w:r>
          </w:p>
        </w:tc>
        <w:tc>
          <w:tcPr>
            <w:tcW w:w="1871"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24862B7A">
            <w:pPr>
              <w:spacing w:line="560" w:lineRule="exact"/>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优</w:t>
            </w:r>
          </w:p>
        </w:tc>
      </w:tr>
    </w:tbl>
    <w:p w14:paraId="1CE8E3A2">
      <w:pPr>
        <w:spacing w:line="560" w:lineRule="exact"/>
        <w:ind w:firstLine="480" w:firstLineChars="200"/>
        <w:rPr>
          <w:rFonts w:hint="eastAsia" w:ascii="仿宋" w:hAnsi="仿宋" w:eastAsia="仿宋" w:cs="仿宋"/>
          <w:sz w:val="24"/>
          <w:szCs w:val="24"/>
          <w:lang w:val="en-US" w:eastAsia="zh-CN"/>
        </w:rPr>
      </w:pPr>
      <w:bookmarkStart w:id="22" w:name="_Toc12528"/>
      <w:r>
        <w:rPr>
          <w:rFonts w:hint="eastAsia" w:ascii="仿宋" w:hAnsi="仿宋" w:eastAsia="仿宋" w:cs="仿宋"/>
          <w:sz w:val="24"/>
          <w:szCs w:val="24"/>
          <w:lang w:val="en-US" w:eastAsia="zh-CN"/>
        </w:rPr>
        <w:t>四、绩效评价指标分析</w:t>
      </w:r>
      <w:bookmarkEnd w:id="22"/>
    </w:p>
    <w:p w14:paraId="1855F1B0">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（一）项目决策情况（满分20分，实得14分）</w:t>
      </w:r>
    </w:p>
    <w:p w14:paraId="531BBBA3">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项目决策设立1个一级指标，3个二级指标和6个三级指标，具体指标情况如下：</w:t>
      </w:r>
    </w:p>
    <w:tbl>
      <w:tblPr>
        <w:tblStyle w:val="17"/>
        <w:tblpPr w:leftFromText="180" w:rightFromText="180" w:vertAnchor="text" w:horzAnchor="page" w:tblpX="1357" w:tblpY="53"/>
        <w:tblOverlap w:val="never"/>
        <w:tblW w:w="5521" w:type="pct"/>
        <w:tblInd w:w="0" w:type="dxa"/>
        <w:tblLayout w:type="autofit"/>
        <w:tblCellMar>
          <w:top w:w="0" w:type="dxa"/>
          <w:left w:w="0" w:type="dxa"/>
          <w:bottom w:w="0" w:type="dxa"/>
          <w:right w:w="0" w:type="dxa"/>
        </w:tblCellMar>
      </w:tblPr>
      <w:tblGrid>
        <w:gridCol w:w="715"/>
        <w:gridCol w:w="768"/>
        <w:gridCol w:w="768"/>
        <w:gridCol w:w="1258"/>
        <w:gridCol w:w="1030"/>
        <w:gridCol w:w="3368"/>
        <w:gridCol w:w="729"/>
        <w:gridCol w:w="774"/>
      </w:tblGrid>
      <w:tr w14:paraId="270F8D40">
        <w:tblPrEx>
          <w:tblCellMar>
            <w:top w:w="0" w:type="dxa"/>
            <w:left w:w="0" w:type="dxa"/>
            <w:bottom w:w="0" w:type="dxa"/>
            <w:right w:w="0" w:type="dxa"/>
          </w:tblCellMar>
        </w:tblPrEx>
        <w:trPr>
          <w:trHeight w:val="1335" w:hRule="atLeast"/>
        </w:trPr>
        <w:tc>
          <w:tcPr>
            <w:tcW w:w="380" w:type="pct"/>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6DE39D8">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序号</w:t>
            </w:r>
          </w:p>
        </w:tc>
        <w:tc>
          <w:tcPr>
            <w:tcW w:w="408" w:type="pct"/>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15C98A8">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一级指标</w:t>
            </w:r>
          </w:p>
        </w:tc>
        <w:tc>
          <w:tcPr>
            <w:tcW w:w="408"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05ADE04">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二级指标</w:t>
            </w:r>
          </w:p>
        </w:tc>
        <w:tc>
          <w:tcPr>
            <w:tcW w:w="668"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E1A7DB3">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 级</w:t>
            </w:r>
          </w:p>
          <w:p w14:paraId="54124F4C">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 标</w:t>
            </w:r>
          </w:p>
        </w:tc>
        <w:tc>
          <w:tcPr>
            <w:tcW w:w="547"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B3DE890">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标准</w:t>
            </w:r>
          </w:p>
          <w:p w14:paraId="5A3DDAF4">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分值</w:t>
            </w:r>
          </w:p>
        </w:tc>
        <w:tc>
          <w:tcPr>
            <w:tcW w:w="1789"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060D451">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评价情况</w:t>
            </w:r>
          </w:p>
        </w:tc>
        <w:tc>
          <w:tcPr>
            <w:tcW w:w="387"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B1D4A1F">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得分</w:t>
            </w:r>
          </w:p>
        </w:tc>
        <w:tc>
          <w:tcPr>
            <w:tcW w:w="411"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9AD9D3F">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扣分</w:t>
            </w:r>
          </w:p>
        </w:tc>
      </w:tr>
      <w:tr w14:paraId="67D7FF3D">
        <w:tblPrEx>
          <w:tblCellMar>
            <w:top w:w="0" w:type="dxa"/>
            <w:left w:w="0" w:type="dxa"/>
            <w:bottom w:w="0" w:type="dxa"/>
            <w:right w:w="0" w:type="dxa"/>
          </w:tblCellMar>
        </w:tblPrEx>
        <w:trPr>
          <w:trHeight w:val="1172" w:hRule="atLeast"/>
        </w:trPr>
        <w:tc>
          <w:tcPr>
            <w:tcW w:w="380" w:type="pct"/>
            <w:tcBorders>
              <w:top w:val="nil"/>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929B844">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408" w:type="pct"/>
            <w:vMerge w:val="restart"/>
            <w:tcBorders>
              <w:top w:val="nil"/>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53209FC">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决策　</w:t>
            </w:r>
          </w:p>
          <w:p w14:paraId="41263290">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（20分）</w:t>
            </w:r>
          </w:p>
          <w:p w14:paraId="268C3E22">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w:t>
            </w:r>
          </w:p>
        </w:tc>
        <w:tc>
          <w:tcPr>
            <w:tcW w:w="408" w:type="pct"/>
            <w:vMerge w:val="restar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5F17396">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项目立项（6分）　</w:t>
            </w:r>
          </w:p>
        </w:tc>
        <w:tc>
          <w:tcPr>
            <w:tcW w:w="668"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0FC6682">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立项依据充分性</w:t>
            </w:r>
          </w:p>
        </w:tc>
        <w:tc>
          <w:tcPr>
            <w:tcW w:w="547"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DFF7B03">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78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742BCBC">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项目立项依据充分，与部门职能紧密相关，立项程序规范，资料齐全，依据评分标准得3分。</w:t>
            </w:r>
          </w:p>
        </w:tc>
        <w:tc>
          <w:tcPr>
            <w:tcW w:w="387"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CD383E6">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411"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60E47A1">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r>
      <w:tr w14:paraId="1AC3742D">
        <w:tblPrEx>
          <w:tblCellMar>
            <w:top w:w="0" w:type="dxa"/>
            <w:left w:w="0" w:type="dxa"/>
            <w:bottom w:w="0" w:type="dxa"/>
            <w:right w:w="0" w:type="dxa"/>
          </w:tblCellMar>
        </w:tblPrEx>
        <w:trPr>
          <w:trHeight w:val="851" w:hRule="atLeast"/>
        </w:trPr>
        <w:tc>
          <w:tcPr>
            <w:tcW w:w="380" w:type="pct"/>
            <w:tcBorders>
              <w:top w:val="nil"/>
              <w:left w:val="single" w:color="000000" w:sz="8" w:space="0"/>
              <w:bottom w:val="single" w:color="000000" w:sz="8" w:space="0"/>
              <w:right w:val="single" w:color="000000" w:sz="8" w:space="0"/>
            </w:tcBorders>
            <w:shd w:val="clear" w:color="auto" w:fill="auto"/>
            <w:noWrap w:val="0"/>
            <w:vAlign w:val="center"/>
          </w:tcPr>
          <w:p w14:paraId="7B26F6FE">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408" w:type="pct"/>
            <w:vMerge w:val="continue"/>
            <w:tcBorders>
              <w:top w:val="nil"/>
              <w:left w:val="single" w:color="000000" w:sz="8" w:space="0"/>
              <w:bottom w:val="single" w:color="000000" w:sz="8" w:space="0"/>
              <w:right w:val="single" w:color="000000" w:sz="8" w:space="0"/>
            </w:tcBorders>
            <w:shd w:val="clear" w:color="auto" w:fill="auto"/>
            <w:noWrap w:val="0"/>
            <w:vAlign w:val="center"/>
          </w:tcPr>
          <w:p w14:paraId="65803AD0">
            <w:pPr>
              <w:spacing w:line="560" w:lineRule="exact"/>
              <w:ind w:firstLine="480" w:firstLineChars="200"/>
              <w:rPr>
                <w:rFonts w:hint="eastAsia" w:ascii="仿宋" w:hAnsi="仿宋" w:eastAsia="仿宋" w:cs="仿宋"/>
                <w:sz w:val="24"/>
                <w:szCs w:val="24"/>
                <w:lang w:val="en-US" w:eastAsia="zh-CN"/>
              </w:rPr>
            </w:pPr>
          </w:p>
        </w:tc>
        <w:tc>
          <w:tcPr>
            <w:tcW w:w="408" w:type="pct"/>
            <w:vMerge w:val="continue"/>
            <w:tcBorders>
              <w:top w:val="nil"/>
              <w:left w:val="nil"/>
              <w:bottom w:val="single" w:color="000000" w:sz="8" w:space="0"/>
              <w:right w:val="single" w:color="000000" w:sz="8" w:space="0"/>
            </w:tcBorders>
            <w:shd w:val="clear" w:color="auto" w:fill="auto"/>
            <w:noWrap w:val="0"/>
            <w:vAlign w:val="center"/>
          </w:tcPr>
          <w:p w14:paraId="0B87E262">
            <w:pPr>
              <w:spacing w:line="560" w:lineRule="exact"/>
              <w:ind w:firstLine="480" w:firstLineChars="200"/>
              <w:rPr>
                <w:rFonts w:hint="eastAsia" w:ascii="仿宋" w:hAnsi="仿宋" w:eastAsia="仿宋" w:cs="仿宋"/>
                <w:sz w:val="24"/>
                <w:szCs w:val="24"/>
                <w:lang w:val="en-US" w:eastAsia="zh-CN"/>
              </w:rPr>
            </w:pPr>
          </w:p>
        </w:tc>
        <w:tc>
          <w:tcPr>
            <w:tcW w:w="668"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10E5954">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立项程序规范性</w:t>
            </w:r>
          </w:p>
        </w:tc>
        <w:tc>
          <w:tcPr>
            <w:tcW w:w="547"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2DFC313">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78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E18AEF0">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立项申请、过程符合相关要求，程序规范，指标评价实际得分3分</w:t>
            </w:r>
          </w:p>
        </w:tc>
        <w:tc>
          <w:tcPr>
            <w:tcW w:w="387"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2E05CA7">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411"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D63C20D">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r>
      <w:tr w14:paraId="57F28ECA">
        <w:tblPrEx>
          <w:tblCellMar>
            <w:top w:w="0" w:type="dxa"/>
            <w:left w:w="0" w:type="dxa"/>
            <w:bottom w:w="0" w:type="dxa"/>
            <w:right w:w="0" w:type="dxa"/>
          </w:tblCellMar>
        </w:tblPrEx>
        <w:trPr>
          <w:trHeight w:val="795" w:hRule="atLeast"/>
        </w:trPr>
        <w:tc>
          <w:tcPr>
            <w:tcW w:w="380" w:type="pct"/>
            <w:tcBorders>
              <w:top w:val="nil"/>
              <w:left w:val="single" w:color="000000" w:sz="8" w:space="0"/>
              <w:bottom w:val="single" w:color="000000" w:sz="8" w:space="0"/>
              <w:right w:val="single" w:color="000000" w:sz="8" w:space="0"/>
            </w:tcBorders>
            <w:shd w:val="clear" w:color="auto" w:fill="auto"/>
            <w:noWrap w:val="0"/>
            <w:vAlign w:val="center"/>
          </w:tcPr>
          <w:p w14:paraId="3DE18348">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408" w:type="pct"/>
            <w:vMerge w:val="continue"/>
            <w:tcBorders>
              <w:top w:val="nil"/>
              <w:left w:val="single" w:color="000000" w:sz="8" w:space="0"/>
              <w:bottom w:val="single" w:color="000000" w:sz="8" w:space="0"/>
              <w:right w:val="single" w:color="000000" w:sz="8" w:space="0"/>
            </w:tcBorders>
            <w:shd w:val="clear" w:color="auto" w:fill="auto"/>
            <w:noWrap w:val="0"/>
            <w:vAlign w:val="center"/>
          </w:tcPr>
          <w:p w14:paraId="06564D67">
            <w:pPr>
              <w:spacing w:line="560" w:lineRule="exact"/>
              <w:ind w:firstLine="480" w:firstLineChars="200"/>
              <w:rPr>
                <w:rFonts w:hint="eastAsia" w:ascii="仿宋" w:hAnsi="仿宋" w:eastAsia="仿宋" w:cs="仿宋"/>
                <w:sz w:val="24"/>
                <w:szCs w:val="24"/>
                <w:lang w:val="en-US" w:eastAsia="zh-CN"/>
              </w:rPr>
            </w:pPr>
          </w:p>
        </w:tc>
        <w:tc>
          <w:tcPr>
            <w:tcW w:w="408" w:type="pct"/>
            <w:vMerge w:val="restar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D4AF06F">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绩效目标（8分）　</w:t>
            </w:r>
          </w:p>
        </w:tc>
        <w:tc>
          <w:tcPr>
            <w:tcW w:w="668"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49245E3">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绩效目标合理性</w:t>
            </w:r>
          </w:p>
        </w:tc>
        <w:tc>
          <w:tcPr>
            <w:tcW w:w="547"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0269FF1">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78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EE4168A">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设定的绩效目标依据充分，符合客观实际，依据评分标准得3分</w:t>
            </w:r>
          </w:p>
        </w:tc>
        <w:tc>
          <w:tcPr>
            <w:tcW w:w="387"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A5A87C3">
            <w:pPr>
              <w:spacing w:line="56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411"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EB6ED1B">
            <w:pPr>
              <w:spacing w:line="56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w:t>
            </w:r>
          </w:p>
        </w:tc>
      </w:tr>
      <w:tr w14:paraId="3B24A553">
        <w:tblPrEx>
          <w:tblCellMar>
            <w:top w:w="0" w:type="dxa"/>
            <w:left w:w="0" w:type="dxa"/>
            <w:bottom w:w="0" w:type="dxa"/>
            <w:right w:w="0" w:type="dxa"/>
          </w:tblCellMar>
        </w:tblPrEx>
        <w:trPr>
          <w:trHeight w:val="844" w:hRule="atLeast"/>
        </w:trPr>
        <w:tc>
          <w:tcPr>
            <w:tcW w:w="380" w:type="pct"/>
            <w:tcBorders>
              <w:top w:val="nil"/>
              <w:left w:val="single" w:color="000000" w:sz="8" w:space="0"/>
              <w:bottom w:val="single" w:color="000000" w:sz="8" w:space="0"/>
              <w:right w:val="single" w:color="000000" w:sz="8" w:space="0"/>
            </w:tcBorders>
            <w:shd w:val="clear" w:color="auto" w:fill="auto"/>
            <w:noWrap w:val="0"/>
            <w:vAlign w:val="center"/>
          </w:tcPr>
          <w:p w14:paraId="2A7708B5">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p>
        </w:tc>
        <w:tc>
          <w:tcPr>
            <w:tcW w:w="408" w:type="pct"/>
            <w:vMerge w:val="continue"/>
            <w:tcBorders>
              <w:top w:val="nil"/>
              <w:left w:val="single" w:color="000000" w:sz="8" w:space="0"/>
              <w:bottom w:val="single" w:color="000000" w:sz="8" w:space="0"/>
              <w:right w:val="single" w:color="000000" w:sz="8" w:space="0"/>
            </w:tcBorders>
            <w:shd w:val="clear" w:color="auto" w:fill="auto"/>
            <w:noWrap w:val="0"/>
            <w:vAlign w:val="center"/>
          </w:tcPr>
          <w:p w14:paraId="3482384F">
            <w:pPr>
              <w:spacing w:line="560" w:lineRule="exact"/>
              <w:ind w:firstLine="480" w:firstLineChars="200"/>
              <w:rPr>
                <w:rFonts w:hint="eastAsia" w:ascii="仿宋" w:hAnsi="仿宋" w:eastAsia="仿宋" w:cs="仿宋"/>
                <w:sz w:val="24"/>
                <w:szCs w:val="24"/>
                <w:lang w:val="en-US" w:eastAsia="zh-CN"/>
              </w:rPr>
            </w:pPr>
          </w:p>
        </w:tc>
        <w:tc>
          <w:tcPr>
            <w:tcW w:w="408" w:type="pct"/>
            <w:vMerge w:val="continue"/>
            <w:tcBorders>
              <w:top w:val="nil"/>
              <w:left w:val="nil"/>
              <w:bottom w:val="single" w:color="000000" w:sz="8" w:space="0"/>
              <w:right w:val="single" w:color="000000" w:sz="8" w:space="0"/>
            </w:tcBorders>
            <w:shd w:val="clear" w:color="auto" w:fill="auto"/>
            <w:noWrap w:val="0"/>
            <w:vAlign w:val="center"/>
          </w:tcPr>
          <w:p w14:paraId="5A74E1BC">
            <w:pPr>
              <w:spacing w:line="560" w:lineRule="exact"/>
              <w:ind w:firstLine="480" w:firstLineChars="200"/>
              <w:rPr>
                <w:rFonts w:hint="eastAsia" w:ascii="仿宋" w:hAnsi="仿宋" w:eastAsia="仿宋" w:cs="仿宋"/>
                <w:sz w:val="24"/>
                <w:szCs w:val="24"/>
                <w:lang w:val="en-US" w:eastAsia="zh-CN"/>
              </w:rPr>
            </w:pPr>
          </w:p>
        </w:tc>
        <w:tc>
          <w:tcPr>
            <w:tcW w:w="668"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1988286">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绩效指标明确性</w:t>
            </w:r>
          </w:p>
        </w:tc>
        <w:tc>
          <w:tcPr>
            <w:tcW w:w="547"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93A8D69">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p>
        </w:tc>
        <w:tc>
          <w:tcPr>
            <w:tcW w:w="178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EB7B661">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项目绩效指标,与当年政策相关，项目绩效指标与实际要求内容相关性较低，项目绩效指标完成量化、细化不够。扣3分，依据评分标准得2分</w:t>
            </w:r>
          </w:p>
        </w:tc>
        <w:tc>
          <w:tcPr>
            <w:tcW w:w="387"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118F1B7">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411"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12BCB8D">
            <w:pPr>
              <w:spacing w:line="56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w:t>
            </w:r>
          </w:p>
        </w:tc>
      </w:tr>
      <w:tr w14:paraId="74655887">
        <w:tblPrEx>
          <w:tblCellMar>
            <w:top w:w="0" w:type="dxa"/>
            <w:left w:w="0" w:type="dxa"/>
            <w:bottom w:w="0" w:type="dxa"/>
            <w:right w:w="0" w:type="dxa"/>
          </w:tblCellMar>
        </w:tblPrEx>
        <w:trPr>
          <w:trHeight w:val="887" w:hRule="atLeast"/>
        </w:trPr>
        <w:tc>
          <w:tcPr>
            <w:tcW w:w="380" w:type="pct"/>
            <w:tcBorders>
              <w:top w:val="nil"/>
              <w:left w:val="single" w:color="000000" w:sz="8" w:space="0"/>
              <w:bottom w:val="single" w:color="000000" w:sz="8" w:space="0"/>
              <w:right w:val="single" w:color="000000" w:sz="8" w:space="0"/>
            </w:tcBorders>
            <w:shd w:val="clear" w:color="auto" w:fill="auto"/>
            <w:noWrap w:val="0"/>
            <w:vAlign w:val="center"/>
          </w:tcPr>
          <w:p w14:paraId="737EC32B">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p>
        </w:tc>
        <w:tc>
          <w:tcPr>
            <w:tcW w:w="408" w:type="pct"/>
            <w:vMerge w:val="continue"/>
            <w:tcBorders>
              <w:top w:val="nil"/>
              <w:left w:val="single" w:color="000000" w:sz="8" w:space="0"/>
              <w:bottom w:val="single" w:color="000000" w:sz="8" w:space="0"/>
              <w:right w:val="single" w:color="000000" w:sz="8" w:space="0"/>
            </w:tcBorders>
            <w:shd w:val="clear" w:color="auto" w:fill="auto"/>
            <w:noWrap w:val="0"/>
            <w:vAlign w:val="center"/>
          </w:tcPr>
          <w:p w14:paraId="0DD11217">
            <w:pPr>
              <w:spacing w:line="560" w:lineRule="exact"/>
              <w:ind w:firstLine="480" w:firstLineChars="200"/>
              <w:rPr>
                <w:rFonts w:hint="eastAsia" w:ascii="仿宋" w:hAnsi="仿宋" w:eastAsia="仿宋" w:cs="仿宋"/>
                <w:sz w:val="24"/>
                <w:szCs w:val="24"/>
                <w:lang w:val="en-US" w:eastAsia="zh-CN"/>
              </w:rPr>
            </w:pPr>
          </w:p>
        </w:tc>
        <w:tc>
          <w:tcPr>
            <w:tcW w:w="408" w:type="pct"/>
            <w:vMerge w:val="restar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6D6EF0C8">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资金投入</w:t>
            </w:r>
          </w:p>
          <w:p w14:paraId="1BAA6BC8">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（6分）</w:t>
            </w:r>
          </w:p>
        </w:tc>
        <w:tc>
          <w:tcPr>
            <w:tcW w:w="668"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6C5FF685">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预算编制科学性</w:t>
            </w:r>
          </w:p>
        </w:tc>
        <w:tc>
          <w:tcPr>
            <w:tcW w:w="547"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DC3013F">
            <w:pPr>
              <w:spacing w:line="56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178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EC0E210">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有相关预算文件，预算和实际支付金额一致得2分</w:t>
            </w:r>
          </w:p>
        </w:tc>
        <w:tc>
          <w:tcPr>
            <w:tcW w:w="387"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40967D3">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411"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EEA3BE8">
            <w:pPr>
              <w:spacing w:line="56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w:t>
            </w:r>
          </w:p>
        </w:tc>
      </w:tr>
      <w:tr w14:paraId="50CD92B4">
        <w:tblPrEx>
          <w:tblCellMar>
            <w:top w:w="0" w:type="dxa"/>
            <w:left w:w="0" w:type="dxa"/>
            <w:bottom w:w="0" w:type="dxa"/>
            <w:right w:w="0" w:type="dxa"/>
          </w:tblCellMar>
        </w:tblPrEx>
        <w:trPr>
          <w:trHeight w:val="977" w:hRule="atLeast"/>
        </w:trPr>
        <w:tc>
          <w:tcPr>
            <w:tcW w:w="380" w:type="pct"/>
            <w:tcBorders>
              <w:top w:val="nil"/>
              <w:left w:val="single" w:color="000000" w:sz="8" w:space="0"/>
              <w:bottom w:val="single" w:color="000000" w:sz="8" w:space="0"/>
              <w:right w:val="single" w:color="000000" w:sz="8" w:space="0"/>
            </w:tcBorders>
            <w:shd w:val="clear" w:color="auto" w:fill="auto"/>
            <w:noWrap w:val="0"/>
            <w:vAlign w:val="center"/>
          </w:tcPr>
          <w:p w14:paraId="11F61CF8">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w:t>
            </w:r>
          </w:p>
        </w:tc>
        <w:tc>
          <w:tcPr>
            <w:tcW w:w="408" w:type="pct"/>
            <w:vMerge w:val="continue"/>
            <w:tcBorders>
              <w:top w:val="nil"/>
              <w:left w:val="single" w:color="000000" w:sz="8" w:space="0"/>
              <w:bottom w:val="single" w:color="000000" w:sz="8" w:space="0"/>
              <w:right w:val="single" w:color="000000" w:sz="8" w:space="0"/>
            </w:tcBorders>
            <w:shd w:val="clear" w:color="auto" w:fill="auto"/>
            <w:noWrap w:val="0"/>
            <w:vAlign w:val="center"/>
          </w:tcPr>
          <w:p w14:paraId="4364B84C">
            <w:pPr>
              <w:spacing w:line="560" w:lineRule="exact"/>
              <w:ind w:firstLine="480" w:firstLineChars="200"/>
              <w:rPr>
                <w:rFonts w:hint="eastAsia" w:ascii="仿宋" w:hAnsi="仿宋" w:eastAsia="仿宋" w:cs="仿宋"/>
                <w:sz w:val="24"/>
                <w:szCs w:val="24"/>
                <w:lang w:val="en-US" w:eastAsia="zh-CN"/>
              </w:rPr>
            </w:pPr>
          </w:p>
        </w:tc>
        <w:tc>
          <w:tcPr>
            <w:tcW w:w="408" w:type="pct"/>
            <w:vMerge w:val="continue"/>
            <w:tcBorders>
              <w:top w:val="nil"/>
              <w:left w:val="nil"/>
              <w:bottom w:val="single" w:color="000000" w:sz="8" w:space="0"/>
              <w:right w:val="single" w:color="000000" w:sz="8" w:space="0"/>
            </w:tcBorders>
            <w:shd w:val="clear" w:color="auto" w:fill="auto"/>
            <w:noWrap w:val="0"/>
            <w:vAlign w:val="center"/>
          </w:tcPr>
          <w:p w14:paraId="6AE9A633">
            <w:pPr>
              <w:spacing w:line="560" w:lineRule="exact"/>
              <w:ind w:firstLine="480" w:firstLineChars="200"/>
              <w:rPr>
                <w:rFonts w:hint="eastAsia" w:ascii="仿宋" w:hAnsi="仿宋" w:eastAsia="仿宋" w:cs="仿宋"/>
                <w:sz w:val="24"/>
                <w:szCs w:val="24"/>
                <w:lang w:val="en-US" w:eastAsia="zh-CN"/>
              </w:rPr>
            </w:pPr>
          </w:p>
        </w:tc>
        <w:tc>
          <w:tcPr>
            <w:tcW w:w="668"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939843F">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资金分配合理性</w:t>
            </w:r>
          </w:p>
        </w:tc>
        <w:tc>
          <w:tcPr>
            <w:tcW w:w="547"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2DC14F4">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p>
        </w:tc>
        <w:tc>
          <w:tcPr>
            <w:tcW w:w="178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414F037">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以资金分配为预算依据,单位实际与预算资金分配实际相符，但缺少材料，得3分</w:t>
            </w:r>
          </w:p>
        </w:tc>
        <w:tc>
          <w:tcPr>
            <w:tcW w:w="387"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00AC1D4">
            <w:pPr>
              <w:spacing w:line="56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411"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71F9D39">
            <w:pPr>
              <w:spacing w:line="56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w:t>
            </w:r>
          </w:p>
        </w:tc>
      </w:tr>
      <w:tr w14:paraId="08F40656">
        <w:tblPrEx>
          <w:tblCellMar>
            <w:top w:w="0" w:type="dxa"/>
            <w:left w:w="0" w:type="dxa"/>
            <w:bottom w:w="0" w:type="dxa"/>
            <w:right w:w="0" w:type="dxa"/>
          </w:tblCellMar>
        </w:tblPrEx>
        <w:trPr>
          <w:trHeight w:val="90" w:hRule="atLeast"/>
        </w:trPr>
        <w:tc>
          <w:tcPr>
            <w:tcW w:w="380" w:type="pct"/>
            <w:tcBorders>
              <w:top w:val="nil"/>
              <w:left w:val="single" w:color="000000" w:sz="8" w:space="0"/>
              <w:bottom w:val="single" w:color="000000" w:sz="8" w:space="0"/>
              <w:right w:val="single" w:color="000000" w:sz="8" w:space="0"/>
            </w:tcBorders>
            <w:shd w:val="clear" w:color="auto" w:fill="auto"/>
            <w:noWrap w:val="0"/>
            <w:tcMar>
              <w:top w:w="0" w:type="dxa"/>
              <w:left w:w="108" w:type="dxa"/>
              <w:bottom w:w="0" w:type="dxa"/>
              <w:right w:w="108" w:type="dxa"/>
            </w:tcMar>
            <w:vAlign w:val="center"/>
          </w:tcPr>
          <w:p w14:paraId="02D167BA">
            <w:pPr>
              <w:spacing w:line="560" w:lineRule="exact"/>
              <w:ind w:firstLine="480" w:firstLineChars="200"/>
              <w:rPr>
                <w:rFonts w:hint="eastAsia" w:ascii="仿宋" w:hAnsi="仿宋" w:eastAsia="仿宋" w:cs="仿宋"/>
                <w:sz w:val="24"/>
                <w:szCs w:val="24"/>
                <w:lang w:val="en-US" w:eastAsia="zh-CN"/>
              </w:rPr>
            </w:pPr>
          </w:p>
        </w:tc>
        <w:tc>
          <w:tcPr>
            <w:tcW w:w="3820" w:type="pct"/>
            <w:gridSpan w:val="5"/>
            <w:tcBorders>
              <w:top w:val="nil"/>
              <w:left w:val="single" w:color="000000" w:sz="8" w:space="0"/>
              <w:bottom w:val="single" w:color="000000" w:sz="8" w:space="0"/>
              <w:right w:val="single" w:color="000000" w:sz="8" w:space="0"/>
            </w:tcBorders>
            <w:shd w:val="clear" w:color="auto" w:fill="auto"/>
            <w:noWrap w:val="0"/>
            <w:tcMar>
              <w:top w:w="0" w:type="dxa"/>
              <w:left w:w="108" w:type="dxa"/>
              <w:bottom w:w="0" w:type="dxa"/>
              <w:right w:w="108" w:type="dxa"/>
            </w:tcMar>
            <w:vAlign w:val="center"/>
          </w:tcPr>
          <w:p w14:paraId="30006E74">
            <w:pPr>
              <w:spacing w:line="560" w:lineRule="exact"/>
              <w:ind w:firstLine="480" w:firstLineChars="20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小计</w:t>
            </w:r>
          </w:p>
        </w:tc>
        <w:tc>
          <w:tcPr>
            <w:tcW w:w="387"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F96178A">
            <w:pPr>
              <w:spacing w:line="56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16</w:t>
            </w:r>
          </w:p>
        </w:tc>
        <w:tc>
          <w:tcPr>
            <w:tcW w:w="411"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F9B07A6">
            <w:pPr>
              <w:spacing w:line="56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w:t>
            </w:r>
          </w:p>
        </w:tc>
      </w:tr>
    </w:tbl>
    <w:p w14:paraId="4A167122">
      <w:pPr>
        <w:spacing w:line="560" w:lineRule="exact"/>
        <w:ind w:firstLine="480" w:firstLineChars="200"/>
        <w:rPr>
          <w:rFonts w:hint="eastAsia" w:ascii="仿宋" w:hAnsi="仿宋" w:eastAsia="仿宋" w:cs="仿宋"/>
          <w:sz w:val="24"/>
          <w:szCs w:val="24"/>
          <w:lang w:val="en-US" w:eastAsia="zh-CN"/>
        </w:rPr>
      </w:pPr>
      <w:bookmarkStart w:id="23" w:name="_Toc18342"/>
      <w:bookmarkStart w:id="24" w:name="_Toc6134"/>
      <w:r>
        <w:rPr>
          <w:rFonts w:hint="eastAsia" w:ascii="仿宋" w:hAnsi="仿宋" w:eastAsia="仿宋" w:cs="仿宋"/>
          <w:sz w:val="24"/>
          <w:szCs w:val="24"/>
          <w:lang w:val="en-US" w:eastAsia="zh-CN"/>
        </w:rPr>
        <w:t>1、立项依据充分性（满分3分，实得3分）</w:t>
      </w:r>
      <w:bookmarkEnd w:id="23"/>
      <w:bookmarkEnd w:id="24"/>
    </w:p>
    <w:p w14:paraId="64AB04C1">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lang w:val="en-US" w:eastAsia="zh-CN"/>
        </w:rPr>
        <w:t>指标解释：该项指标主要考核项目立项是否符合法律法规、相关政策、发展规</w:t>
      </w:r>
      <w:r>
        <w:rPr>
          <w:rFonts w:hint="eastAsia" w:ascii="仿宋" w:hAnsi="仿宋" w:eastAsia="仿宋" w:cs="仿宋"/>
          <w:sz w:val="24"/>
          <w:szCs w:val="24"/>
          <w:highlight w:val="none"/>
          <w:lang w:val="en-US" w:eastAsia="zh-CN"/>
        </w:rPr>
        <w:t>划以及部门职责，用以反映和考核项目立项依据情况。</w:t>
      </w:r>
    </w:p>
    <w:p w14:paraId="5DE034E1">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评分情况：项目立项符合习近平总书记提出的“五育并举”重要指示和新时代教育督导评价体系要求和怀办发〔2021〕87号《关于加强教育教学保障工作的通知》，中共蚌埠市委办公室 蚌埠市人民政府办公室印发《关于深化新时代教育督导体制机制改革的实施方案》的通知。</w:t>
      </w:r>
    </w:p>
    <w:p w14:paraId="45F2172F">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本次评价认为：项目立项依据充分完成，符合经济社会发展规划，项目立项依据充分性指标实际得分3分。</w:t>
      </w:r>
    </w:p>
    <w:p w14:paraId="678C988E">
      <w:pPr>
        <w:spacing w:line="560" w:lineRule="exact"/>
        <w:ind w:firstLine="480" w:firstLineChars="200"/>
        <w:rPr>
          <w:rFonts w:hint="eastAsia" w:ascii="仿宋" w:hAnsi="仿宋" w:eastAsia="仿宋" w:cs="仿宋"/>
          <w:sz w:val="24"/>
          <w:szCs w:val="24"/>
          <w:highlight w:val="none"/>
          <w:lang w:val="en-US" w:eastAsia="zh-CN"/>
        </w:rPr>
      </w:pPr>
      <w:bookmarkStart w:id="25" w:name="_Toc7291"/>
      <w:bookmarkStart w:id="26" w:name="_Toc9467"/>
      <w:r>
        <w:rPr>
          <w:rFonts w:hint="eastAsia" w:ascii="仿宋" w:hAnsi="仿宋" w:eastAsia="仿宋" w:cs="仿宋"/>
          <w:sz w:val="24"/>
          <w:szCs w:val="24"/>
          <w:highlight w:val="none"/>
          <w:lang w:val="en-US" w:eastAsia="zh-CN"/>
        </w:rPr>
        <w:t>2、项目立项规范性（满分3分，实得3分）</w:t>
      </w:r>
      <w:bookmarkEnd w:id="25"/>
      <w:bookmarkEnd w:id="26"/>
    </w:p>
    <w:p w14:paraId="11F5586D">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指标解释：项目申请、设立过程是否符合相关要求，用以反映和考核项目立项的规范情况。</w:t>
      </w:r>
    </w:p>
    <w:p w14:paraId="4D69B5C0">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评分情况：项目依照怀远县财政局要求报2023年县级部门预算申请，并依规报县人大审批；怀远县财政局文件怀财预〔2023〕2号，关于2023年度县级部门预算的批复，批复怀远县教育局2023年度部门预算，符合立项程序规范性的要求。</w:t>
      </w:r>
    </w:p>
    <w:p w14:paraId="7048E49E">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本次评价认为：立项目的、过程符合相关要求，项目立项规范性，指标评价实际得分为3分。</w:t>
      </w:r>
    </w:p>
    <w:p w14:paraId="37055A9E">
      <w:pPr>
        <w:spacing w:line="560" w:lineRule="exact"/>
        <w:ind w:firstLine="480" w:firstLineChars="200"/>
        <w:rPr>
          <w:rFonts w:hint="eastAsia" w:ascii="仿宋" w:hAnsi="仿宋" w:eastAsia="仿宋" w:cs="仿宋"/>
          <w:sz w:val="24"/>
          <w:szCs w:val="24"/>
          <w:highlight w:val="none"/>
          <w:lang w:val="en-US" w:eastAsia="zh-CN"/>
        </w:rPr>
      </w:pPr>
      <w:bookmarkStart w:id="27" w:name="_Toc23983"/>
      <w:bookmarkStart w:id="28" w:name="_Toc24175"/>
      <w:r>
        <w:rPr>
          <w:rFonts w:hint="eastAsia" w:ascii="仿宋" w:hAnsi="仿宋" w:eastAsia="仿宋" w:cs="仿宋"/>
          <w:sz w:val="24"/>
          <w:szCs w:val="24"/>
          <w:highlight w:val="none"/>
          <w:lang w:val="en-US" w:eastAsia="zh-CN"/>
        </w:rPr>
        <w:t>3、绩效目标合理性（满分3分，实得3分）</w:t>
      </w:r>
      <w:bookmarkEnd w:id="27"/>
      <w:bookmarkEnd w:id="28"/>
    </w:p>
    <w:p w14:paraId="4B4E5A96">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指标解释：项目所设定的绩效目标是否依据充分，是否符合客观实际，用以反映和考核项目绩效目标与项目实施的相符情况。</w:t>
      </w:r>
    </w:p>
    <w:p w14:paraId="689F70D8">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评分情况：本项目从明确具体、细化量化、绩效目标可实现、绩效目标与政策相关性、绩效目标时限性等方面，共计设计了2个一级指标，8个二级指标，8个三级指标，用以反映和考核项目绩效目标与项目实施的相符情况。</w:t>
      </w:r>
    </w:p>
    <w:p w14:paraId="3D342F4A">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本次评价认为：单独了设立绩效目标，与单位职责紧密相关，绩效目标能分解为具体的绩效指标，依据评分标准得3分。</w:t>
      </w:r>
    </w:p>
    <w:p w14:paraId="691CBC9A">
      <w:pPr>
        <w:spacing w:line="560" w:lineRule="exact"/>
        <w:ind w:firstLine="480" w:firstLineChars="200"/>
        <w:rPr>
          <w:rFonts w:hint="eastAsia" w:ascii="仿宋" w:hAnsi="仿宋" w:eastAsia="仿宋" w:cs="仿宋"/>
          <w:sz w:val="24"/>
          <w:szCs w:val="24"/>
          <w:highlight w:val="none"/>
          <w:lang w:val="en-US" w:eastAsia="zh-CN"/>
        </w:rPr>
      </w:pPr>
      <w:bookmarkStart w:id="29" w:name="_Toc26364"/>
      <w:bookmarkStart w:id="30" w:name="_Toc2983"/>
      <w:r>
        <w:rPr>
          <w:rFonts w:hint="eastAsia" w:ascii="仿宋" w:hAnsi="仿宋" w:eastAsia="仿宋" w:cs="仿宋"/>
          <w:sz w:val="24"/>
          <w:szCs w:val="24"/>
          <w:highlight w:val="none"/>
          <w:lang w:val="en-US" w:eastAsia="zh-CN"/>
        </w:rPr>
        <w:t>4、绩效目标明确性（满分5分，实得2分）</w:t>
      </w:r>
      <w:bookmarkEnd w:id="29"/>
      <w:bookmarkEnd w:id="30"/>
    </w:p>
    <w:p w14:paraId="047C790A">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指标解释：依据绩效目标设定的绩效指标是否清晰、细化、可衡量等，用以反映和考核项目绩效目标的明细化情况。</w:t>
      </w:r>
    </w:p>
    <w:p w14:paraId="6C0F40A4">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评分情况：项目绩效目标与总体目标和全年目标相符，设置为各民办学校以及123补习班的教育教学质量提升奖,促进教学教学水平的提升；项目绩效指标与实际要求内容部分有相关性，但存在个别指标设置目标不明确，细化的三级指标与二级指标匹配性不高，如经济指标中的“发挥奖金的最大效益”难以界定且评价依据不清，标准不明确。；项目绩效指标中对数量以及成本指标进行了量化，产出指标多为定性指标，缺少科学合理的衡量标准。</w:t>
      </w:r>
    </w:p>
    <w:p w14:paraId="54786C6A">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本次评价认为：2023年度怀远县教育局教育教学质量提升奖项目绩效指标值设置不够完善，未能做到细化量化，部分三级指标与二级指标匹配性不高，扣3分，依据评分标准得2分。</w:t>
      </w:r>
    </w:p>
    <w:p w14:paraId="76186217">
      <w:pPr>
        <w:spacing w:line="560" w:lineRule="exact"/>
        <w:ind w:firstLine="480" w:firstLineChars="200"/>
        <w:rPr>
          <w:rFonts w:hint="eastAsia" w:ascii="仿宋" w:hAnsi="仿宋" w:eastAsia="仿宋" w:cs="仿宋"/>
          <w:sz w:val="24"/>
          <w:szCs w:val="24"/>
          <w:lang w:val="en-US" w:eastAsia="zh-CN"/>
        </w:rPr>
      </w:pPr>
      <w:bookmarkStart w:id="31" w:name="_Toc27470"/>
      <w:bookmarkStart w:id="32" w:name="_Toc23286"/>
      <w:bookmarkStart w:id="33" w:name="_Toc11756"/>
      <w:r>
        <w:rPr>
          <w:rFonts w:hint="eastAsia" w:ascii="仿宋" w:hAnsi="仿宋" w:eastAsia="仿宋" w:cs="仿宋"/>
          <w:sz w:val="24"/>
          <w:szCs w:val="24"/>
          <w:lang w:val="en-US" w:eastAsia="zh-CN"/>
        </w:rPr>
        <w:t>5、预算编制科学性（满分2分，实得2分）</w:t>
      </w:r>
      <w:bookmarkEnd w:id="31"/>
      <w:bookmarkEnd w:id="32"/>
      <w:bookmarkEnd w:id="33"/>
    </w:p>
    <w:p w14:paraId="4BEA3EBE">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指标解释：项目预算编制是否经过科学论证、有明确标准、资金额度与年度目标是否相适应，用以反映和考核项目预算编制的科学性、合理性情况。</w:t>
      </w:r>
    </w:p>
    <w:p w14:paraId="0F79E5E6">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highlight w:val="none"/>
          <w:lang w:val="en-US" w:eastAsia="zh-CN"/>
        </w:rPr>
        <w:t>评分情况：</w:t>
      </w:r>
      <w:r>
        <w:rPr>
          <w:rFonts w:hint="eastAsia" w:ascii="仿宋" w:hAnsi="仿宋" w:eastAsia="仿宋" w:cs="仿宋"/>
          <w:sz w:val="24"/>
          <w:szCs w:val="24"/>
          <w:lang w:val="en-US" w:eastAsia="zh-CN"/>
        </w:rPr>
        <w:t>本项目项目预算额度测算依据充分，有明确标准，按照标准编制，与2023年目标相适应。</w:t>
      </w:r>
    </w:p>
    <w:p w14:paraId="6BE4B4F2">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本次评价认为：项目预算编制经过科学论证、有明确标准、资金额度与年度目标相适应，预算编制较为科学、合理，得2分。</w:t>
      </w:r>
    </w:p>
    <w:p w14:paraId="5C2BBFEE">
      <w:pPr>
        <w:spacing w:line="560" w:lineRule="exact"/>
        <w:ind w:firstLine="480" w:firstLineChars="200"/>
        <w:rPr>
          <w:rFonts w:hint="eastAsia" w:ascii="仿宋" w:hAnsi="仿宋" w:eastAsia="仿宋" w:cs="仿宋"/>
          <w:sz w:val="24"/>
          <w:szCs w:val="24"/>
          <w:lang w:val="en-US" w:eastAsia="zh-CN"/>
        </w:rPr>
      </w:pPr>
      <w:bookmarkStart w:id="34" w:name="_Toc3675"/>
      <w:bookmarkStart w:id="35" w:name="_Toc7513"/>
      <w:bookmarkStart w:id="36" w:name="_Toc6035"/>
      <w:r>
        <w:rPr>
          <w:rFonts w:hint="eastAsia" w:ascii="仿宋" w:hAnsi="仿宋" w:eastAsia="仿宋" w:cs="仿宋"/>
          <w:sz w:val="24"/>
          <w:szCs w:val="24"/>
          <w:lang w:val="en-US" w:eastAsia="zh-CN"/>
        </w:rPr>
        <w:t>6、资金分配合理性（满分4分，实得3分）</w:t>
      </w:r>
      <w:bookmarkEnd w:id="34"/>
      <w:bookmarkEnd w:id="35"/>
      <w:bookmarkEnd w:id="36"/>
    </w:p>
    <w:p w14:paraId="6357FCF9">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指标解释：项目是否有测算依据、与补助单位或地方实际是否相适应，用以反映和考核项目预算资金分配的科学性、合理性情况。</w:t>
      </w:r>
    </w:p>
    <w:p w14:paraId="48976B57">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highlight w:val="none"/>
          <w:lang w:val="en-US" w:eastAsia="zh-CN"/>
        </w:rPr>
        <w:t>评分情况：根据</w:t>
      </w:r>
      <w:r>
        <w:rPr>
          <w:rFonts w:hint="eastAsia" w:ascii="仿宋" w:hAnsi="仿宋" w:eastAsia="仿宋" w:cs="仿宋"/>
          <w:sz w:val="24"/>
          <w:szCs w:val="24"/>
          <w:lang w:val="en-US" w:eastAsia="zh-CN"/>
        </w:rPr>
        <w:t>2023年度怀远县教育局按照怀教体〔2021〕82号关于印发《怀远县2021年度学校目标管理督导考核实施方案》的通知和关于《怀远县2021年度学校目标管理督导考核实施方案》几点修改的通知，怀远县教育局组织实施了怀远县高中及初中学校2021—2022学年度学校目标管理督导考核，根据怀教体〔2022〕40号关于2021-2022学年度学校目标管理督导考核结果的通报，对获奖单位进行资金分配。（但教育局并未提供2023年度怀远县教育局按照怀教体〔2021〕82号关于印发《怀远县2021年度学校目标管理督导考核实施方案》的通知和关于《怀远县2021年度学校目标管理督导考核实施方案》几点修改的通知文件材料）故扣2分；预算资金分配与单位实际相适应。</w:t>
      </w:r>
    </w:p>
    <w:p w14:paraId="484819BC">
      <w:pPr>
        <w:numPr>
          <w:ilvl w:val="0"/>
          <w:numId w:val="0"/>
        </w:num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本次评价认为：预算资金分配有测算依据，但部分材料未提供完全，扣1分，得3分。</w:t>
      </w:r>
    </w:p>
    <w:p w14:paraId="1328EE7B">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（二）项目过程情况（满分20分，实得16.5分）</w:t>
      </w:r>
    </w:p>
    <w:p w14:paraId="11DAFF02">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项目过程设立1个一级指标，2个二级指标和6个三级指标具体指标情况如下：</w:t>
      </w:r>
    </w:p>
    <w:tbl>
      <w:tblPr>
        <w:tblStyle w:val="17"/>
        <w:tblpPr w:leftFromText="180" w:rightFromText="180" w:vertAnchor="text" w:horzAnchor="page" w:tblpX="1094" w:tblpY="126"/>
        <w:tblOverlap w:val="never"/>
        <w:tblW w:w="10036" w:type="dxa"/>
        <w:tblInd w:w="0" w:type="dxa"/>
        <w:tblLayout w:type="fixed"/>
        <w:tblCellMar>
          <w:top w:w="0" w:type="dxa"/>
          <w:left w:w="0" w:type="dxa"/>
          <w:bottom w:w="0" w:type="dxa"/>
          <w:right w:w="0" w:type="dxa"/>
        </w:tblCellMar>
      </w:tblPr>
      <w:tblGrid>
        <w:gridCol w:w="680"/>
        <w:gridCol w:w="955"/>
        <w:gridCol w:w="1040"/>
        <w:gridCol w:w="1560"/>
        <w:gridCol w:w="900"/>
        <w:gridCol w:w="3349"/>
        <w:gridCol w:w="776"/>
        <w:gridCol w:w="776"/>
      </w:tblGrid>
      <w:tr w14:paraId="6D4B72D1">
        <w:tblPrEx>
          <w:tblCellMar>
            <w:top w:w="0" w:type="dxa"/>
            <w:left w:w="0" w:type="dxa"/>
            <w:bottom w:w="0" w:type="dxa"/>
            <w:right w:w="0" w:type="dxa"/>
          </w:tblCellMar>
        </w:tblPrEx>
        <w:trPr>
          <w:trHeight w:val="692" w:hRule="atLeast"/>
        </w:trPr>
        <w:tc>
          <w:tcPr>
            <w:tcW w:w="680" w:type="dxa"/>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2E7CCBF">
            <w:pPr>
              <w:spacing w:line="560" w:lineRule="exact"/>
              <w:rPr>
                <w:rFonts w:hint="eastAsia" w:ascii="仿宋" w:hAnsi="仿宋" w:eastAsia="仿宋" w:cs="仿宋"/>
                <w:sz w:val="24"/>
                <w:szCs w:val="24"/>
                <w:lang w:val="en-US" w:eastAsia="zh-CN"/>
              </w:rPr>
            </w:pPr>
            <w:bookmarkStart w:id="37" w:name="_Toc17399"/>
            <w:r>
              <w:rPr>
                <w:rFonts w:hint="eastAsia" w:ascii="仿宋" w:hAnsi="仿宋" w:eastAsia="仿宋" w:cs="仿宋"/>
                <w:sz w:val="24"/>
                <w:szCs w:val="24"/>
                <w:lang w:val="en-US" w:eastAsia="zh-CN"/>
              </w:rPr>
              <w:t>序号</w:t>
            </w:r>
          </w:p>
        </w:tc>
        <w:tc>
          <w:tcPr>
            <w:tcW w:w="955" w:type="dxa"/>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649B0268">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 级</w:t>
            </w:r>
          </w:p>
          <w:p w14:paraId="20CA7079">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 标</w:t>
            </w:r>
          </w:p>
        </w:tc>
        <w:tc>
          <w:tcPr>
            <w:tcW w:w="1040"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1F82F44">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二级</w:t>
            </w:r>
          </w:p>
          <w:p w14:paraId="484E7BA5">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w:t>
            </w:r>
          </w:p>
        </w:tc>
        <w:tc>
          <w:tcPr>
            <w:tcW w:w="1560"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9530BCD">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 级</w:t>
            </w:r>
          </w:p>
          <w:p w14:paraId="7D464A8A">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 标</w:t>
            </w:r>
          </w:p>
        </w:tc>
        <w:tc>
          <w:tcPr>
            <w:tcW w:w="900"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23D8587">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标准分 值</w:t>
            </w:r>
          </w:p>
        </w:tc>
        <w:tc>
          <w:tcPr>
            <w:tcW w:w="3349"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D89EADD">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评价情况</w:t>
            </w:r>
          </w:p>
        </w:tc>
        <w:tc>
          <w:tcPr>
            <w:tcW w:w="776"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B5158B4">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得分</w:t>
            </w:r>
          </w:p>
        </w:tc>
        <w:tc>
          <w:tcPr>
            <w:tcW w:w="776"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E0697C3">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扣分</w:t>
            </w:r>
          </w:p>
        </w:tc>
      </w:tr>
      <w:tr w14:paraId="5608F25E">
        <w:tblPrEx>
          <w:tblCellMar>
            <w:top w:w="0" w:type="dxa"/>
            <w:left w:w="0" w:type="dxa"/>
            <w:bottom w:w="0" w:type="dxa"/>
            <w:right w:w="0" w:type="dxa"/>
          </w:tblCellMar>
        </w:tblPrEx>
        <w:trPr>
          <w:trHeight w:val="1095" w:hRule="atLeast"/>
        </w:trPr>
        <w:tc>
          <w:tcPr>
            <w:tcW w:w="680" w:type="dxa"/>
            <w:tcBorders>
              <w:top w:val="nil"/>
              <w:left w:val="single" w:color="000000" w:sz="8" w:space="0"/>
              <w:right w:val="single" w:color="000000" w:sz="8" w:space="0"/>
            </w:tcBorders>
            <w:shd w:val="clear" w:color="auto" w:fill="FFFFFF"/>
            <w:noWrap w:val="0"/>
            <w:tcMar>
              <w:top w:w="0" w:type="dxa"/>
              <w:left w:w="108" w:type="dxa"/>
              <w:bottom w:w="0" w:type="dxa"/>
              <w:right w:w="108" w:type="dxa"/>
            </w:tcMar>
            <w:vAlign w:val="center"/>
          </w:tcPr>
          <w:p w14:paraId="5F8D8184">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w:t>
            </w:r>
          </w:p>
        </w:tc>
        <w:tc>
          <w:tcPr>
            <w:tcW w:w="955" w:type="dxa"/>
            <w:vMerge w:val="restart"/>
            <w:tcBorders>
              <w:top w:val="nil"/>
              <w:left w:val="single" w:color="000000" w:sz="8" w:space="0"/>
              <w:right w:val="single" w:color="000000" w:sz="8" w:space="0"/>
            </w:tcBorders>
            <w:shd w:val="clear" w:color="auto" w:fill="FFFFFF"/>
            <w:noWrap w:val="0"/>
            <w:tcMar>
              <w:top w:w="0" w:type="dxa"/>
              <w:left w:w="108" w:type="dxa"/>
              <w:bottom w:w="0" w:type="dxa"/>
              <w:right w:w="108" w:type="dxa"/>
            </w:tcMar>
            <w:vAlign w:val="center"/>
          </w:tcPr>
          <w:p w14:paraId="43BDA1CB">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过程</w:t>
            </w:r>
          </w:p>
          <w:p w14:paraId="4C33B4D7">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(20分）　</w:t>
            </w:r>
          </w:p>
          <w:p w14:paraId="28B74067">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w:t>
            </w:r>
          </w:p>
        </w:tc>
        <w:tc>
          <w:tcPr>
            <w:tcW w:w="1040" w:type="dxa"/>
            <w:vMerge w:val="restar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04F8E19">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资金管理（15分）</w:t>
            </w:r>
          </w:p>
        </w:tc>
        <w:tc>
          <w:tcPr>
            <w:tcW w:w="156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AAA6F3F">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资金到位率（4分）</w:t>
            </w:r>
          </w:p>
        </w:tc>
        <w:tc>
          <w:tcPr>
            <w:tcW w:w="90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AB74F42">
            <w:pPr>
              <w:spacing w:line="56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334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D38E905">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实际到位资金与预算资金的比率等于100%，能反映和考核资金落实情况，能对项目实施的总体保障。得3分</w:t>
            </w:r>
          </w:p>
        </w:tc>
        <w:tc>
          <w:tcPr>
            <w:tcW w:w="77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63188EF">
            <w:pPr>
              <w:spacing w:line="56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77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62319B3">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r>
      <w:tr w14:paraId="6E773A55">
        <w:tblPrEx>
          <w:tblCellMar>
            <w:top w:w="0" w:type="dxa"/>
            <w:left w:w="0" w:type="dxa"/>
            <w:bottom w:w="0" w:type="dxa"/>
            <w:right w:w="0" w:type="dxa"/>
          </w:tblCellMar>
        </w:tblPrEx>
        <w:trPr>
          <w:trHeight w:val="836" w:hRule="atLeast"/>
        </w:trPr>
        <w:tc>
          <w:tcPr>
            <w:tcW w:w="680" w:type="dxa"/>
            <w:tcBorders>
              <w:left w:val="single" w:color="000000" w:sz="8" w:space="0"/>
              <w:right w:val="single" w:color="000000" w:sz="8" w:space="0"/>
            </w:tcBorders>
            <w:shd w:val="clear" w:color="auto" w:fill="auto"/>
            <w:noWrap w:val="0"/>
            <w:vAlign w:val="center"/>
          </w:tcPr>
          <w:p w14:paraId="61063F89">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955" w:type="dxa"/>
            <w:vMerge w:val="continue"/>
            <w:tcBorders>
              <w:left w:val="single" w:color="000000" w:sz="8" w:space="0"/>
              <w:right w:val="single" w:color="000000" w:sz="8" w:space="0"/>
            </w:tcBorders>
            <w:shd w:val="clear" w:color="auto" w:fill="auto"/>
            <w:noWrap w:val="0"/>
            <w:vAlign w:val="center"/>
          </w:tcPr>
          <w:p w14:paraId="3703A7F0">
            <w:pPr>
              <w:spacing w:line="560" w:lineRule="exact"/>
              <w:ind w:firstLine="480" w:firstLineChars="200"/>
              <w:rPr>
                <w:rFonts w:hint="eastAsia" w:ascii="仿宋" w:hAnsi="仿宋" w:eastAsia="仿宋" w:cs="仿宋"/>
                <w:sz w:val="24"/>
                <w:szCs w:val="24"/>
                <w:lang w:val="en-US" w:eastAsia="zh-CN"/>
              </w:rPr>
            </w:pPr>
          </w:p>
        </w:tc>
        <w:tc>
          <w:tcPr>
            <w:tcW w:w="1040" w:type="dxa"/>
            <w:vMerge w:val="continue"/>
            <w:tcBorders>
              <w:top w:val="nil"/>
              <w:left w:val="nil"/>
              <w:bottom w:val="single" w:color="000000" w:sz="8" w:space="0"/>
              <w:right w:val="single" w:color="000000" w:sz="8" w:space="0"/>
            </w:tcBorders>
            <w:shd w:val="clear" w:color="auto" w:fill="auto"/>
            <w:noWrap w:val="0"/>
            <w:vAlign w:val="center"/>
          </w:tcPr>
          <w:p w14:paraId="5DE140FB">
            <w:pPr>
              <w:spacing w:line="560" w:lineRule="exact"/>
              <w:ind w:firstLine="480" w:firstLineChars="200"/>
              <w:rPr>
                <w:rFonts w:hint="eastAsia" w:ascii="仿宋" w:hAnsi="仿宋" w:eastAsia="仿宋" w:cs="仿宋"/>
                <w:sz w:val="24"/>
                <w:szCs w:val="24"/>
                <w:lang w:val="en-US" w:eastAsia="zh-CN"/>
              </w:rPr>
            </w:pPr>
          </w:p>
        </w:tc>
        <w:tc>
          <w:tcPr>
            <w:tcW w:w="156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6E7477D8">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资金拨付及时性（4分）</w:t>
            </w:r>
          </w:p>
        </w:tc>
        <w:tc>
          <w:tcPr>
            <w:tcW w:w="90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8BB8714">
            <w:pPr>
              <w:spacing w:line="56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w:t>
            </w:r>
          </w:p>
        </w:tc>
        <w:tc>
          <w:tcPr>
            <w:tcW w:w="334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2554CE0">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较为及时，在县财政局拨付至县教育局后三周内拨付至学校，得2分</w:t>
            </w:r>
          </w:p>
        </w:tc>
        <w:tc>
          <w:tcPr>
            <w:tcW w:w="77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C4A984E">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77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41881CB">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r>
      <w:tr w14:paraId="13FC1336">
        <w:tblPrEx>
          <w:tblCellMar>
            <w:top w:w="0" w:type="dxa"/>
            <w:left w:w="0" w:type="dxa"/>
            <w:bottom w:w="0" w:type="dxa"/>
            <w:right w:w="0" w:type="dxa"/>
          </w:tblCellMar>
        </w:tblPrEx>
        <w:trPr>
          <w:trHeight w:val="792" w:hRule="atLeast"/>
        </w:trPr>
        <w:tc>
          <w:tcPr>
            <w:tcW w:w="680" w:type="dxa"/>
            <w:tcBorders>
              <w:left w:val="single" w:color="000000" w:sz="8" w:space="0"/>
              <w:right w:val="single" w:color="000000" w:sz="8" w:space="0"/>
            </w:tcBorders>
            <w:shd w:val="clear" w:color="auto" w:fill="auto"/>
            <w:noWrap w:val="0"/>
            <w:vAlign w:val="center"/>
          </w:tcPr>
          <w:p w14:paraId="44A65E13">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w:t>
            </w:r>
          </w:p>
        </w:tc>
        <w:tc>
          <w:tcPr>
            <w:tcW w:w="955" w:type="dxa"/>
            <w:vMerge w:val="continue"/>
            <w:tcBorders>
              <w:left w:val="single" w:color="000000" w:sz="8" w:space="0"/>
              <w:right w:val="single" w:color="000000" w:sz="8" w:space="0"/>
            </w:tcBorders>
            <w:shd w:val="clear" w:color="auto" w:fill="auto"/>
            <w:noWrap w:val="0"/>
            <w:vAlign w:val="center"/>
          </w:tcPr>
          <w:p w14:paraId="2FF72C81">
            <w:pPr>
              <w:spacing w:line="560" w:lineRule="exact"/>
              <w:ind w:firstLine="480" w:firstLineChars="200"/>
              <w:rPr>
                <w:rFonts w:hint="eastAsia" w:ascii="仿宋" w:hAnsi="仿宋" w:eastAsia="仿宋" w:cs="仿宋"/>
                <w:sz w:val="24"/>
                <w:szCs w:val="24"/>
                <w:lang w:val="en-US" w:eastAsia="zh-CN"/>
              </w:rPr>
            </w:pPr>
          </w:p>
        </w:tc>
        <w:tc>
          <w:tcPr>
            <w:tcW w:w="1040" w:type="dxa"/>
            <w:vMerge w:val="continue"/>
            <w:tcBorders>
              <w:top w:val="nil"/>
              <w:left w:val="nil"/>
              <w:bottom w:val="single" w:color="000000" w:sz="8" w:space="0"/>
              <w:right w:val="single" w:color="000000" w:sz="8" w:space="0"/>
            </w:tcBorders>
            <w:shd w:val="clear" w:color="auto" w:fill="auto"/>
            <w:noWrap w:val="0"/>
            <w:vAlign w:val="center"/>
          </w:tcPr>
          <w:p w14:paraId="512F9FAF">
            <w:pPr>
              <w:spacing w:line="560" w:lineRule="exact"/>
              <w:ind w:firstLine="480" w:firstLineChars="200"/>
              <w:rPr>
                <w:rFonts w:hint="eastAsia" w:ascii="仿宋" w:hAnsi="仿宋" w:eastAsia="仿宋" w:cs="仿宋"/>
                <w:sz w:val="24"/>
                <w:szCs w:val="24"/>
                <w:lang w:val="en-US" w:eastAsia="zh-CN"/>
              </w:rPr>
            </w:pPr>
          </w:p>
        </w:tc>
        <w:tc>
          <w:tcPr>
            <w:tcW w:w="156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D5501B9">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预算执行率（4分）</w:t>
            </w:r>
          </w:p>
        </w:tc>
        <w:tc>
          <w:tcPr>
            <w:tcW w:w="90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E95462D">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p>
        </w:tc>
        <w:tc>
          <w:tcPr>
            <w:tcW w:w="334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C7191A2">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项目预算资金按照计划执行，项目资金预算与实际发放情况无偏差，得4分</w:t>
            </w:r>
          </w:p>
        </w:tc>
        <w:tc>
          <w:tcPr>
            <w:tcW w:w="77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67080C21">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p>
        </w:tc>
        <w:tc>
          <w:tcPr>
            <w:tcW w:w="77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191114A">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r>
      <w:tr w14:paraId="62484874">
        <w:tblPrEx>
          <w:tblCellMar>
            <w:top w:w="0" w:type="dxa"/>
            <w:left w:w="0" w:type="dxa"/>
            <w:bottom w:w="0" w:type="dxa"/>
            <w:right w:w="0" w:type="dxa"/>
          </w:tblCellMar>
        </w:tblPrEx>
        <w:trPr>
          <w:trHeight w:val="1082" w:hRule="atLeast"/>
        </w:trPr>
        <w:tc>
          <w:tcPr>
            <w:tcW w:w="680" w:type="dxa"/>
            <w:tcBorders>
              <w:left w:val="single" w:color="000000" w:sz="8" w:space="0"/>
              <w:right w:val="single" w:color="000000" w:sz="8" w:space="0"/>
            </w:tcBorders>
            <w:shd w:val="clear" w:color="auto" w:fill="auto"/>
            <w:noWrap w:val="0"/>
            <w:vAlign w:val="center"/>
          </w:tcPr>
          <w:p w14:paraId="06733D71">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w:t>
            </w:r>
          </w:p>
        </w:tc>
        <w:tc>
          <w:tcPr>
            <w:tcW w:w="955" w:type="dxa"/>
            <w:vMerge w:val="continue"/>
            <w:tcBorders>
              <w:left w:val="single" w:color="000000" w:sz="8" w:space="0"/>
              <w:right w:val="single" w:color="000000" w:sz="8" w:space="0"/>
            </w:tcBorders>
            <w:shd w:val="clear" w:color="auto" w:fill="auto"/>
            <w:noWrap w:val="0"/>
            <w:vAlign w:val="center"/>
          </w:tcPr>
          <w:p w14:paraId="416FAA31">
            <w:pPr>
              <w:spacing w:line="560" w:lineRule="exact"/>
              <w:ind w:firstLine="480" w:firstLineChars="200"/>
              <w:rPr>
                <w:rFonts w:hint="eastAsia" w:ascii="仿宋" w:hAnsi="仿宋" w:eastAsia="仿宋" w:cs="仿宋"/>
                <w:sz w:val="24"/>
                <w:szCs w:val="24"/>
                <w:lang w:val="en-US" w:eastAsia="zh-CN"/>
              </w:rPr>
            </w:pPr>
          </w:p>
        </w:tc>
        <w:tc>
          <w:tcPr>
            <w:tcW w:w="1040" w:type="dxa"/>
            <w:vMerge w:val="continue"/>
            <w:tcBorders>
              <w:top w:val="nil"/>
              <w:left w:val="nil"/>
              <w:bottom w:val="single" w:color="000000" w:sz="8" w:space="0"/>
              <w:right w:val="single" w:color="000000" w:sz="8" w:space="0"/>
            </w:tcBorders>
            <w:shd w:val="clear" w:color="auto" w:fill="auto"/>
            <w:noWrap w:val="0"/>
            <w:vAlign w:val="center"/>
          </w:tcPr>
          <w:p w14:paraId="1883CA29">
            <w:pPr>
              <w:spacing w:line="560" w:lineRule="exact"/>
              <w:ind w:firstLine="480" w:firstLineChars="200"/>
              <w:rPr>
                <w:rFonts w:hint="eastAsia" w:ascii="仿宋" w:hAnsi="仿宋" w:eastAsia="仿宋" w:cs="仿宋"/>
                <w:sz w:val="24"/>
                <w:szCs w:val="24"/>
                <w:lang w:val="en-US" w:eastAsia="zh-CN"/>
              </w:rPr>
            </w:pPr>
          </w:p>
        </w:tc>
        <w:tc>
          <w:tcPr>
            <w:tcW w:w="156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A07FA8D">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资金使用合规性（4分）</w:t>
            </w:r>
          </w:p>
        </w:tc>
        <w:tc>
          <w:tcPr>
            <w:tcW w:w="90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3BD6E3E">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p>
        </w:tc>
        <w:tc>
          <w:tcPr>
            <w:tcW w:w="334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D017768">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财务管理制度完善，能完全评价资金规范运行情况，支出审批手续齐全，得4分</w:t>
            </w:r>
          </w:p>
        </w:tc>
        <w:tc>
          <w:tcPr>
            <w:tcW w:w="77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84D8D20">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p>
        </w:tc>
        <w:tc>
          <w:tcPr>
            <w:tcW w:w="77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4D6D9F1">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r>
      <w:tr w14:paraId="4BEB7017">
        <w:tblPrEx>
          <w:tblCellMar>
            <w:top w:w="0" w:type="dxa"/>
            <w:left w:w="0" w:type="dxa"/>
            <w:bottom w:w="0" w:type="dxa"/>
            <w:right w:w="0" w:type="dxa"/>
          </w:tblCellMar>
        </w:tblPrEx>
        <w:trPr>
          <w:trHeight w:val="1122" w:hRule="atLeast"/>
        </w:trPr>
        <w:tc>
          <w:tcPr>
            <w:tcW w:w="680" w:type="dxa"/>
            <w:tcBorders>
              <w:left w:val="single" w:color="000000" w:sz="8" w:space="0"/>
              <w:right w:val="single" w:color="000000" w:sz="8" w:space="0"/>
            </w:tcBorders>
            <w:shd w:val="clear" w:color="auto" w:fill="auto"/>
            <w:noWrap w:val="0"/>
            <w:vAlign w:val="center"/>
          </w:tcPr>
          <w:p w14:paraId="362C6C7F">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w:t>
            </w:r>
          </w:p>
        </w:tc>
        <w:tc>
          <w:tcPr>
            <w:tcW w:w="955" w:type="dxa"/>
            <w:vMerge w:val="continue"/>
            <w:tcBorders>
              <w:left w:val="single" w:color="000000" w:sz="8" w:space="0"/>
              <w:right w:val="single" w:color="000000" w:sz="8" w:space="0"/>
            </w:tcBorders>
            <w:shd w:val="clear" w:color="auto" w:fill="auto"/>
            <w:noWrap w:val="0"/>
            <w:vAlign w:val="center"/>
          </w:tcPr>
          <w:p w14:paraId="69B569AC">
            <w:pPr>
              <w:spacing w:line="560" w:lineRule="exact"/>
              <w:ind w:firstLine="480" w:firstLineChars="200"/>
              <w:rPr>
                <w:rFonts w:hint="eastAsia" w:ascii="仿宋" w:hAnsi="仿宋" w:eastAsia="仿宋" w:cs="仿宋"/>
                <w:sz w:val="24"/>
                <w:szCs w:val="24"/>
                <w:lang w:val="en-US" w:eastAsia="zh-CN"/>
              </w:rPr>
            </w:pPr>
          </w:p>
        </w:tc>
        <w:tc>
          <w:tcPr>
            <w:tcW w:w="1040" w:type="dxa"/>
            <w:vMerge w:val="restart"/>
            <w:tcBorders>
              <w:top w:val="nil"/>
              <w:left w:val="nil"/>
              <w:right w:val="single" w:color="000000" w:sz="8" w:space="0"/>
            </w:tcBorders>
            <w:shd w:val="clear" w:color="auto" w:fill="FFFFFF"/>
            <w:noWrap w:val="0"/>
            <w:tcMar>
              <w:top w:w="0" w:type="dxa"/>
              <w:left w:w="108" w:type="dxa"/>
              <w:bottom w:w="0" w:type="dxa"/>
              <w:right w:w="108" w:type="dxa"/>
            </w:tcMar>
            <w:vAlign w:val="center"/>
          </w:tcPr>
          <w:p w14:paraId="01A76E67">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组织实施（5分）</w:t>
            </w:r>
          </w:p>
          <w:p w14:paraId="7E30D325">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w:t>
            </w:r>
          </w:p>
        </w:tc>
        <w:tc>
          <w:tcPr>
            <w:tcW w:w="156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FCEABB1">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管理制度健全性（3分）</w:t>
            </w:r>
          </w:p>
        </w:tc>
        <w:tc>
          <w:tcPr>
            <w:tcW w:w="90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427F1F5">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334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82E0D7D">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项目实施单位的财务和业务管理制度健全，但提供的务管理制度材料不全，扣0.5分，得1.5分</w:t>
            </w:r>
          </w:p>
        </w:tc>
        <w:tc>
          <w:tcPr>
            <w:tcW w:w="77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5AC7223">
            <w:pPr>
              <w:spacing w:line="56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1.5</w:t>
            </w:r>
          </w:p>
        </w:tc>
        <w:tc>
          <w:tcPr>
            <w:tcW w:w="77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42C7F88">
            <w:pPr>
              <w:spacing w:line="56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1.5</w:t>
            </w:r>
          </w:p>
        </w:tc>
      </w:tr>
      <w:tr w14:paraId="0C8DF5AC">
        <w:tblPrEx>
          <w:tblCellMar>
            <w:top w:w="0" w:type="dxa"/>
            <w:left w:w="0" w:type="dxa"/>
            <w:bottom w:w="0" w:type="dxa"/>
            <w:right w:w="0" w:type="dxa"/>
          </w:tblCellMar>
        </w:tblPrEx>
        <w:trPr>
          <w:trHeight w:val="1122" w:hRule="atLeast"/>
        </w:trPr>
        <w:tc>
          <w:tcPr>
            <w:tcW w:w="680" w:type="dxa"/>
            <w:tcBorders>
              <w:left w:val="single" w:color="000000" w:sz="8" w:space="0"/>
              <w:bottom w:val="single" w:color="000000" w:sz="8" w:space="0"/>
              <w:right w:val="single" w:color="000000" w:sz="8" w:space="0"/>
            </w:tcBorders>
            <w:shd w:val="clear" w:color="auto" w:fill="auto"/>
            <w:noWrap w:val="0"/>
            <w:vAlign w:val="center"/>
          </w:tcPr>
          <w:p w14:paraId="7363171A">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w:t>
            </w:r>
          </w:p>
        </w:tc>
        <w:tc>
          <w:tcPr>
            <w:tcW w:w="955" w:type="dxa"/>
            <w:vMerge w:val="continue"/>
            <w:tcBorders>
              <w:left w:val="single" w:color="000000" w:sz="8" w:space="0"/>
              <w:bottom w:val="single" w:color="000000" w:sz="8" w:space="0"/>
              <w:right w:val="single" w:color="000000" w:sz="8" w:space="0"/>
            </w:tcBorders>
            <w:shd w:val="clear" w:color="auto" w:fill="auto"/>
            <w:noWrap w:val="0"/>
            <w:vAlign w:val="center"/>
          </w:tcPr>
          <w:p w14:paraId="04A46441">
            <w:pPr>
              <w:spacing w:line="560" w:lineRule="exact"/>
              <w:ind w:firstLine="480" w:firstLineChars="200"/>
              <w:rPr>
                <w:rFonts w:hint="eastAsia" w:ascii="仿宋" w:hAnsi="仿宋" w:eastAsia="仿宋" w:cs="仿宋"/>
                <w:sz w:val="24"/>
                <w:szCs w:val="24"/>
                <w:lang w:val="en-US" w:eastAsia="zh-CN"/>
              </w:rPr>
            </w:pPr>
          </w:p>
        </w:tc>
        <w:tc>
          <w:tcPr>
            <w:tcW w:w="1040" w:type="dxa"/>
            <w:vMerge w:val="continue"/>
            <w:tcBorders>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A8B5FB6">
            <w:pPr>
              <w:spacing w:line="560" w:lineRule="exact"/>
              <w:ind w:firstLine="480" w:firstLineChars="200"/>
              <w:rPr>
                <w:rFonts w:hint="eastAsia" w:ascii="仿宋" w:hAnsi="仿宋" w:eastAsia="仿宋" w:cs="仿宋"/>
                <w:sz w:val="24"/>
                <w:szCs w:val="24"/>
                <w:lang w:val="en-US" w:eastAsia="zh-CN"/>
              </w:rPr>
            </w:pPr>
          </w:p>
        </w:tc>
        <w:tc>
          <w:tcPr>
            <w:tcW w:w="156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62EDBEC">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制度执行有效性（2分）</w:t>
            </w:r>
          </w:p>
        </w:tc>
        <w:tc>
          <w:tcPr>
            <w:tcW w:w="90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69FC401">
            <w:pPr>
              <w:spacing w:line="56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334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6321089D">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严格执行遵守相关法律法规和管理制度的规定，本项指标得2分。</w:t>
            </w:r>
          </w:p>
        </w:tc>
        <w:tc>
          <w:tcPr>
            <w:tcW w:w="77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E022A89">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77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507DAB1">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r>
      <w:tr w14:paraId="5B676768">
        <w:tblPrEx>
          <w:tblCellMar>
            <w:top w:w="0" w:type="dxa"/>
            <w:left w:w="0" w:type="dxa"/>
            <w:bottom w:w="0" w:type="dxa"/>
            <w:right w:w="0" w:type="dxa"/>
          </w:tblCellMar>
        </w:tblPrEx>
        <w:trPr>
          <w:trHeight w:val="542" w:hRule="atLeast"/>
        </w:trPr>
        <w:tc>
          <w:tcPr>
            <w:tcW w:w="680" w:type="dxa"/>
            <w:tcBorders>
              <w:top w:val="nil"/>
              <w:left w:val="single" w:color="000000" w:sz="8" w:space="0"/>
              <w:bottom w:val="single" w:color="000000" w:sz="8" w:space="0"/>
              <w:right w:val="single" w:color="000000" w:sz="8" w:space="0"/>
            </w:tcBorders>
            <w:shd w:val="clear" w:color="auto" w:fill="auto"/>
            <w:noWrap w:val="0"/>
            <w:tcMar>
              <w:top w:w="0" w:type="dxa"/>
              <w:left w:w="108" w:type="dxa"/>
              <w:bottom w:w="0" w:type="dxa"/>
              <w:right w:w="108" w:type="dxa"/>
            </w:tcMar>
            <w:vAlign w:val="center"/>
          </w:tcPr>
          <w:p w14:paraId="413ED2ED">
            <w:pPr>
              <w:spacing w:line="560" w:lineRule="exact"/>
              <w:ind w:firstLine="480" w:firstLineChars="200"/>
              <w:rPr>
                <w:rFonts w:hint="eastAsia" w:ascii="仿宋" w:hAnsi="仿宋" w:eastAsia="仿宋" w:cs="仿宋"/>
                <w:sz w:val="24"/>
                <w:szCs w:val="24"/>
                <w:lang w:val="en-US" w:eastAsia="zh-CN"/>
              </w:rPr>
            </w:pPr>
          </w:p>
        </w:tc>
        <w:tc>
          <w:tcPr>
            <w:tcW w:w="7804" w:type="dxa"/>
            <w:gridSpan w:val="5"/>
            <w:tcBorders>
              <w:top w:val="nil"/>
              <w:left w:val="single" w:color="000000" w:sz="8" w:space="0"/>
              <w:bottom w:val="single" w:color="000000" w:sz="8" w:space="0"/>
              <w:right w:val="single" w:color="000000" w:sz="8" w:space="0"/>
            </w:tcBorders>
            <w:shd w:val="clear" w:color="auto" w:fill="auto"/>
            <w:noWrap w:val="0"/>
            <w:tcMar>
              <w:top w:w="0" w:type="dxa"/>
              <w:left w:w="108" w:type="dxa"/>
              <w:bottom w:w="0" w:type="dxa"/>
              <w:right w:w="108" w:type="dxa"/>
            </w:tcMar>
            <w:vAlign w:val="center"/>
          </w:tcPr>
          <w:p w14:paraId="350344A5">
            <w:pPr>
              <w:spacing w:line="560" w:lineRule="exact"/>
              <w:ind w:firstLine="480" w:firstLineChars="20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小计</w:t>
            </w:r>
          </w:p>
        </w:tc>
        <w:tc>
          <w:tcPr>
            <w:tcW w:w="77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12CC802">
            <w:pPr>
              <w:spacing w:line="56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16.5</w:t>
            </w:r>
          </w:p>
        </w:tc>
        <w:tc>
          <w:tcPr>
            <w:tcW w:w="77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22E1A66">
            <w:pPr>
              <w:spacing w:line="56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3.5</w:t>
            </w:r>
          </w:p>
        </w:tc>
      </w:tr>
    </w:tbl>
    <w:p w14:paraId="4F2DB9A0">
      <w:pPr>
        <w:spacing w:line="560" w:lineRule="exact"/>
        <w:ind w:firstLine="480" w:firstLineChars="200"/>
        <w:rPr>
          <w:rFonts w:hint="eastAsia" w:ascii="仿宋" w:hAnsi="仿宋" w:eastAsia="仿宋" w:cs="仿宋"/>
          <w:sz w:val="24"/>
          <w:szCs w:val="24"/>
          <w:lang w:val="en-US" w:eastAsia="zh-CN"/>
        </w:rPr>
      </w:pPr>
      <w:bookmarkStart w:id="38" w:name="_Toc32657"/>
      <w:bookmarkStart w:id="39" w:name="_Toc14170"/>
      <w:r>
        <w:rPr>
          <w:rFonts w:hint="eastAsia" w:ascii="仿宋" w:hAnsi="仿宋" w:eastAsia="仿宋" w:cs="仿宋"/>
          <w:sz w:val="24"/>
          <w:szCs w:val="24"/>
          <w:lang w:val="en-US" w:eastAsia="zh-CN"/>
        </w:rPr>
        <w:t>1、资金到位率（满分3分，实得3分）</w:t>
      </w:r>
      <w:bookmarkEnd w:id="37"/>
      <w:bookmarkEnd w:id="38"/>
      <w:bookmarkEnd w:id="39"/>
      <w:r>
        <w:rPr>
          <w:rFonts w:hint="eastAsia" w:ascii="仿宋" w:hAnsi="仿宋" w:eastAsia="仿宋" w:cs="仿宋"/>
          <w:sz w:val="24"/>
          <w:szCs w:val="24"/>
          <w:lang w:val="en-US" w:eastAsia="zh-CN"/>
        </w:rPr>
        <w:t xml:space="preserve"> </w:t>
      </w:r>
    </w:p>
    <w:p w14:paraId="187C4F41">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指标解释：实际到位资金与预算资金的比例，用以反映和考核资金落实情况对项目实施的总体保障程度。</w:t>
      </w:r>
    </w:p>
    <w:p w14:paraId="0F7D867C">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highlight w:val="none"/>
          <w:lang w:val="en-US" w:eastAsia="zh-CN"/>
        </w:rPr>
        <w:t>评分情况：</w:t>
      </w:r>
      <w:r>
        <w:rPr>
          <w:rFonts w:hint="eastAsia" w:ascii="仿宋" w:hAnsi="仿宋" w:eastAsia="仿宋" w:cs="仿宋"/>
          <w:sz w:val="24"/>
          <w:szCs w:val="24"/>
          <w:lang w:val="en-US" w:eastAsia="zh-CN"/>
        </w:rPr>
        <w:t>项目资金实际下达至怀远县教育局52.5万元，资金到位率100%；2023年怀远县教育局实际发放该项目资金52.5万元，资金到位与实际发放无偏差。</w:t>
      </w:r>
    </w:p>
    <w:p w14:paraId="686ADFA5">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本次评价认为：资金到位率指标实际得分3分。</w:t>
      </w:r>
    </w:p>
    <w:p w14:paraId="11FCB30E">
      <w:pPr>
        <w:spacing w:line="560" w:lineRule="exact"/>
        <w:ind w:firstLine="480" w:firstLineChars="200"/>
        <w:rPr>
          <w:rFonts w:hint="eastAsia" w:ascii="仿宋" w:hAnsi="仿宋" w:eastAsia="仿宋" w:cs="仿宋"/>
          <w:sz w:val="24"/>
          <w:szCs w:val="24"/>
          <w:lang w:val="en-US" w:eastAsia="zh-CN"/>
        </w:rPr>
      </w:pPr>
      <w:bookmarkStart w:id="40" w:name="_Toc24408"/>
      <w:bookmarkStart w:id="41" w:name="_Toc21956"/>
      <w:bookmarkStart w:id="42" w:name="_Toc21090"/>
      <w:r>
        <w:rPr>
          <w:rFonts w:hint="eastAsia" w:ascii="仿宋" w:hAnsi="仿宋" w:eastAsia="仿宋" w:cs="仿宋"/>
          <w:sz w:val="24"/>
          <w:szCs w:val="24"/>
          <w:lang w:val="en-US" w:eastAsia="zh-CN"/>
        </w:rPr>
        <w:t>2、资金拨付及时性（满分4分，实得2分）</w:t>
      </w:r>
      <w:bookmarkEnd w:id="40"/>
      <w:bookmarkEnd w:id="41"/>
      <w:bookmarkEnd w:id="42"/>
    </w:p>
    <w:p w14:paraId="01E8C57F">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指标解释：项目资金是否按照依法依规及时拨付，用以反映和考核项目资金拨付时效情况。</w:t>
      </w:r>
    </w:p>
    <w:p w14:paraId="61517753">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评分情况：怀远县财政局于2023年根据教育局申请报县政府审批后将52.5万元拨付至教育局。怀远县教育局于2023年6月9日将资金拨付至禹王中学、育人中学和123辅导班，拨付流程时间较长。</w:t>
      </w:r>
    </w:p>
    <w:p w14:paraId="0564D654">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本次评价认为：资金拨付流程时间较长，扣2分，实际得分2分。</w:t>
      </w:r>
    </w:p>
    <w:p w14:paraId="361AA056">
      <w:pPr>
        <w:spacing w:line="560" w:lineRule="exact"/>
        <w:ind w:firstLine="480" w:firstLineChars="200"/>
        <w:rPr>
          <w:rFonts w:hint="eastAsia" w:ascii="仿宋" w:hAnsi="仿宋" w:eastAsia="仿宋" w:cs="仿宋"/>
          <w:sz w:val="24"/>
          <w:szCs w:val="24"/>
          <w:highlight w:val="none"/>
          <w:lang w:val="en-US" w:eastAsia="zh-CN"/>
        </w:rPr>
      </w:pPr>
      <w:bookmarkStart w:id="43" w:name="_Toc12692"/>
      <w:bookmarkStart w:id="44" w:name="_Toc12833"/>
      <w:bookmarkStart w:id="45" w:name="_Toc15742"/>
      <w:r>
        <w:rPr>
          <w:rFonts w:hint="eastAsia" w:ascii="仿宋" w:hAnsi="仿宋" w:eastAsia="仿宋" w:cs="仿宋"/>
          <w:sz w:val="24"/>
          <w:szCs w:val="24"/>
          <w:highlight w:val="none"/>
          <w:lang w:val="en-US" w:eastAsia="zh-CN"/>
        </w:rPr>
        <w:t>3、预算执行率（满分4分，实得4分）</w:t>
      </w:r>
      <w:bookmarkEnd w:id="43"/>
      <w:bookmarkEnd w:id="44"/>
      <w:bookmarkEnd w:id="45"/>
    </w:p>
    <w:p w14:paraId="177D2CE3">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指标解释：项目预算资金是否按照计划执行，用以反映或考核项目预算执行情况。</w:t>
      </w:r>
    </w:p>
    <w:p w14:paraId="57CEC5A5">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评分情况：项目预算资金按照计划执行，预算执行率100%。项目资金预算52.5万元，实际发放52.5万元。</w:t>
      </w:r>
    </w:p>
    <w:p w14:paraId="790E080E">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本次评价认为：预算执行率指标实际得分4分。</w:t>
      </w:r>
    </w:p>
    <w:p w14:paraId="04F2720D">
      <w:pPr>
        <w:spacing w:line="560" w:lineRule="exact"/>
        <w:ind w:firstLine="480" w:firstLineChars="200"/>
        <w:rPr>
          <w:rFonts w:hint="eastAsia" w:ascii="仿宋" w:hAnsi="仿宋" w:eastAsia="仿宋" w:cs="仿宋"/>
          <w:sz w:val="24"/>
          <w:szCs w:val="24"/>
          <w:lang w:val="en-US" w:eastAsia="zh-CN"/>
        </w:rPr>
      </w:pPr>
      <w:bookmarkStart w:id="46" w:name="_Toc8573"/>
      <w:bookmarkStart w:id="47" w:name="_Toc10269"/>
      <w:bookmarkStart w:id="48" w:name="_Toc32361"/>
      <w:r>
        <w:rPr>
          <w:rFonts w:hint="eastAsia" w:ascii="仿宋" w:hAnsi="仿宋" w:eastAsia="仿宋" w:cs="仿宋"/>
          <w:sz w:val="24"/>
          <w:szCs w:val="24"/>
          <w:lang w:val="en-US" w:eastAsia="zh-CN"/>
        </w:rPr>
        <w:t>4、资金使用合规性（满分4分，实得4分）</w:t>
      </w:r>
      <w:bookmarkEnd w:id="46"/>
      <w:bookmarkEnd w:id="47"/>
      <w:bookmarkEnd w:id="48"/>
    </w:p>
    <w:p w14:paraId="3AE2E910">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指标解释：项目资金使用是否符合相关的财务管理制度规定，用以反映和考核项目资金的规范运行情况。</w:t>
      </w:r>
    </w:p>
    <w:p w14:paraId="34C1464F">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评分情况：资金使用符合国家财经法规和财务管理制度以及有关专项资金管理办法的规定；资金拨付有完整的审批程序和手续；符合项目预算批复规定的用途；不存在截留、挤占、挪用、虚列支出等情况。</w:t>
      </w:r>
    </w:p>
    <w:p w14:paraId="0987C78B">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本次评价认为：</w:t>
      </w:r>
      <w:bookmarkStart w:id="49" w:name="_Toc3129"/>
      <w:bookmarkStart w:id="50" w:name="_Toc7385"/>
      <w:bookmarkStart w:id="51" w:name="_Toc30470"/>
      <w:r>
        <w:rPr>
          <w:rFonts w:hint="eastAsia" w:ascii="仿宋" w:hAnsi="仿宋" w:eastAsia="仿宋" w:cs="仿宋"/>
          <w:sz w:val="24"/>
          <w:szCs w:val="24"/>
          <w:lang w:val="en-US" w:eastAsia="zh-CN"/>
        </w:rPr>
        <w:t>资金使用合规性指标实际得分4分。</w:t>
      </w:r>
    </w:p>
    <w:p w14:paraId="7EE7B856">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5、管理制度健全性（满分3分，实得1.5分）</w:t>
      </w:r>
      <w:bookmarkEnd w:id="49"/>
      <w:bookmarkEnd w:id="50"/>
      <w:bookmarkEnd w:id="51"/>
    </w:p>
    <w:p w14:paraId="5B5183B3">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指标解释：项目实施单位的财务和业务管理制度是否健全，用以反映和考核财务和业务管理制度对项目顺利实施的保障情况。</w:t>
      </w:r>
    </w:p>
    <w:p w14:paraId="367F5FA9">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评分情况：怀远县教育局严格按照怀远县教体局机关大额资金管理办法，怀教体财〔2023〕33号乡镇中心学校财务管理暂行规定等资金管理业务文件执行，制定了相应的业务管理制度，但缺少部分材料。评价制度健全、内容合法、合规、完整。项目的实施能按照绩效管理要求执行，符合相关法律法规的规定；项目过程中形成的各类纸质材料、电子版材料、其他资料等档案的管理均按照项目档案管理规定执行。</w:t>
      </w:r>
    </w:p>
    <w:p w14:paraId="44D8FEA8">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本次评价认为：怀远县教育局制定了相应的业务管理制度，但缺少部分材料。实际扣1.5分，得分1.5分。</w:t>
      </w:r>
    </w:p>
    <w:p w14:paraId="40A19517">
      <w:pPr>
        <w:spacing w:line="560" w:lineRule="exact"/>
        <w:ind w:firstLine="480" w:firstLineChars="200"/>
        <w:rPr>
          <w:rFonts w:hint="eastAsia" w:ascii="仿宋" w:hAnsi="仿宋" w:eastAsia="仿宋" w:cs="仿宋"/>
          <w:sz w:val="24"/>
          <w:szCs w:val="24"/>
          <w:lang w:val="en-US" w:eastAsia="zh-CN"/>
        </w:rPr>
      </w:pPr>
      <w:bookmarkStart w:id="52" w:name="_Toc1056"/>
      <w:bookmarkStart w:id="53" w:name="_Toc13256"/>
      <w:bookmarkStart w:id="54" w:name="_Toc16752"/>
      <w:r>
        <w:rPr>
          <w:rFonts w:hint="eastAsia" w:ascii="仿宋" w:hAnsi="仿宋" w:eastAsia="仿宋" w:cs="仿宋"/>
          <w:sz w:val="24"/>
          <w:szCs w:val="24"/>
          <w:lang w:val="en-US" w:eastAsia="zh-CN"/>
        </w:rPr>
        <w:t>6、制度执行有效性（满分2分，实得2分）</w:t>
      </w:r>
      <w:bookmarkEnd w:id="52"/>
      <w:bookmarkEnd w:id="53"/>
      <w:bookmarkEnd w:id="54"/>
    </w:p>
    <w:p w14:paraId="30A47884">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指标解释：项目实施是否符合相关管理规定，用以反映和考核相关管理制度的有效执行情况。 </w:t>
      </w:r>
    </w:p>
    <w:p w14:paraId="36D7E5A0">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评分情况：严格执行遵守相关法律法规和管理制度的规定。</w:t>
      </w:r>
    </w:p>
    <w:p w14:paraId="77CC184C">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本次评价认为：制度执行有效性指标实际得分2分。</w:t>
      </w:r>
    </w:p>
    <w:p w14:paraId="0F6EDEB7">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（三）项目产出情况（满分30分，实得28分）</w:t>
      </w:r>
    </w:p>
    <w:p w14:paraId="003D4A41">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项目过程设立1个一级指标，4个二级指标和4个三级指标，具体指标情况如下：</w:t>
      </w:r>
    </w:p>
    <w:tbl>
      <w:tblPr>
        <w:tblStyle w:val="17"/>
        <w:tblW w:w="10156" w:type="dxa"/>
        <w:jc w:val="center"/>
        <w:tblLayout w:type="autofit"/>
        <w:tblCellMar>
          <w:top w:w="0" w:type="dxa"/>
          <w:left w:w="0" w:type="dxa"/>
          <w:bottom w:w="0" w:type="dxa"/>
          <w:right w:w="0" w:type="dxa"/>
        </w:tblCellMar>
      </w:tblPr>
      <w:tblGrid>
        <w:gridCol w:w="760"/>
        <w:gridCol w:w="760"/>
        <w:gridCol w:w="1013"/>
        <w:gridCol w:w="1438"/>
        <w:gridCol w:w="780"/>
        <w:gridCol w:w="3975"/>
        <w:gridCol w:w="715"/>
        <w:gridCol w:w="715"/>
      </w:tblGrid>
      <w:tr w14:paraId="56B86151">
        <w:tblPrEx>
          <w:tblCellMar>
            <w:top w:w="0" w:type="dxa"/>
            <w:left w:w="0" w:type="dxa"/>
            <w:bottom w:w="0" w:type="dxa"/>
            <w:right w:w="0" w:type="dxa"/>
          </w:tblCellMar>
        </w:tblPrEx>
        <w:trPr>
          <w:trHeight w:val="90" w:hRule="atLeast"/>
          <w:jc w:val="center"/>
        </w:trPr>
        <w:tc>
          <w:tcPr>
            <w:tcW w:w="760" w:type="dxa"/>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CC27858">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序号</w:t>
            </w:r>
          </w:p>
        </w:tc>
        <w:tc>
          <w:tcPr>
            <w:tcW w:w="760" w:type="dxa"/>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64314DC">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一级指标</w:t>
            </w:r>
          </w:p>
        </w:tc>
        <w:tc>
          <w:tcPr>
            <w:tcW w:w="1013"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6C7BDC2">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 级</w:t>
            </w:r>
          </w:p>
          <w:p w14:paraId="633FA346">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 标</w:t>
            </w:r>
          </w:p>
        </w:tc>
        <w:tc>
          <w:tcPr>
            <w:tcW w:w="1438"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66D10033">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 级</w:t>
            </w:r>
          </w:p>
          <w:p w14:paraId="77A7DE89">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 标</w:t>
            </w:r>
          </w:p>
        </w:tc>
        <w:tc>
          <w:tcPr>
            <w:tcW w:w="780"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0A52D55">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标准分值</w:t>
            </w:r>
          </w:p>
        </w:tc>
        <w:tc>
          <w:tcPr>
            <w:tcW w:w="3975"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68DBD454">
            <w:pPr>
              <w:spacing w:line="560" w:lineRule="exact"/>
              <w:ind w:firstLine="480" w:firstLineChars="20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评价情况</w:t>
            </w:r>
          </w:p>
        </w:tc>
        <w:tc>
          <w:tcPr>
            <w:tcW w:w="715"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7D5A5E0">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分值</w:t>
            </w:r>
          </w:p>
        </w:tc>
        <w:tc>
          <w:tcPr>
            <w:tcW w:w="715"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6770C5A">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扣分</w:t>
            </w:r>
          </w:p>
        </w:tc>
      </w:tr>
      <w:tr w14:paraId="2713847D">
        <w:tblPrEx>
          <w:tblCellMar>
            <w:top w:w="0" w:type="dxa"/>
            <w:left w:w="0" w:type="dxa"/>
            <w:bottom w:w="0" w:type="dxa"/>
            <w:right w:w="0" w:type="dxa"/>
          </w:tblCellMar>
        </w:tblPrEx>
        <w:trPr>
          <w:trHeight w:val="717" w:hRule="atLeast"/>
          <w:jc w:val="center"/>
        </w:trPr>
        <w:tc>
          <w:tcPr>
            <w:tcW w:w="760" w:type="dxa"/>
            <w:tcBorders>
              <w:top w:val="nil"/>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6AFCCA4">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w:t>
            </w:r>
          </w:p>
        </w:tc>
        <w:tc>
          <w:tcPr>
            <w:tcW w:w="760" w:type="dxa"/>
            <w:vMerge w:val="restart"/>
            <w:tcBorders>
              <w:top w:val="nil"/>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DA870ED">
            <w:pPr>
              <w:spacing w:line="560" w:lineRule="exact"/>
              <w:ind w:firstLine="480" w:firstLineChars="200"/>
              <w:rPr>
                <w:rFonts w:hint="eastAsia" w:ascii="仿宋" w:hAnsi="仿宋" w:eastAsia="仿宋" w:cs="仿宋"/>
                <w:sz w:val="24"/>
                <w:szCs w:val="24"/>
                <w:lang w:val="en-US" w:eastAsia="zh-CN"/>
              </w:rPr>
            </w:pPr>
          </w:p>
          <w:p w14:paraId="5FDA4E68">
            <w:pPr>
              <w:spacing w:line="560" w:lineRule="exact"/>
              <w:ind w:firstLine="480" w:firstLineChars="200"/>
              <w:rPr>
                <w:rFonts w:hint="eastAsia" w:ascii="仿宋" w:hAnsi="仿宋" w:eastAsia="仿宋" w:cs="仿宋"/>
                <w:sz w:val="24"/>
                <w:szCs w:val="24"/>
                <w:lang w:val="en-US" w:eastAsia="zh-CN"/>
              </w:rPr>
            </w:pPr>
          </w:p>
          <w:p w14:paraId="0CEAC9A1">
            <w:pPr>
              <w:spacing w:line="560" w:lineRule="exact"/>
              <w:ind w:firstLine="480" w:firstLineChars="200"/>
              <w:rPr>
                <w:rFonts w:hint="eastAsia" w:ascii="仿宋" w:hAnsi="仿宋" w:eastAsia="仿宋" w:cs="仿宋"/>
                <w:sz w:val="24"/>
                <w:szCs w:val="24"/>
                <w:lang w:val="en-US" w:eastAsia="zh-CN"/>
              </w:rPr>
            </w:pPr>
          </w:p>
          <w:p w14:paraId="73EE7467">
            <w:pPr>
              <w:spacing w:line="560" w:lineRule="exact"/>
              <w:ind w:firstLine="480" w:firstLineChars="200"/>
              <w:rPr>
                <w:rFonts w:hint="eastAsia" w:ascii="仿宋" w:hAnsi="仿宋" w:eastAsia="仿宋" w:cs="仿宋"/>
                <w:sz w:val="24"/>
                <w:szCs w:val="24"/>
                <w:lang w:val="en-US" w:eastAsia="zh-CN"/>
              </w:rPr>
            </w:pPr>
          </w:p>
          <w:p w14:paraId="7CA1ADEE">
            <w:pPr>
              <w:spacing w:line="560" w:lineRule="exact"/>
              <w:ind w:firstLine="480" w:firstLineChars="200"/>
              <w:rPr>
                <w:rFonts w:hint="eastAsia" w:ascii="仿宋" w:hAnsi="仿宋" w:eastAsia="仿宋" w:cs="仿宋"/>
                <w:sz w:val="24"/>
                <w:szCs w:val="24"/>
                <w:lang w:val="en-US" w:eastAsia="zh-CN"/>
              </w:rPr>
            </w:pPr>
          </w:p>
          <w:p w14:paraId="304C3E75">
            <w:pPr>
              <w:spacing w:line="560" w:lineRule="exact"/>
              <w:ind w:firstLine="480" w:firstLineChars="200"/>
              <w:rPr>
                <w:rFonts w:hint="eastAsia" w:ascii="仿宋" w:hAnsi="仿宋" w:eastAsia="仿宋" w:cs="仿宋"/>
                <w:sz w:val="24"/>
                <w:szCs w:val="24"/>
                <w:lang w:val="en-US" w:eastAsia="zh-CN"/>
              </w:rPr>
            </w:pPr>
          </w:p>
          <w:p w14:paraId="7513FBB2">
            <w:pPr>
              <w:spacing w:line="560" w:lineRule="exact"/>
              <w:ind w:firstLine="480" w:firstLineChars="200"/>
              <w:rPr>
                <w:rFonts w:hint="eastAsia" w:ascii="仿宋" w:hAnsi="仿宋" w:eastAsia="仿宋" w:cs="仿宋"/>
                <w:sz w:val="24"/>
                <w:szCs w:val="24"/>
                <w:lang w:val="en-US" w:eastAsia="zh-CN"/>
              </w:rPr>
            </w:pPr>
          </w:p>
          <w:p w14:paraId="6E3B72ED">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产出指标（满分30）</w:t>
            </w:r>
          </w:p>
        </w:tc>
        <w:tc>
          <w:tcPr>
            <w:tcW w:w="1013"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644EF54">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数量指标（8分）</w:t>
            </w:r>
          </w:p>
        </w:tc>
        <w:tc>
          <w:tcPr>
            <w:tcW w:w="143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AA99828">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禹王中学奖金=2.5万元</w:t>
            </w:r>
          </w:p>
          <w:p w14:paraId="60C8758D">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育人中学奖金=35万元</w:t>
            </w:r>
          </w:p>
          <w:p w14:paraId="72828DD0">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123高考辅导班奖金=15万元</w:t>
            </w:r>
          </w:p>
        </w:tc>
        <w:tc>
          <w:tcPr>
            <w:tcW w:w="78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6573BF3">
            <w:pPr>
              <w:spacing w:line="56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397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2E80B51">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实际支出数：禹王中学奖励金2.5万元，育人中学奖励金35万元，123高考辅导班奖励金15万元。</w:t>
            </w:r>
          </w:p>
          <w:p w14:paraId="1473C918">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计划支出数：禹王中学奖励金2.5万元，育人中学奖励金35万元，123高考辅导班奖励金15万元。</w:t>
            </w:r>
          </w:p>
          <w:p w14:paraId="31DEC6B4">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实际完成率达100%，得8分</w:t>
            </w:r>
          </w:p>
        </w:tc>
        <w:tc>
          <w:tcPr>
            <w:tcW w:w="71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29B2301">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71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B44E385">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r>
      <w:tr w14:paraId="536505CB">
        <w:tblPrEx>
          <w:tblCellMar>
            <w:top w:w="0" w:type="dxa"/>
            <w:left w:w="0" w:type="dxa"/>
            <w:bottom w:w="0" w:type="dxa"/>
            <w:right w:w="0" w:type="dxa"/>
          </w:tblCellMar>
        </w:tblPrEx>
        <w:trPr>
          <w:trHeight w:val="1325" w:hRule="atLeast"/>
          <w:jc w:val="center"/>
        </w:trPr>
        <w:tc>
          <w:tcPr>
            <w:tcW w:w="760" w:type="dxa"/>
            <w:tcBorders>
              <w:top w:val="nil"/>
              <w:left w:val="single" w:color="000000" w:sz="8" w:space="0"/>
              <w:bottom w:val="single" w:color="000000" w:sz="8" w:space="0"/>
              <w:right w:val="single" w:color="000000" w:sz="8" w:space="0"/>
            </w:tcBorders>
            <w:shd w:val="clear" w:color="auto" w:fill="auto"/>
            <w:noWrap w:val="0"/>
            <w:vAlign w:val="center"/>
          </w:tcPr>
          <w:p w14:paraId="5F2C33E1">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w:t>
            </w:r>
          </w:p>
        </w:tc>
        <w:tc>
          <w:tcPr>
            <w:tcW w:w="760" w:type="dxa"/>
            <w:vMerge w:val="continue"/>
            <w:tcBorders>
              <w:top w:val="nil"/>
              <w:left w:val="single" w:color="000000" w:sz="8" w:space="0"/>
              <w:bottom w:val="single" w:color="000000" w:sz="8" w:space="0"/>
              <w:right w:val="single" w:color="000000" w:sz="8" w:space="0"/>
            </w:tcBorders>
            <w:shd w:val="clear" w:color="auto" w:fill="auto"/>
            <w:noWrap w:val="0"/>
            <w:vAlign w:val="center"/>
          </w:tcPr>
          <w:p w14:paraId="176580B9">
            <w:pPr>
              <w:spacing w:line="560" w:lineRule="exact"/>
              <w:ind w:firstLine="480" w:firstLineChars="200"/>
              <w:rPr>
                <w:rFonts w:hint="eastAsia" w:ascii="仿宋" w:hAnsi="仿宋" w:eastAsia="仿宋" w:cs="仿宋"/>
                <w:sz w:val="24"/>
                <w:szCs w:val="24"/>
                <w:lang w:val="en-US" w:eastAsia="zh-CN"/>
              </w:rPr>
            </w:pPr>
          </w:p>
        </w:tc>
        <w:tc>
          <w:tcPr>
            <w:tcW w:w="1013"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06376E5">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质量指标（6分）</w:t>
            </w:r>
          </w:p>
        </w:tc>
        <w:tc>
          <w:tcPr>
            <w:tcW w:w="143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4ECACC9">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项目资金拨付的合规性</w:t>
            </w:r>
          </w:p>
        </w:tc>
        <w:tc>
          <w:tcPr>
            <w:tcW w:w="78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7ED4479">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w:t>
            </w:r>
          </w:p>
        </w:tc>
        <w:tc>
          <w:tcPr>
            <w:tcW w:w="397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02B361F">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资金拨付有完整的审批程序和手续，符合项目预算批复规定的用途不存在截留、挤占、挪用、虚列支出等情况，得6分。</w:t>
            </w:r>
          </w:p>
        </w:tc>
        <w:tc>
          <w:tcPr>
            <w:tcW w:w="71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D71E009">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w:t>
            </w:r>
          </w:p>
        </w:tc>
        <w:tc>
          <w:tcPr>
            <w:tcW w:w="71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4D07657">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r>
      <w:tr w14:paraId="21B96C1A">
        <w:tblPrEx>
          <w:tblCellMar>
            <w:top w:w="0" w:type="dxa"/>
            <w:left w:w="0" w:type="dxa"/>
            <w:bottom w:w="0" w:type="dxa"/>
            <w:right w:w="0" w:type="dxa"/>
          </w:tblCellMar>
        </w:tblPrEx>
        <w:trPr>
          <w:trHeight w:val="1051" w:hRule="atLeast"/>
          <w:jc w:val="center"/>
        </w:trPr>
        <w:tc>
          <w:tcPr>
            <w:tcW w:w="760" w:type="dxa"/>
            <w:tcBorders>
              <w:top w:val="nil"/>
              <w:left w:val="single" w:color="000000" w:sz="8" w:space="0"/>
              <w:bottom w:val="single" w:color="000000" w:sz="8" w:space="0"/>
              <w:right w:val="single" w:color="000000" w:sz="8" w:space="0"/>
            </w:tcBorders>
            <w:shd w:val="clear" w:color="auto" w:fill="auto"/>
            <w:noWrap w:val="0"/>
            <w:vAlign w:val="center"/>
          </w:tcPr>
          <w:p w14:paraId="67CC76C5">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w:t>
            </w:r>
          </w:p>
        </w:tc>
        <w:tc>
          <w:tcPr>
            <w:tcW w:w="760" w:type="dxa"/>
            <w:vMerge w:val="continue"/>
            <w:tcBorders>
              <w:top w:val="nil"/>
              <w:left w:val="single" w:color="000000" w:sz="8" w:space="0"/>
              <w:bottom w:val="single" w:color="000000" w:sz="8" w:space="0"/>
              <w:right w:val="single" w:color="000000" w:sz="8" w:space="0"/>
            </w:tcBorders>
            <w:shd w:val="clear" w:color="auto" w:fill="auto"/>
            <w:noWrap w:val="0"/>
            <w:vAlign w:val="center"/>
          </w:tcPr>
          <w:p w14:paraId="2BC8223C">
            <w:pPr>
              <w:spacing w:line="560" w:lineRule="exact"/>
              <w:ind w:firstLine="480" w:firstLineChars="200"/>
              <w:rPr>
                <w:rFonts w:hint="eastAsia" w:ascii="仿宋" w:hAnsi="仿宋" w:eastAsia="仿宋" w:cs="仿宋"/>
                <w:sz w:val="24"/>
                <w:szCs w:val="24"/>
                <w:lang w:val="en-US" w:eastAsia="zh-CN"/>
              </w:rPr>
            </w:pPr>
          </w:p>
        </w:tc>
        <w:tc>
          <w:tcPr>
            <w:tcW w:w="1013"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EAB9DA7">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时效指标（6分）</w:t>
            </w:r>
          </w:p>
        </w:tc>
        <w:tc>
          <w:tcPr>
            <w:tcW w:w="143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5763D73">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项目资金拨付的及时性</w:t>
            </w:r>
          </w:p>
        </w:tc>
        <w:tc>
          <w:tcPr>
            <w:tcW w:w="78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8AEE62A">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w:t>
            </w:r>
          </w:p>
        </w:tc>
        <w:tc>
          <w:tcPr>
            <w:tcW w:w="397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A7309E1">
            <w:pPr>
              <w:spacing w:line="560" w:lineRule="exact"/>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怀远县财政局于付2023年5月12日拨付52.5万元至怀远县教育局平台，县教育局于2024年6月5日将资金拨付至各学校。拨付流程时间较长。扣2分，得4分</w:t>
            </w:r>
          </w:p>
        </w:tc>
        <w:tc>
          <w:tcPr>
            <w:tcW w:w="71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6068E924">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p>
        </w:tc>
        <w:tc>
          <w:tcPr>
            <w:tcW w:w="71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D3165A6">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r>
      <w:tr w14:paraId="0C2F2BFB">
        <w:tblPrEx>
          <w:tblCellMar>
            <w:top w:w="0" w:type="dxa"/>
            <w:left w:w="0" w:type="dxa"/>
            <w:bottom w:w="0" w:type="dxa"/>
            <w:right w:w="0" w:type="dxa"/>
          </w:tblCellMar>
        </w:tblPrEx>
        <w:trPr>
          <w:trHeight w:val="1081" w:hRule="atLeast"/>
          <w:jc w:val="center"/>
        </w:trPr>
        <w:tc>
          <w:tcPr>
            <w:tcW w:w="760" w:type="dxa"/>
            <w:tcBorders>
              <w:top w:val="nil"/>
              <w:left w:val="single" w:color="000000" w:sz="8" w:space="0"/>
              <w:bottom w:val="single" w:color="000000" w:sz="8" w:space="0"/>
              <w:right w:val="single" w:color="000000" w:sz="8" w:space="0"/>
            </w:tcBorders>
            <w:shd w:val="clear" w:color="auto" w:fill="auto"/>
            <w:noWrap w:val="0"/>
            <w:vAlign w:val="center"/>
          </w:tcPr>
          <w:p w14:paraId="322EB9AD">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16</w:t>
            </w:r>
          </w:p>
        </w:tc>
        <w:tc>
          <w:tcPr>
            <w:tcW w:w="760" w:type="dxa"/>
            <w:vMerge w:val="continue"/>
            <w:tcBorders>
              <w:top w:val="nil"/>
              <w:left w:val="single" w:color="000000" w:sz="8" w:space="0"/>
              <w:bottom w:val="single" w:color="000000" w:sz="8" w:space="0"/>
              <w:right w:val="single" w:color="000000" w:sz="8" w:space="0"/>
            </w:tcBorders>
            <w:shd w:val="clear" w:color="auto" w:fill="auto"/>
            <w:noWrap w:val="0"/>
            <w:vAlign w:val="center"/>
          </w:tcPr>
          <w:p w14:paraId="71D24543">
            <w:pPr>
              <w:spacing w:line="560" w:lineRule="exact"/>
              <w:ind w:firstLine="480" w:firstLineChars="200"/>
              <w:rPr>
                <w:rFonts w:hint="eastAsia" w:ascii="仿宋" w:hAnsi="仿宋" w:eastAsia="仿宋" w:cs="仿宋"/>
                <w:sz w:val="24"/>
                <w:szCs w:val="24"/>
                <w:lang w:val="en-US" w:eastAsia="zh-CN"/>
              </w:rPr>
            </w:pPr>
          </w:p>
        </w:tc>
        <w:tc>
          <w:tcPr>
            <w:tcW w:w="1013"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B7AA730">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成本指标（10分）</w:t>
            </w:r>
          </w:p>
        </w:tc>
        <w:tc>
          <w:tcPr>
            <w:tcW w:w="143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668F092D">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项目预算控制率</w:t>
            </w:r>
          </w:p>
        </w:tc>
        <w:tc>
          <w:tcPr>
            <w:tcW w:w="78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3E9F184">
            <w:pPr>
              <w:spacing w:line="56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w:t>
            </w:r>
          </w:p>
        </w:tc>
        <w:tc>
          <w:tcPr>
            <w:tcW w:w="397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2A18EB5">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通过财政授权支付额度到账通知书与财务支出明细，实际到账资金52.5万元已于2022年6月5日全部支出。预算控制率=实际支付资金/实际到位资金*100%，实际完成值为 100%。得10分。</w:t>
            </w:r>
          </w:p>
        </w:tc>
        <w:tc>
          <w:tcPr>
            <w:tcW w:w="71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D2FED88">
            <w:pPr>
              <w:spacing w:line="56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w:t>
            </w:r>
          </w:p>
        </w:tc>
        <w:tc>
          <w:tcPr>
            <w:tcW w:w="71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BD97D77">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r>
      <w:tr w14:paraId="6571D448">
        <w:tblPrEx>
          <w:tblCellMar>
            <w:top w:w="0" w:type="dxa"/>
            <w:left w:w="0" w:type="dxa"/>
            <w:bottom w:w="0" w:type="dxa"/>
            <w:right w:w="0" w:type="dxa"/>
          </w:tblCellMar>
        </w:tblPrEx>
        <w:trPr>
          <w:trHeight w:val="786" w:hRule="atLeast"/>
          <w:jc w:val="center"/>
        </w:trPr>
        <w:tc>
          <w:tcPr>
            <w:tcW w:w="760" w:type="dxa"/>
            <w:tcBorders>
              <w:top w:val="nil"/>
              <w:left w:val="single" w:color="000000" w:sz="8" w:space="0"/>
              <w:bottom w:val="single" w:color="000000" w:sz="8" w:space="0"/>
              <w:right w:val="single" w:color="000000" w:sz="8" w:space="0"/>
            </w:tcBorders>
            <w:shd w:val="clear" w:color="auto" w:fill="auto"/>
            <w:noWrap w:val="0"/>
            <w:tcMar>
              <w:top w:w="0" w:type="dxa"/>
              <w:left w:w="108" w:type="dxa"/>
              <w:bottom w:w="0" w:type="dxa"/>
              <w:right w:w="108" w:type="dxa"/>
            </w:tcMar>
            <w:vAlign w:val="center"/>
          </w:tcPr>
          <w:p w14:paraId="34D41ECA">
            <w:pPr>
              <w:spacing w:line="560" w:lineRule="exact"/>
              <w:ind w:firstLine="480" w:firstLineChars="200"/>
              <w:rPr>
                <w:rFonts w:hint="eastAsia" w:ascii="仿宋" w:hAnsi="仿宋" w:eastAsia="仿宋" w:cs="仿宋"/>
                <w:sz w:val="24"/>
                <w:szCs w:val="24"/>
                <w:lang w:val="en-US" w:eastAsia="zh-CN"/>
              </w:rPr>
            </w:pPr>
          </w:p>
        </w:tc>
        <w:tc>
          <w:tcPr>
            <w:tcW w:w="7966" w:type="dxa"/>
            <w:gridSpan w:val="5"/>
            <w:tcBorders>
              <w:top w:val="nil"/>
              <w:left w:val="single" w:color="000000" w:sz="8" w:space="0"/>
              <w:bottom w:val="single" w:color="000000" w:sz="8" w:space="0"/>
              <w:right w:val="single" w:color="000000" w:sz="8" w:space="0"/>
            </w:tcBorders>
            <w:shd w:val="clear" w:color="auto" w:fill="auto"/>
            <w:noWrap w:val="0"/>
            <w:tcMar>
              <w:top w:w="0" w:type="dxa"/>
              <w:left w:w="108" w:type="dxa"/>
              <w:bottom w:w="0" w:type="dxa"/>
              <w:right w:w="108" w:type="dxa"/>
            </w:tcMar>
            <w:vAlign w:val="center"/>
          </w:tcPr>
          <w:p w14:paraId="0CDADA7C">
            <w:pPr>
              <w:spacing w:line="560" w:lineRule="exact"/>
              <w:ind w:firstLine="480" w:firstLineChars="20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小计</w:t>
            </w:r>
          </w:p>
        </w:tc>
        <w:tc>
          <w:tcPr>
            <w:tcW w:w="71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F6C85E4">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25</w:t>
            </w:r>
          </w:p>
        </w:tc>
        <w:tc>
          <w:tcPr>
            <w:tcW w:w="71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610071F">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p>
        </w:tc>
      </w:tr>
    </w:tbl>
    <w:p w14:paraId="6A8F474C">
      <w:pPr>
        <w:spacing w:line="560" w:lineRule="exact"/>
        <w:ind w:firstLine="480" w:firstLineChars="200"/>
        <w:rPr>
          <w:rFonts w:hint="eastAsia" w:ascii="仿宋" w:hAnsi="仿宋" w:eastAsia="仿宋" w:cs="仿宋"/>
          <w:sz w:val="24"/>
          <w:szCs w:val="24"/>
          <w:lang w:val="en-US" w:eastAsia="zh-CN"/>
        </w:rPr>
      </w:pPr>
      <w:bookmarkStart w:id="55" w:name="_Toc16904"/>
      <w:bookmarkStart w:id="56" w:name="_Toc4276"/>
      <w:bookmarkStart w:id="57" w:name="_Toc24886"/>
      <w:r>
        <w:rPr>
          <w:rFonts w:hint="eastAsia" w:ascii="仿宋" w:hAnsi="仿宋" w:eastAsia="仿宋" w:cs="仿宋"/>
          <w:sz w:val="24"/>
          <w:szCs w:val="24"/>
          <w:lang w:val="en-US" w:eastAsia="zh-CN"/>
        </w:rPr>
        <w:t>1、产出数量（满分8分，实得8分）</w:t>
      </w:r>
      <w:bookmarkEnd w:id="55"/>
      <w:bookmarkEnd w:id="56"/>
      <w:bookmarkEnd w:id="57"/>
    </w:p>
    <w:p w14:paraId="662372F4">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指标解释：定量指标，明确民办学校及123高考辅导班奖金额度，方便核对。</w:t>
      </w:r>
    </w:p>
    <w:p w14:paraId="0E1FC837">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评分情况：实际支出数：禹王中学奖励金2.5万元，育人中学奖励金35万元，123高考辅导班奖励金15万元。计划支出数：禹王中学奖励金2.5万元，育人中学奖励金35万元，123高考辅导班奖励金15万元。实际完成率达100%。项目实际完成率100%，得8分；90%-100%,得6分；80%-90%得4分，80%以下不得分。</w:t>
      </w:r>
    </w:p>
    <w:p w14:paraId="73E14B7D">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本次评价认为：本项得分8分。</w:t>
      </w:r>
    </w:p>
    <w:p w14:paraId="28C3C79C">
      <w:pPr>
        <w:spacing w:line="560" w:lineRule="exact"/>
        <w:ind w:firstLine="480" w:firstLineChars="200"/>
        <w:rPr>
          <w:rFonts w:hint="eastAsia" w:ascii="仿宋" w:hAnsi="仿宋" w:eastAsia="仿宋" w:cs="仿宋"/>
          <w:sz w:val="24"/>
          <w:szCs w:val="24"/>
          <w:lang w:val="en-US" w:eastAsia="zh-CN"/>
        </w:rPr>
      </w:pPr>
      <w:bookmarkStart w:id="58" w:name="_Toc16673"/>
      <w:bookmarkStart w:id="59" w:name="_Toc5107"/>
      <w:bookmarkStart w:id="60" w:name="_Toc23437"/>
      <w:r>
        <w:rPr>
          <w:rFonts w:hint="eastAsia" w:ascii="仿宋" w:hAnsi="仿宋" w:eastAsia="仿宋" w:cs="仿宋"/>
          <w:sz w:val="24"/>
          <w:szCs w:val="24"/>
          <w:lang w:val="en-US" w:eastAsia="zh-CN"/>
        </w:rPr>
        <w:t>2、产出质量（满分6分，实得6分）</w:t>
      </w:r>
      <w:bookmarkEnd w:id="58"/>
      <w:bookmarkEnd w:id="59"/>
      <w:bookmarkEnd w:id="60"/>
    </w:p>
    <w:p w14:paraId="2CDAE703">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指标解释：项目资金拨付是否有完整的审批程序和手续，用以反映和考核项目资金的规范运行情况。</w:t>
      </w:r>
    </w:p>
    <w:p w14:paraId="0E5973F5">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评分情况：资金使用符合国家财经法规和财务管理制度以及有关专项资金管理办法的规定，资金拨付有完整的审批程序和手续，符合项目预算批复规定的用途，不存在截留、挤占、挪用、虚列支出等情况。</w:t>
      </w:r>
    </w:p>
    <w:p w14:paraId="34379B7E">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本次评价认为：本项目得6分。</w:t>
      </w:r>
    </w:p>
    <w:p w14:paraId="66A1BD7F">
      <w:pPr>
        <w:spacing w:line="560" w:lineRule="exact"/>
        <w:ind w:firstLine="480" w:firstLineChars="200"/>
        <w:rPr>
          <w:rFonts w:hint="eastAsia" w:ascii="仿宋" w:hAnsi="仿宋" w:eastAsia="仿宋" w:cs="仿宋"/>
          <w:sz w:val="24"/>
          <w:szCs w:val="24"/>
          <w:lang w:val="en-US" w:eastAsia="zh-CN"/>
        </w:rPr>
      </w:pPr>
      <w:bookmarkStart w:id="61" w:name="_Toc27654"/>
      <w:bookmarkStart w:id="62" w:name="_Toc17885"/>
      <w:bookmarkStart w:id="63" w:name="_Toc17536"/>
      <w:r>
        <w:rPr>
          <w:rFonts w:hint="eastAsia" w:ascii="仿宋" w:hAnsi="仿宋" w:eastAsia="仿宋" w:cs="仿宋"/>
          <w:sz w:val="24"/>
          <w:szCs w:val="24"/>
          <w:lang w:val="en-US" w:eastAsia="zh-CN"/>
        </w:rPr>
        <w:t>3、产出时效（满分6分，实得4分）</w:t>
      </w:r>
      <w:bookmarkEnd w:id="61"/>
      <w:bookmarkEnd w:id="62"/>
      <w:bookmarkEnd w:id="63"/>
    </w:p>
    <w:p w14:paraId="5EDF33E4">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指标解释：项目实际完成时间与计划完成时间的比较，用以反映和考核项目产出时效目标的实现程度。</w:t>
      </w:r>
    </w:p>
    <w:p w14:paraId="539B1D61">
      <w:pPr>
        <w:spacing w:line="560" w:lineRule="exact"/>
        <w:ind w:firstLine="480" w:firstLineChars="200"/>
        <w:rPr>
          <w:rFonts w:hint="eastAsia" w:ascii="仿宋" w:hAnsi="仿宋" w:eastAsia="仿宋" w:cs="仿宋"/>
          <w:sz w:val="24"/>
          <w:szCs w:val="24"/>
          <w:lang w:val="en-US" w:eastAsia="zh-CN"/>
        </w:rPr>
      </w:pPr>
      <w:bookmarkStart w:id="64" w:name="_Toc4831"/>
      <w:bookmarkStart w:id="65" w:name="_Toc15065"/>
      <w:bookmarkStart w:id="66" w:name="_Toc8201"/>
      <w:r>
        <w:rPr>
          <w:rFonts w:hint="eastAsia" w:ascii="仿宋" w:hAnsi="仿宋" w:eastAsia="仿宋" w:cs="仿宋"/>
          <w:sz w:val="24"/>
          <w:szCs w:val="24"/>
          <w:lang w:val="en-US" w:eastAsia="zh-CN"/>
        </w:rPr>
        <w:t>评分情况：从项目金额能否及时发放对该指标进行评价：怀远县财政局于付2023年5月12日拨付52.5万元至怀远县教育局平台，县教育局于2024年6月5日将资金拨付至各学校。</w:t>
      </w:r>
    </w:p>
    <w:p w14:paraId="2483D14C">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本次评价认为：拨付流程时间较长，产出时效指标扣2分，得4分。</w:t>
      </w:r>
    </w:p>
    <w:p w14:paraId="21A5F400">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4、产出成本（满分10分，实得10分）</w:t>
      </w:r>
      <w:bookmarkEnd w:id="64"/>
      <w:bookmarkEnd w:id="65"/>
      <w:bookmarkEnd w:id="66"/>
    </w:p>
    <w:p w14:paraId="6B44C466">
      <w:pPr>
        <w:spacing w:line="560" w:lineRule="exact"/>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指标解释：预算控制率=（实际发放资金/年初预算）×100%。</w:t>
      </w:r>
    </w:p>
    <w:p w14:paraId="11D118DA">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评分情况：通过财政授权支付额度到账通知书与财务支出明细，实际到账资金52.5万元已于2022年6月5日全部支出。预算控制率=实际支付资金/实际到位资金*100%，实际完成值为 100%。</w:t>
      </w:r>
    </w:p>
    <w:p w14:paraId="02CCD812">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本次评价认为：该项指标得10分。</w:t>
      </w:r>
    </w:p>
    <w:p w14:paraId="44F8B881">
      <w:pPr>
        <w:spacing w:line="560" w:lineRule="exact"/>
        <w:ind w:firstLine="240" w:firstLineChars="1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（四）项目效益情况（满分30分，实得30分）  </w:t>
      </w:r>
    </w:p>
    <w:p w14:paraId="08F1B1A5">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项目效益设立1个一级指标，4个二级指标和4个三级指标，具体指标情况如下：</w:t>
      </w:r>
    </w:p>
    <w:tbl>
      <w:tblPr>
        <w:tblStyle w:val="17"/>
        <w:tblpPr w:leftFromText="180" w:rightFromText="180" w:vertAnchor="text" w:horzAnchor="page" w:tblpX="1319" w:tblpY="48"/>
        <w:tblOverlap w:val="never"/>
        <w:tblW w:w="9929" w:type="dxa"/>
        <w:tblInd w:w="0"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autofit"/>
        <w:tblCellMar>
          <w:top w:w="0" w:type="dxa"/>
          <w:left w:w="0" w:type="dxa"/>
          <w:bottom w:w="0" w:type="dxa"/>
          <w:right w:w="0" w:type="dxa"/>
        </w:tblCellMar>
      </w:tblPr>
      <w:tblGrid>
        <w:gridCol w:w="912"/>
        <w:gridCol w:w="912"/>
        <w:gridCol w:w="926"/>
        <w:gridCol w:w="2091"/>
        <w:gridCol w:w="912"/>
        <w:gridCol w:w="2352"/>
        <w:gridCol w:w="912"/>
        <w:gridCol w:w="912"/>
      </w:tblGrid>
      <w:tr w14:paraId="5998D0E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692" w:hRule="atLeast"/>
        </w:trPr>
        <w:tc>
          <w:tcPr>
            <w:tcW w:w="912" w:type="dxa"/>
            <w:tcBorders>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6FC8E96E">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序号</w:t>
            </w:r>
          </w:p>
        </w:tc>
        <w:tc>
          <w:tcPr>
            <w:tcW w:w="912" w:type="dxa"/>
            <w:tcBorders>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7064D5A">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一级指 标</w:t>
            </w:r>
          </w:p>
        </w:tc>
        <w:tc>
          <w:tcPr>
            <w:tcW w:w="926" w:type="dxa"/>
            <w:tcBorders>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2AC77A3">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二级指 标</w:t>
            </w:r>
          </w:p>
        </w:tc>
        <w:tc>
          <w:tcPr>
            <w:tcW w:w="2091" w:type="dxa"/>
            <w:tcBorders>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D860C8F">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 级</w:t>
            </w:r>
          </w:p>
          <w:p w14:paraId="65615A68">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 标</w:t>
            </w:r>
          </w:p>
        </w:tc>
        <w:tc>
          <w:tcPr>
            <w:tcW w:w="912" w:type="dxa"/>
            <w:tcBorders>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0534120">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标准分 值</w:t>
            </w:r>
          </w:p>
        </w:tc>
        <w:tc>
          <w:tcPr>
            <w:tcW w:w="2352" w:type="dxa"/>
            <w:tcBorders>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940C6ED">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评价情况</w:t>
            </w:r>
          </w:p>
        </w:tc>
        <w:tc>
          <w:tcPr>
            <w:tcW w:w="912" w:type="dxa"/>
            <w:tcBorders>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86B1D05">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得分</w:t>
            </w:r>
          </w:p>
        </w:tc>
        <w:tc>
          <w:tcPr>
            <w:tcW w:w="912" w:type="dxa"/>
            <w:tcBorders>
              <w:left w:val="nil"/>
              <w:bottom w:val="single" w:color="000000" w:sz="8" w:space="0"/>
            </w:tcBorders>
            <w:shd w:val="clear" w:color="auto" w:fill="FFFFFF"/>
            <w:noWrap w:val="0"/>
            <w:tcMar>
              <w:top w:w="0" w:type="dxa"/>
              <w:left w:w="108" w:type="dxa"/>
              <w:bottom w:w="0" w:type="dxa"/>
              <w:right w:w="108" w:type="dxa"/>
            </w:tcMar>
            <w:vAlign w:val="center"/>
          </w:tcPr>
          <w:p w14:paraId="288D179B">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扣分</w:t>
            </w:r>
          </w:p>
        </w:tc>
      </w:tr>
      <w:tr w14:paraId="4774A9BA">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3033" w:hRule="atLeast"/>
        </w:trPr>
        <w:tc>
          <w:tcPr>
            <w:tcW w:w="912" w:type="dxa"/>
            <w:tcBorders>
              <w:top w:val="nil"/>
              <w:bottom w:val="single" w:color="000000" w:sz="8" w:space="0"/>
              <w:right w:val="single" w:color="000000" w:sz="8" w:space="0"/>
            </w:tcBorders>
            <w:shd w:val="clear" w:color="auto" w:fill="auto"/>
            <w:noWrap w:val="0"/>
            <w:tcMar>
              <w:top w:w="0" w:type="dxa"/>
              <w:left w:w="108" w:type="dxa"/>
              <w:bottom w:w="0" w:type="dxa"/>
              <w:right w:w="108" w:type="dxa"/>
            </w:tcMar>
            <w:vAlign w:val="center"/>
          </w:tcPr>
          <w:p w14:paraId="097773BA">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w:t>
            </w:r>
          </w:p>
        </w:tc>
        <w:tc>
          <w:tcPr>
            <w:tcW w:w="912" w:type="dxa"/>
            <w:vMerge w:val="restart"/>
            <w:tcBorders>
              <w:top w:val="nil"/>
              <w:left w:val="single" w:color="000000" w:sz="8" w:space="0"/>
              <w:right w:val="single" w:color="000000" w:sz="8" w:space="0"/>
            </w:tcBorders>
            <w:shd w:val="clear" w:color="auto" w:fill="auto"/>
            <w:noWrap w:val="0"/>
            <w:tcMar>
              <w:top w:w="0" w:type="dxa"/>
              <w:left w:w="108" w:type="dxa"/>
              <w:bottom w:w="0" w:type="dxa"/>
              <w:right w:w="108" w:type="dxa"/>
            </w:tcMar>
            <w:vAlign w:val="center"/>
          </w:tcPr>
          <w:p w14:paraId="10E4298D">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效益指标（30分）</w:t>
            </w:r>
          </w:p>
        </w:tc>
        <w:tc>
          <w:tcPr>
            <w:tcW w:w="926" w:type="dxa"/>
            <w:tcBorders>
              <w:top w:val="nil"/>
              <w:left w:val="nil"/>
              <w:bottom w:val="single" w:color="000000" w:sz="8" w:space="0"/>
              <w:right w:val="single" w:color="000000" w:sz="8" w:space="0"/>
            </w:tcBorders>
            <w:shd w:val="clear" w:color="auto" w:fill="auto"/>
            <w:noWrap w:val="0"/>
            <w:tcMar>
              <w:top w:w="0" w:type="dxa"/>
              <w:left w:w="108" w:type="dxa"/>
              <w:bottom w:w="0" w:type="dxa"/>
              <w:right w:w="108" w:type="dxa"/>
            </w:tcMar>
            <w:vAlign w:val="center"/>
          </w:tcPr>
          <w:p w14:paraId="34A3107D">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社会效益（8分）</w:t>
            </w:r>
          </w:p>
        </w:tc>
        <w:tc>
          <w:tcPr>
            <w:tcW w:w="2091"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BF05EA6">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提升全县教育教学水平</w:t>
            </w:r>
          </w:p>
        </w:tc>
        <w:tc>
          <w:tcPr>
            <w:tcW w:w="91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5205F89">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235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6674427B">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根据怀教体〔2022〕40号关于2021-2022学年度学校目标管理督导考核结果的通报，奖励优秀学校，号召全县学校向优秀学校学习。</w:t>
            </w:r>
          </w:p>
        </w:tc>
        <w:tc>
          <w:tcPr>
            <w:tcW w:w="91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F9150BE">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912" w:type="dxa"/>
            <w:tcBorders>
              <w:top w:val="nil"/>
              <w:left w:val="nil"/>
              <w:bottom w:val="single" w:color="000000" w:sz="8" w:space="0"/>
            </w:tcBorders>
            <w:shd w:val="clear" w:color="auto" w:fill="FFFFFF"/>
            <w:noWrap w:val="0"/>
            <w:tcMar>
              <w:top w:w="0" w:type="dxa"/>
              <w:left w:w="108" w:type="dxa"/>
              <w:bottom w:w="0" w:type="dxa"/>
              <w:right w:w="108" w:type="dxa"/>
            </w:tcMar>
            <w:vAlign w:val="center"/>
          </w:tcPr>
          <w:p w14:paraId="596C395B">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r>
      <w:tr w14:paraId="560C24B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1137" w:hRule="atLeast"/>
        </w:trPr>
        <w:tc>
          <w:tcPr>
            <w:tcW w:w="912" w:type="dxa"/>
            <w:tcBorders>
              <w:top w:val="nil"/>
              <w:bottom w:val="single" w:color="000000" w:sz="8" w:space="0"/>
              <w:right w:val="single" w:color="000000" w:sz="8" w:space="0"/>
            </w:tcBorders>
            <w:shd w:val="clear" w:color="auto" w:fill="auto"/>
            <w:noWrap w:val="0"/>
            <w:vAlign w:val="center"/>
          </w:tcPr>
          <w:p w14:paraId="2FC4EA23">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18</w:t>
            </w:r>
          </w:p>
        </w:tc>
        <w:tc>
          <w:tcPr>
            <w:tcW w:w="912" w:type="dxa"/>
            <w:vMerge w:val="continue"/>
            <w:tcBorders>
              <w:left w:val="single" w:color="000000" w:sz="8" w:space="0"/>
              <w:right w:val="single" w:color="000000" w:sz="8" w:space="0"/>
            </w:tcBorders>
            <w:shd w:val="clear" w:color="auto" w:fill="auto"/>
            <w:noWrap w:val="0"/>
            <w:vAlign w:val="center"/>
          </w:tcPr>
          <w:p w14:paraId="6BBE5F23">
            <w:pPr>
              <w:spacing w:line="560" w:lineRule="exact"/>
              <w:ind w:firstLine="480" w:firstLineChars="200"/>
              <w:rPr>
                <w:rFonts w:hint="eastAsia" w:ascii="仿宋" w:hAnsi="仿宋" w:eastAsia="仿宋" w:cs="仿宋"/>
                <w:sz w:val="24"/>
                <w:szCs w:val="24"/>
                <w:lang w:val="en-US" w:eastAsia="zh-CN"/>
              </w:rPr>
            </w:pPr>
          </w:p>
        </w:tc>
        <w:tc>
          <w:tcPr>
            <w:tcW w:w="926" w:type="dxa"/>
            <w:tcBorders>
              <w:top w:val="nil"/>
              <w:left w:val="nil"/>
              <w:bottom w:val="single" w:color="000000" w:sz="8" w:space="0"/>
              <w:right w:val="single" w:color="000000" w:sz="8" w:space="0"/>
            </w:tcBorders>
            <w:shd w:val="clear" w:color="auto" w:fill="auto"/>
            <w:noWrap w:val="0"/>
            <w:tcMar>
              <w:top w:w="0" w:type="dxa"/>
              <w:left w:w="108" w:type="dxa"/>
              <w:bottom w:w="0" w:type="dxa"/>
              <w:right w:w="108" w:type="dxa"/>
            </w:tcMar>
            <w:vAlign w:val="center"/>
          </w:tcPr>
          <w:p w14:paraId="796F1F44">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经济效益（6分）</w:t>
            </w:r>
          </w:p>
        </w:tc>
        <w:tc>
          <w:tcPr>
            <w:tcW w:w="2091"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5BBEEE7">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发挥奖金最大的效益</w:t>
            </w:r>
          </w:p>
        </w:tc>
        <w:tc>
          <w:tcPr>
            <w:tcW w:w="91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FDFA592">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w:t>
            </w:r>
          </w:p>
        </w:tc>
        <w:tc>
          <w:tcPr>
            <w:tcW w:w="235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D64CDDC">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受表彰学校能获得资金支持，用于激励教师，改善环境等，以此来提高学校办学条件及教学水平。</w:t>
            </w:r>
          </w:p>
        </w:tc>
        <w:tc>
          <w:tcPr>
            <w:tcW w:w="91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694AA0CF">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w:t>
            </w:r>
          </w:p>
        </w:tc>
        <w:tc>
          <w:tcPr>
            <w:tcW w:w="912" w:type="dxa"/>
            <w:tcBorders>
              <w:top w:val="nil"/>
              <w:left w:val="nil"/>
              <w:bottom w:val="single" w:color="000000" w:sz="8" w:space="0"/>
            </w:tcBorders>
            <w:shd w:val="clear" w:color="auto" w:fill="FFFFFF"/>
            <w:noWrap w:val="0"/>
            <w:tcMar>
              <w:top w:w="0" w:type="dxa"/>
              <w:left w:w="108" w:type="dxa"/>
              <w:bottom w:w="0" w:type="dxa"/>
              <w:right w:w="108" w:type="dxa"/>
            </w:tcMar>
            <w:vAlign w:val="center"/>
          </w:tcPr>
          <w:p w14:paraId="543885AA">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r>
      <w:tr w14:paraId="3301A20A">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1365" w:hRule="atLeast"/>
        </w:trPr>
        <w:tc>
          <w:tcPr>
            <w:tcW w:w="912" w:type="dxa"/>
            <w:tcBorders>
              <w:top w:val="nil"/>
              <w:bottom w:val="single" w:color="000000" w:sz="8" w:space="0"/>
              <w:right w:val="single" w:color="000000" w:sz="8" w:space="0"/>
            </w:tcBorders>
            <w:shd w:val="clear" w:color="auto" w:fill="auto"/>
            <w:noWrap w:val="0"/>
            <w:vAlign w:val="center"/>
          </w:tcPr>
          <w:p w14:paraId="0541F70F">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w:t>
            </w:r>
          </w:p>
        </w:tc>
        <w:tc>
          <w:tcPr>
            <w:tcW w:w="912" w:type="dxa"/>
            <w:vMerge w:val="continue"/>
            <w:tcBorders>
              <w:left w:val="single" w:color="000000" w:sz="8" w:space="0"/>
              <w:right w:val="single" w:color="000000" w:sz="8" w:space="0"/>
            </w:tcBorders>
            <w:shd w:val="clear" w:color="auto" w:fill="auto"/>
            <w:noWrap w:val="0"/>
            <w:vAlign w:val="center"/>
          </w:tcPr>
          <w:p w14:paraId="3CCB3573">
            <w:pPr>
              <w:spacing w:line="560" w:lineRule="exact"/>
              <w:ind w:firstLine="480" w:firstLineChars="200"/>
              <w:rPr>
                <w:rFonts w:hint="eastAsia" w:ascii="仿宋" w:hAnsi="仿宋" w:eastAsia="仿宋" w:cs="仿宋"/>
                <w:sz w:val="24"/>
                <w:szCs w:val="24"/>
                <w:lang w:val="en-US" w:eastAsia="zh-CN"/>
              </w:rPr>
            </w:pPr>
          </w:p>
        </w:tc>
        <w:tc>
          <w:tcPr>
            <w:tcW w:w="926" w:type="dxa"/>
            <w:tcBorders>
              <w:top w:val="nil"/>
              <w:left w:val="nil"/>
              <w:bottom w:val="single" w:color="000000" w:sz="8" w:space="0"/>
              <w:right w:val="single" w:color="000000" w:sz="8" w:space="0"/>
            </w:tcBorders>
            <w:shd w:val="clear" w:color="auto" w:fill="auto"/>
            <w:noWrap w:val="0"/>
            <w:tcMar>
              <w:top w:w="0" w:type="dxa"/>
              <w:left w:w="108" w:type="dxa"/>
              <w:bottom w:w="0" w:type="dxa"/>
              <w:right w:w="108" w:type="dxa"/>
            </w:tcMar>
            <w:vAlign w:val="center"/>
          </w:tcPr>
          <w:p w14:paraId="29813032">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可持续影响指标（8分）</w:t>
            </w:r>
          </w:p>
        </w:tc>
        <w:tc>
          <w:tcPr>
            <w:tcW w:w="2091"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1759292">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促进教职工的身心健康，提升教育教学工作能力</w:t>
            </w:r>
          </w:p>
        </w:tc>
        <w:tc>
          <w:tcPr>
            <w:tcW w:w="91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BBD9B09">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235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62308245">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学校将资金用于激励教师，改善教学环境，以此来调动我县教师团队工作积极性、主动性和创新性，促进教职工的身心健康。</w:t>
            </w:r>
          </w:p>
        </w:tc>
        <w:tc>
          <w:tcPr>
            <w:tcW w:w="91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1C88C79">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912" w:type="dxa"/>
            <w:tcBorders>
              <w:top w:val="nil"/>
              <w:left w:val="nil"/>
              <w:bottom w:val="single" w:color="000000" w:sz="8" w:space="0"/>
            </w:tcBorders>
            <w:shd w:val="clear" w:color="auto" w:fill="FFFFFF"/>
            <w:noWrap w:val="0"/>
            <w:tcMar>
              <w:top w:w="0" w:type="dxa"/>
              <w:left w:w="108" w:type="dxa"/>
              <w:bottom w:w="0" w:type="dxa"/>
              <w:right w:w="108" w:type="dxa"/>
            </w:tcMar>
            <w:vAlign w:val="center"/>
          </w:tcPr>
          <w:p w14:paraId="7C6134B0">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r>
      <w:tr w14:paraId="1D393E3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1365" w:hRule="atLeast"/>
        </w:trPr>
        <w:tc>
          <w:tcPr>
            <w:tcW w:w="912" w:type="dxa"/>
            <w:tcBorders>
              <w:top w:val="nil"/>
              <w:bottom w:val="single" w:color="000000" w:sz="8" w:space="0"/>
              <w:right w:val="single" w:color="000000" w:sz="8" w:space="0"/>
            </w:tcBorders>
            <w:shd w:val="clear" w:color="auto" w:fill="auto"/>
            <w:noWrap w:val="0"/>
            <w:vAlign w:val="center"/>
          </w:tcPr>
          <w:p w14:paraId="068DD67B">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w:t>
            </w:r>
          </w:p>
        </w:tc>
        <w:tc>
          <w:tcPr>
            <w:tcW w:w="912" w:type="dxa"/>
            <w:vMerge w:val="continue"/>
            <w:tcBorders>
              <w:left w:val="single" w:color="000000" w:sz="8" w:space="0"/>
              <w:bottom w:val="single" w:color="000000" w:sz="8" w:space="0"/>
              <w:right w:val="single" w:color="000000" w:sz="8" w:space="0"/>
            </w:tcBorders>
            <w:shd w:val="clear" w:color="auto" w:fill="auto"/>
            <w:noWrap w:val="0"/>
            <w:vAlign w:val="center"/>
          </w:tcPr>
          <w:p w14:paraId="4EAD2466">
            <w:pPr>
              <w:spacing w:line="560" w:lineRule="exact"/>
              <w:ind w:firstLine="480" w:firstLineChars="200"/>
              <w:rPr>
                <w:rFonts w:hint="eastAsia" w:ascii="仿宋" w:hAnsi="仿宋" w:eastAsia="仿宋" w:cs="仿宋"/>
                <w:sz w:val="24"/>
                <w:szCs w:val="24"/>
                <w:lang w:val="en-US" w:eastAsia="zh-CN"/>
              </w:rPr>
            </w:pPr>
          </w:p>
        </w:tc>
        <w:tc>
          <w:tcPr>
            <w:tcW w:w="926" w:type="dxa"/>
            <w:tcBorders>
              <w:top w:val="nil"/>
              <w:left w:val="nil"/>
              <w:bottom w:val="single" w:color="000000" w:sz="8" w:space="0"/>
              <w:right w:val="single" w:color="000000" w:sz="8" w:space="0"/>
            </w:tcBorders>
            <w:shd w:val="clear" w:color="auto" w:fill="auto"/>
            <w:noWrap w:val="0"/>
            <w:tcMar>
              <w:top w:w="0" w:type="dxa"/>
              <w:left w:w="108" w:type="dxa"/>
              <w:bottom w:w="0" w:type="dxa"/>
              <w:right w:w="108" w:type="dxa"/>
            </w:tcMar>
            <w:vAlign w:val="center"/>
          </w:tcPr>
          <w:p w14:paraId="640576A6">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满意度（8分）</w:t>
            </w:r>
          </w:p>
        </w:tc>
        <w:tc>
          <w:tcPr>
            <w:tcW w:w="2091"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ECC27A3">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服务对象满意度</w:t>
            </w:r>
          </w:p>
        </w:tc>
        <w:tc>
          <w:tcPr>
            <w:tcW w:w="91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691CB63">
            <w:pPr>
              <w:spacing w:line="560" w:lineRule="exact"/>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w:t>
            </w:r>
          </w:p>
        </w:tc>
        <w:tc>
          <w:tcPr>
            <w:tcW w:w="235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B993166">
            <w:pPr>
              <w:spacing w:line="560" w:lineRule="exac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通过对学校教师的调查走访，获取对项目实施效果的满意程度。本项目满意度依据评分为95%</w:t>
            </w:r>
          </w:p>
        </w:tc>
        <w:tc>
          <w:tcPr>
            <w:tcW w:w="91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D0C7BE1">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912" w:type="dxa"/>
            <w:tcBorders>
              <w:top w:val="nil"/>
              <w:left w:val="nil"/>
              <w:bottom w:val="single" w:color="000000" w:sz="8" w:space="0"/>
            </w:tcBorders>
            <w:shd w:val="clear" w:color="auto" w:fill="FFFFFF"/>
            <w:noWrap w:val="0"/>
            <w:tcMar>
              <w:top w:w="0" w:type="dxa"/>
              <w:left w:w="108" w:type="dxa"/>
              <w:bottom w:w="0" w:type="dxa"/>
              <w:right w:w="108" w:type="dxa"/>
            </w:tcMar>
            <w:vAlign w:val="center"/>
          </w:tcPr>
          <w:p w14:paraId="5D243C78">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r>
      <w:tr w14:paraId="1EC01910">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672" w:hRule="atLeast"/>
        </w:trPr>
        <w:tc>
          <w:tcPr>
            <w:tcW w:w="912" w:type="dxa"/>
            <w:tcBorders>
              <w:top w:val="nil"/>
              <w:right w:val="single" w:color="000000" w:sz="8" w:space="0"/>
            </w:tcBorders>
            <w:shd w:val="clear" w:color="auto" w:fill="auto"/>
            <w:noWrap w:val="0"/>
            <w:tcMar>
              <w:top w:w="0" w:type="dxa"/>
              <w:left w:w="108" w:type="dxa"/>
              <w:bottom w:w="0" w:type="dxa"/>
              <w:right w:w="108" w:type="dxa"/>
            </w:tcMar>
            <w:vAlign w:val="center"/>
          </w:tcPr>
          <w:p w14:paraId="2DCED72B">
            <w:pPr>
              <w:spacing w:line="560" w:lineRule="exact"/>
              <w:ind w:firstLine="480" w:firstLineChars="200"/>
              <w:rPr>
                <w:rFonts w:hint="eastAsia" w:ascii="仿宋" w:hAnsi="仿宋" w:eastAsia="仿宋" w:cs="仿宋"/>
                <w:sz w:val="24"/>
                <w:szCs w:val="24"/>
                <w:lang w:val="en-US" w:eastAsia="zh-CN"/>
              </w:rPr>
            </w:pPr>
          </w:p>
        </w:tc>
        <w:tc>
          <w:tcPr>
            <w:tcW w:w="7193" w:type="dxa"/>
            <w:gridSpan w:val="5"/>
            <w:tcBorders>
              <w:top w:val="nil"/>
              <w:left w:val="single" w:color="000000" w:sz="8" w:space="0"/>
              <w:right w:val="single" w:color="000000" w:sz="8" w:space="0"/>
            </w:tcBorders>
            <w:shd w:val="clear" w:color="auto" w:fill="auto"/>
            <w:noWrap w:val="0"/>
            <w:tcMar>
              <w:top w:w="0" w:type="dxa"/>
              <w:left w:w="108" w:type="dxa"/>
              <w:bottom w:w="0" w:type="dxa"/>
              <w:right w:w="108" w:type="dxa"/>
            </w:tcMar>
            <w:vAlign w:val="center"/>
          </w:tcPr>
          <w:p w14:paraId="44EB76A9">
            <w:pPr>
              <w:spacing w:line="560" w:lineRule="exact"/>
              <w:ind w:firstLine="480" w:firstLineChars="20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小计</w:t>
            </w:r>
          </w:p>
        </w:tc>
        <w:tc>
          <w:tcPr>
            <w:tcW w:w="912" w:type="dxa"/>
            <w:tcBorders>
              <w:top w:val="nil"/>
              <w:left w:val="nil"/>
              <w:right w:val="single" w:color="000000" w:sz="8" w:space="0"/>
            </w:tcBorders>
            <w:shd w:val="clear" w:color="auto" w:fill="FFFFFF"/>
            <w:noWrap w:val="0"/>
            <w:tcMar>
              <w:top w:w="0" w:type="dxa"/>
              <w:left w:w="108" w:type="dxa"/>
              <w:bottom w:w="0" w:type="dxa"/>
              <w:right w:w="108" w:type="dxa"/>
            </w:tcMar>
            <w:vAlign w:val="center"/>
          </w:tcPr>
          <w:p w14:paraId="50E70BB6">
            <w:pPr>
              <w:spacing w:line="560" w:lineRule="exac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30</w:t>
            </w:r>
          </w:p>
        </w:tc>
        <w:tc>
          <w:tcPr>
            <w:tcW w:w="912" w:type="dxa"/>
            <w:tcBorders>
              <w:top w:val="nil"/>
              <w:left w:val="nil"/>
            </w:tcBorders>
            <w:shd w:val="clear" w:color="auto" w:fill="FFFFFF"/>
            <w:noWrap w:val="0"/>
            <w:tcMar>
              <w:top w:w="0" w:type="dxa"/>
              <w:left w:w="108" w:type="dxa"/>
              <w:bottom w:w="0" w:type="dxa"/>
              <w:right w:w="108" w:type="dxa"/>
            </w:tcMar>
            <w:vAlign w:val="center"/>
          </w:tcPr>
          <w:p w14:paraId="73698E43">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r>
    </w:tbl>
    <w:p w14:paraId="3704D53F">
      <w:pPr>
        <w:spacing w:line="560" w:lineRule="exact"/>
        <w:ind w:firstLine="480" w:firstLineChars="200"/>
        <w:rPr>
          <w:rFonts w:hint="eastAsia" w:ascii="仿宋" w:hAnsi="仿宋" w:eastAsia="仿宋" w:cs="仿宋"/>
          <w:sz w:val="24"/>
          <w:szCs w:val="24"/>
          <w:lang w:val="en-US" w:eastAsia="zh-CN"/>
        </w:rPr>
      </w:pPr>
      <w:bookmarkStart w:id="67" w:name="_Toc4495"/>
      <w:bookmarkStart w:id="68" w:name="_Toc6924"/>
      <w:r>
        <w:rPr>
          <w:rFonts w:hint="eastAsia" w:ascii="仿宋" w:hAnsi="仿宋" w:eastAsia="仿宋" w:cs="仿宋"/>
          <w:sz w:val="24"/>
          <w:szCs w:val="24"/>
          <w:lang w:val="en-US" w:eastAsia="zh-CN"/>
        </w:rPr>
        <w:t>1、社会效益（满分8分，实得8分）</w:t>
      </w:r>
      <w:bookmarkEnd w:id="67"/>
      <w:bookmarkEnd w:id="68"/>
    </w:p>
    <w:p w14:paraId="465D6E4C">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指标解释：项目实施对社会发展所带来的直接或间接影响情况。</w:t>
      </w:r>
    </w:p>
    <w:p w14:paraId="751F85EE">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评分情况：通过项目实施，带动全县学校向受表彰学校学习，进一步规范办学行为，提升怀远县全县学校的教育教学水平，激发全县办学活力，促进怀远县教育高质量发展。</w:t>
      </w:r>
    </w:p>
    <w:p w14:paraId="62E54A80">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本次评价认为：社会效益指标实际得分8分。</w:t>
      </w:r>
    </w:p>
    <w:p w14:paraId="56E1A44F">
      <w:pPr>
        <w:spacing w:line="560" w:lineRule="exact"/>
        <w:ind w:firstLine="480" w:firstLineChars="200"/>
        <w:rPr>
          <w:rFonts w:hint="eastAsia" w:ascii="仿宋" w:hAnsi="仿宋" w:eastAsia="仿宋" w:cs="仿宋"/>
          <w:sz w:val="24"/>
          <w:szCs w:val="24"/>
          <w:lang w:val="en-US" w:eastAsia="zh-CN"/>
        </w:rPr>
      </w:pPr>
      <w:bookmarkStart w:id="69" w:name="_Toc12852"/>
      <w:bookmarkStart w:id="70" w:name="_Toc28370"/>
      <w:bookmarkStart w:id="71" w:name="_Toc15316"/>
      <w:r>
        <w:rPr>
          <w:rFonts w:hint="eastAsia" w:ascii="仿宋" w:hAnsi="仿宋" w:eastAsia="仿宋" w:cs="仿宋"/>
          <w:sz w:val="24"/>
          <w:szCs w:val="24"/>
          <w:lang w:val="en-US" w:eastAsia="zh-CN"/>
        </w:rPr>
        <w:t>2、经济效益（满分6分，实得6分）</w:t>
      </w:r>
      <w:bookmarkEnd w:id="69"/>
      <w:bookmarkEnd w:id="70"/>
      <w:bookmarkEnd w:id="71"/>
    </w:p>
    <w:p w14:paraId="2BB76929">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指标解释：项目的实施为学校带来经济支持。</w:t>
      </w:r>
    </w:p>
    <w:p w14:paraId="390DB41F">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评分情况：受表彰学校能获得资金支持，用于激励教师，改善环境等，以此来提高学校办学条件及教学水平。</w:t>
      </w:r>
    </w:p>
    <w:p w14:paraId="785945BF">
      <w:pPr>
        <w:spacing w:line="560" w:lineRule="exact"/>
        <w:ind w:firstLine="480" w:firstLineChars="200"/>
        <w:rPr>
          <w:rFonts w:hint="eastAsia" w:ascii="仿宋" w:hAnsi="仿宋" w:eastAsia="仿宋" w:cs="仿宋"/>
          <w:sz w:val="24"/>
          <w:szCs w:val="24"/>
          <w:lang w:val="en-US" w:eastAsia="zh-CN"/>
        </w:rPr>
      </w:pPr>
      <w:bookmarkStart w:id="72" w:name="_Toc266"/>
      <w:bookmarkStart w:id="73" w:name="_Toc6626"/>
      <w:bookmarkStart w:id="74" w:name="_Toc26788"/>
      <w:r>
        <w:rPr>
          <w:rFonts w:hint="eastAsia" w:ascii="仿宋" w:hAnsi="仿宋" w:eastAsia="仿宋" w:cs="仿宋"/>
          <w:sz w:val="24"/>
          <w:szCs w:val="24"/>
          <w:lang w:val="en-US" w:eastAsia="zh-CN"/>
        </w:rPr>
        <w:t>本次评价认为：社会效益指标实际得分6分。</w:t>
      </w:r>
    </w:p>
    <w:p w14:paraId="2CD7FEBE">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3、可持续影响（满分8分，实得8分）</w:t>
      </w:r>
      <w:bookmarkEnd w:id="72"/>
      <w:bookmarkEnd w:id="73"/>
      <w:bookmarkEnd w:id="74"/>
    </w:p>
    <w:p w14:paraId="60616411">
      <w:pPr>
        <w:spacing w:line="560" w:lineRule="exact"/>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指标解释：本项目的实施，持续调动我县教师团队工作积极性、主动性和创新性,促进教职工的身心健康，提升教育教学工作能力。</w:t>
      </w:r>
    </w:p>
    <w:p w14:paraId="22EC1961">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评分情况：</w:t>
      </w:r>
      <w:bookmarkStart w:id="75" w:name="_Toc38031596"/>
      <w:r>
        <w:rPr>
          <w:rFonts w:hint="eastAsia" w:ascii="仿宋" w:hAnsi="仿宋" w:eastAsia="仿宋" w:cs="仿宋"/>
          <w:sz w:val="24"/>
          <w:szCs w:val="24"/>
          <w:lang w:val="en-US" w:eastAsia="zh-CN"/>
        </w:rPr>
        <w:t>禹王中学将教育教学质量提升奖金2.5万元全部用于购置教室护眼灯，育人中学将教育教学质量提升奖金35万元全部用于对优秀教师奖励及承担外出培训学习费用；开放大学将教育教学质量提升奖金15万元全部用于用于教师培训费差旅费及办公费等项目，充分调动了我县教师团队工作积极性、主动性和创新性，促进教职工的身心健康。</w:t>
      </w:r>
    </w:p>
    <w:p w14:paraId="4D868213">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本次评价认为：可持续影响指标实际得分8分。</w:t>
      </w:r>
    </w:p>
    <w:bookmarkEnd w:id="75"/>
    <w:p w14:paraId="0A9B28DF">
      <w:pPr>
        <w:spacing w:line="560" w:lineRule="exact"/>
        <w:ind w:firstLine="480" w:firstLineChars="200"/>
        <w:rPr>
          <w:rFonts w:hint="eastAsia" w:ascii="仿宋" w:hAnsi="仿宋" w:eastAsia="仿宋" w:cs="仿宋"/>
          <w:sz w:val="24"/>
          <w:szCs w:val="24"/>
          <w:highlight w:val="none"/>
          <w:lang w:val="en-US" w:eastAsia="zh-CN"/>
        </w:rPr>
      </w:pPr>
      <w:bookmarkStart w:id="76" w:name="_Toc18073"/>
      <w:bookmarkStart w:id="77" w:name="_Toc24508"/>
      <w:bookmarkStart w:id="78" w:name="_Toc11574"/>
      <w:r>
        <w:rPr>
          <w:rFonts w:hint="eastAsia" w:ascii="仿宋" w:hAnsi="仿宋" w:eastAsia="仿宋" w:cs="仿宋"/>
          <w:sz w:val="24"/>
          <w:szCs w:val="24"/>
          <w:highlight w:val="none"/>
          <w:lang w:val="en-US" w:eastAsia="zh-CN"/>
        </w:rPr>
        <w:t>4、满意度（满分8分，实得8分）</w:t>
      </w:r>
      <w:bookmarkEnd w:id="76"/>
      <w:bookmarkEnd w:id="77"/>
      <w:bookmarkEnd w:id="78"/>
    </w:p>
    <w:p w14:paraId="245B65FB">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指标解释：社会公众或服务对象对项目实施效果的满意程度。</w:t>
      </w:r>
    </w:p>
    <w:p w14:paraId="41D57478">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评分情况：电话回访服务对象对项目实施效果的满意程度为95%。</w:t>
      </w:r>
    </w:p>
    <w:p w14:paraId="2C3FFDE6">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本次评价认为：满意度指标实际得分8分。</w:t>
      </w:r>
    </w:p>
    <w:p w14:paraId="3077975D">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五、主要经验及做法</w:t>
      </w:r>
    </w:p>
    <w:p w14:paraId="676349DD">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（一）强化工作领导。</w:t>
      </w:r>
    </w:p>
    <w:p w14:paraId="497E1997">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加强党对教育工作的全面领导，充分发挥县委教育工作领导小组的作用，建立健全统筹决策、研究咨询、分工落买、督察督办、总结推广的工作机制，保障教育事业均衡健康持续发展。</w:t>
      </w:r>
      <w:r>
        <w:rPr>
          <w:rFonts w:hint="eastAsia" w:ascii="仿宋" w:hAnsi="仿宋" w:eastAsia="仿宋" w:cs="仿宋"/>
          <w:sz w:val="24"/>
          <w:szCs w:val="24"/>
          <w:highlight w:val="none"/>
          <w:lang w:val="en-US" w:eastAsia="zh-CN"/>
        </w:rPr>
        <w:br w:type="textWrapping"/>
      </w:r>
      <w:r>
        <w:rPr>
          <w:rFonts w:hint="eastAsia" w:ascii="仿宋" w:hAnsi="仿宋" w:eastAsia="仿宋" w:cs="仿宋"/>
          <w:sz w:val="24"/>
          <w:szCs w:val="24"/>
          <w:highlight w:val="none"/>
          <w:lang w:val="en-US" w:eastAsia="zh-CN"/>
        </w:rPr>
        <w:t xml:space="preserve">    （二）强化经费保障。</w:t>
      </w:r>
    </w:p>
    <w:p w14:paraId="0FE1A899">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教育教学保障经费总额800万元，其中高中日标管理希核保障经费300万元，初中目标管理考核保障经费100万元小学 幼儿园、学区管委会及其他类学校目标管理考核保障经事10万元，于海基汁划和新高青综合改革保障经费200万元，教和研、各类赛交其他保障经费100万元。</w:t>
      </w:r>
      <w:r>
        <w:rPr>
          <w:rFonts w:hint="eastAsia" w:ascii="仿宋" w:hAnsi="仿宋" w:eastAsia="仿宋" w:cs="仿宋"/>
          <w:sz w:val="24"/>
          <w:szCs w:val="24"/>
          <w:highlight w:val="none"/>
          <w:lang w:val="en-US" w:eastAsia="zh-CN"/>
        </w:rPr>
        <w:br w:type="textWrapping"/>
      </w:r>
      <w:r>
        <w:rPr>
          <w:rFonts w:hint="eastAsia" w:ascii="仿宋" w:hAnsi="仿宋" w:eastAsia="仿宋" w:cs="仿宋"/>
          <w:sz w:val="24"/>
          <w:szCs w:val="24"/>
          <w:highlight w:val="none"/>
          <w:lang w:val="en-US" w:eastAsia="zh-CN"/>
        </w:rPr>
        <w:t xml:space="preserve">    （三）强化督导考核。</w:t>
      </w:r>
    </w:p>
    <w:p w14:paraId="3E813683">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把提高教育教学质量纳入督查考核范围，作为评价乡镇党委，政府履行教育职责的重要内容。对在优化布局调整、办学方向、教学投入，学校建设、教师队伍、学校安全等方面存在严重问题的单位，依活依规追究相关责任。</w:t>
      </w:r>
    </w:p>
    <w:p w14:paraId="1CADA093">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六、项目存在的主要问题</w:t>
      </w:r>
    </w:p>
    <w:p w14:paraId="1C38323F">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（一）项目绩效目标设置明确性不足。</w:t>
      </w:r>
    </w:p>
    <w:p w14:paraId="57E66D9C">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项目绩效指标设置明确性不高，分类不够清晰，如经济效益指标的三级指标发挥奖金最大的效益设置较为模糊，绩效总体目标任务设置较为简单、笼统。</w:t>
      </w:r>
    </w:p>
    <w:p w14:paraId="7B8AB3A8">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（二）对绩效指标细化量化方面还不够准确。</w:t>
      </w:r>
    </w:p>
    <w:p w14:paraId="528823BE">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项目绩效指标细化程度不高，部分细化的三级指标与二级指标匹配性不高，如：经济效益指标中的发挥奖金最大的效益指标；质量指标、时效指标等量化不明确，社会效益指标中的提升全县教育教学水平指标难以界定成效。</w:t>
      </w:r>
    </w:p>
    <w:p w14:paraId="1BB220CB">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（三）项目资金管理有待提升。</w:t>
      </w:r>
    </w:p>
    <w:p w14:paraId="48B8C61A">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2023年怀远县教育局共拨付教育教学质量提升奖金15万元至123高考辅导班，根据123高考辅导班提供的资金支出明细，可以看出2023年该笔资金已使用145243.96元，剩余4756.04元未及时支出，而是结转至下年进行支付，县教育局未及时在当年督促单位支付，项目资金未发挥最大效益。</w:t>
      </w:r>
    </w:p>
    <w:p w14:paraId="68268B0A">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七、有关建议</w:t>
      </w:r>
    </w:p>
    <w:p w14:paraId="291DBB5B">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为进一步提高项目资金使用效益，针对存在的问题，提出如下建议：</w:t>
      </w:r>
    </w:p>
    <w:p w14:paraId="5F0D0DBA">
      <w:pPr>
        <w:pStyle w:val="2"/>
        <w:rPr>
          <w:rFonts w:hint="eastAsia"/>
          <w:lang w:val="en-US" w:eastAsia="zh-CN"/>
        </w:rPr>
      </w:pPr>
      <w:r>
        <w:rPr>
          <w:rFonts w:hint="eastAsia" w:ascii="仿宋" w:hAnsi="仿宋" w:eastAsia="仿宋" w:cs="仿宋"/>
          <w:sz w:val="24"/>
          <w:szCs w:val="24"/>
          <w:lang w:val="en-US" w:eastAsia="zh-CN"/>
        </w:rPr>
        <w:t>（一）完善绩效目标编制。</w:t>
      </w:r>
    </w:p>
    <w:p w14:paraId="29AFD3D2">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在编制年度绩效目标时，怀远县教育局应加强财务部门与项目实施部门之间的信息沟通，共同参与绩效目标编制，根据项目的实际情况、工作计划等合理设置绩效指标。</w:t>
      </w:r>
    </w:p>
    <w:p w14:paraId="76D175FE">
      <w:pPr>
        <w:spacing w:line="560" w:lineRule="exact"/>
        <w:ind w:firstLine="480" w:firstLineChars="200"/>
        <w:rPr>
          <w:rFonts w:hint="eastAsia"/>
          <w:lang w:val="en-US" w:eastAsia="zh-CN"/>
        </w:rPr>
      </w:pPr>
      <w:r>
        <w:rPr>
          <w:rFonts w:hint="eastAsia" w:ascii="仿宋" w:hAnsi="仿宋" w:eastAsia="仿宋" w:cs="仿宋"/>
          <w:sz w:val="24"/>
          <w:szCs w:val="24"/>
          <w:lang w:val="en-US" w:eastAsia="zh-CN"/>
        </w:rPr>
        <w:t>（二）</w:t>
      </w:r>
      <w:r>
        <w:rPr>
          <w:rFonts w:hint="eastAsia" w:ascii="仿宋_GB2312" w:hAnsi="Times New Roman" w:eastAsia="仿宋_GB2312" w:cs="Times New Roman"/>
          <w:sz w:val="24"/>
          <w:szCs w:val="24"/>
          <w:highlight w:val="none"/>
          <w:lang w:val="en-US" w:eastAsia="zh-CN"/>
        </w:rPr>
        <w:t>加强绩效管理学习</w:t>
      </w:r>
      <w:r>
        <w:rPr>
          <w:rFonts w:hint="eastAsia" w:ascii="仿宋" w:hAnsi="仿宋" w:eastAsia="仿宋" w:cs="仿宋"/>
          <w:sz w:val="24"/>
          <w:szCs w:val="24"/>
          <w:lang w:val="en-US" w:eastAsia="zh-CN"/>
        </w:rPr>
        <w:t>，细化绩效指标值。</w:t>
      </w:r>
    </w:p>
    <w:p w14:paraId="6099DCB9">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建议县教育局财务人员及业务人员加强县级绩效管理相关文件及项目库中的绩效目标模板的学习，结合工作实际，制定完整、细化、可衡量的绩效目标申报表，及提高绩效自评的能力，便于项目绩效管理。</w:t>
      </w:r>
    </w:p>
    <w:p w14:paraId="5B6A9D70">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（三）强化项目资金管理，监控项目资金支出及时性。</w:t>
      </w:r>
    </w:p>
    <w:p w14:paraId="44E73678">
      <w:pPr>
        <w:numPr>
          <w:ilvl w:val="0"/>
          <w:numId w:val="0"/>
        </w:num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怀远县教育局应强化项目资金管理，督促单位及时支出奖励金，同时监控单位支出是否合规，确保拨付的奖励资金落到实处，让资金能够发挥最大效益，促进怀远县教育高质量发展。</w:t>
      </w:r>
    </w:p>
    <w:p w14:paraId="0D2A5870">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八、其他需要说明的问题</w:t>
      </w:r>
    </w:p>
    <w:p w14:paraId="11D60A35">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无其他需要说明的问题。</w:t>
      </w:r>
    </w:p>
    <w:p w14:paraId="3468A8E6">
      <w:pPr>
        <w:pStyle w:val="2"/>
        <w:rPr>
          <w:rFonts w:hint="eastAsia" w:ascii="仿宋" w:hAnsi="仿宋" w:eastAsia="仿宋" w:cs="仿宋"/>
          <w:sz w:val="24"/>
          <w:szCs w:val="24"/>
          <w:highlight w:val="none"/>
          <w:lang w:val="en-US" w:eastAsia="zh-CN"/>
        </w:rPr>
      </w:pPr>
    </w:p>
    <w:p w14:paraId="704C2D93">
      <w:pPr>
        <w:pStyle w:val="2"/>
        <w:rPr>
          <w:rFonts w:hint="eastAsia" w:ascii="仿宋" w:hAnsi="仿宋" w:eastAsia="仿宋" w:cs="仿宋"/>
          <w:sz w:val="24"/>
          <w:szCs w:val="24"/>
          <w:highlight w:val="none"/>
          <w:lang w:val="en-US" w:eastAsia="zh-CN"/>
        </w:rPr>
      </w:pPr>
    </w:p>
    <w:p w14:paraId="1E0A7BCC">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附：</w:t>
      </w:r>
    </w:p>
    <w:p w14:paraId="47EE8C94">
      <w:p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1.2023年度“怀远县教育局教育教学质量提升奖项目支出绩效评价报告”项目绩效评价报告附表--指标体系</w:t>
      </w:r>
    </w:p>
    <w:p w14:paraId="6FD2B0AF">
      <w:pPr>
        <w:numPr>
          <w:ilvl w:val="0"/>
          <w:numId w:val="0"/>
        </w:num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highlight w:val="none"/>
          <w:lang w:val="en-US" w:eastAsia="zh-CN"/>
        </w:rPr>
        <w:t>2.2023年度“怀远县教育局教育教学质量提升奖”社会问卷调查统计分析表-服务对象</w:t>
      </w:r>
    </w:p>
    <w:p w14:paraId="3D9FBDDF">
      <w:pPr>
        <w:numPr>
          <w:ilvl w:val="0"/>
          <w:numId w:val="0"/>
        </w:numPr>
        <w:spacing w:line="560" w:lineRule="exact"/>
        <w:ind w:firstLine="480" w:firstLineChars="200"/>
        <w:rPr>
          <w:rFonts w:hint="eastAsia" w:ascii="仿宋" w:hAnsi="仿宋" w:eastAsia="仿宋" w:cs="仿宋"/>
          <w:sz w:val="24"/>
          <w:szCs w:val="24"/>
          <w:lang w:val="en-US" w:eastAsia="zh-CN"/>
        </w:rPr>
      </w:pPr>
    </w:p>
    <w:p w14:paraId="152F7A2B">
      <w:pPr>
        <w:spacing w:line="560" w:lineRule="exact"/>
        <w:rPr>
          <w:rFonts w:hint="eastAsia" w:ascii="仿宋" w:hAnsi="仿宋" w:eastAsia="仿宋" w:cs="仿宋"/>
          <w:sz w:val="24"/>
          <w:szCs w:val="24"/>
          <w:highlight w:val="yellow"/>
          <w:lang w:val="en-US" w:eastAsia="zh-CN"/>
        </w:rPr>
      </w:pPr>
    </w:p>
    <w:p w14:paraId="1E016F7E">
      <w:pPr>
        <w:pStyle w:val="2"/>
        <w:rPr>
          <w:rFonts w:hint="eastAsia" w:ascii="仿宋" w:hAnsi="仿宋" w:eastAsia="仿宋" w:cs="仿宋"/>
          <w:sz w:val="24"/>
          <w:szCs w:val="24"/>
          <w:lang w:val="en-US" w:eastAsia="zh-CN"/>
        </w:rPr>
      </w:pPr>
    </w:p>
    <w:p w14:paraId="0D59B9B4">
      <w:pPr>
        <w:pStyle w:val="2"/>
        <w:rPr>
          <w:rFonts w:hint="eastAsia" w:ascii="仿宋" w:hAnsi="仿宋" w:eastAsia="仿宋" w:cs="仿宋"/>
          <w:sz w:val="24"/>
          <w:szCs w:val="24"/>
          <w:lang w:val="en-US" w:eastAsia="zh-CN"/>
        </w:rPr>
      </w:pPr>
    </w:p>
    <w:p w14:paraId="66499455">
      <w:pPr>
        <w:pStyle w:val="2"/>
        <w:rPr>
          <w:rFonts w:hint="eastAsia" w:ascii="仿宋" w:hAnsi="仿宋" w:eastAsia="仿宋" w:cs="仿宋"/>
          <w:sz w:val="24"/>
          <w:szCs w:val="24"/>
          <w:lang w:val="en-US" w:eastAsia="zh-CN"/>
        </w:rPr>
      </w:pPr>
    </w:p>
    <w:p w14:paraId="432981B8">
      <w:pPr>
        <w:pStyle w:val="2"/>
        <w:rPr>
          <w:rFonts w:hint="eastAsia" w:ascii="仿宋" w:hAnsi="仿宋" w:eastAsia="仿宋" w:cs="仿宋"/>
          <w:sz w:val="24"/>
          <w:szCs w:val="24"/>
          <w:lang w:val="en-US" w:eastAsia="zh-CN"/>
        </w:rPr>
      </w:pPr>
    </w:p>
    <w:p w14:paraId="3247E141">
      <w:pPr>
        <w:pStyle w:val="2"/>
        <w:rPr>
          <w:rFonts w:hint="eastAsia" w:ascii="仿宋" w:hAnsi="仿宋" w:eastAsia="仿宋" w:cs="仿宋"/>
          <w:sz w:val="24"/>
          <w:szCs w:val="24"/>
          <w:lang w:val="en-US" w:eastAsia="zh-CN"/>
        </w:rPr>
      </w:pPr>
    </w:p>
    <w:p w14:paraId="62B6348D">
      <w:pPr>
        <w:pStyle w:val="2"/>
        <w:rPr>
          <w:rFonts w:hint="eastAsia" w:ascii="仿宋" w:hAnsi="仿宋" w:eastAsia="仿宋" w:cs="仿宋"/>
          <w:sz w:val="24"/>
          <w:szCs w:val="24"/>
          <w:lang w:val="en-US" w:eastAsia="zh-CN"/>
        </w:rPr>
      </w:pPr>
    </w:p>
    <w:p w14:paraId="03AC869B">
      <w:pPr>
        <w:pStyle w:val="2"/>
        <w:rPr>
          <w:rFonts w:hint="eastAsia" w:ascii="仿宋" w:hAnsi="仿宋" w:eastAsia="仿宋" w:cs="仿宋"/>
          <w:sz w:val="24"/>
          <w:szCs w:val="24"/>
          <w:lang w:val="en-US" w:eastAsia="zh-CN"/>
        </w:rPr>
      </w:pPr>
    </w:p>
    <w:p w14:paraId="680AD3D4">
      <w:pPr>
        <w:pStyle w:val="2"/>
        <w:rPr>
          <w:rFonts w:hint="eastAsia" w:ascii="仿宋" w:hAnsi="仿宋" w:eastAsia="仿宋" w:cs="仿宋"/>
          <w:sz w:val="24"/>
          <w:szCs w:val="24"/>
          <w:lang w:val="en-US" w:eastAsia="zh-CN"/>
        </w:rPr>
      </w:pPr>
    </w:p>
    <w:p w14:paraId="324A82FE">
      <w:pPr>
        <w:pStyle w:val="2"/>
        <w:ind w:left="0" w:leftChars="0" w:firstLine="0" w:firstLineChars="0"/>
        <w:rPr>
          <w:rFonts w:hint="eastAsia" w:ascii="仿宋" w:hAnsi="仿宋" w:eastAsia="仿宋" w:cs="仿宋"/>
          <w:sz w:val="24"/>
          <w:szCs w:val="24"/>
          <w:lang w:val="en-US" w:eastAsia="zh-CN"/>
        </w:rPr>
      </w:pPr>
    </w:p>
    <w:p w14:paraId="0DB4E3D8">
      <w:pPr>
        <w:spacing w:line="560" w:lineRule="exact"/>
        <w:ind w:firstLine="480" w:firstLineChars="200"/>
        <w:rPr>
          <w:rFonts w:hint="eastAsia" w:ascii="仿宋" w:hAnsi="仿宋" w:eastAsia="仿宋" w:cs="仿宋"/>
          <w:sz w:val="24"/>
          <w:szCs w:val="24"/>
          <w:lang w:val="en-US" w:eastAsia="zh-CN"/>
        </w:rPr>
      </w:pPr>
    </w:p>
    <w:p w14:paraId="0D4A476A">
      <w:pPr>
        <w:spacing w:line="560" w:lineRule="exact"/>
        <w:ind w:firstLine="480" w:firstLineChars="200"/>
        <w:rPr>
          <w:rFonts w:hint="eastAsia" w:ascii="仿宋" w:hAnsi="仿宋" w:eastAsia="仿宋" w:cs="仿宋"/>
          <w:sz w:val="24"/>
          <w:szCs w:val="24"/>
          <w:lang w:val="en-US" w:eastAsia="zh-CN"/>
        </w:rPr>
      </w:pPr>
    </w:p>
    <w:p w14:paraId="51EA0E24">
      <w:pPr>
        <w:spacing w:line="560" w:lineRule="exact"/>
        <w:ind w:firstLine="480" w:firstLineChars="200"/>
        <w:rPr>
          <w:rFonts w:hint="eastAsia" w:ascii="仿宋" w:hAnsi="仿宋" w:eastAsia="仿宋" w:cs="仿宋"/>
          <w:sz w:val="24"/>
          <w:szCs w:val="24"/>
          <w:lang w:val="en-US" w:eastAsia="zh-CN"/>
        </w:rPr>
      </w:pPr>
    </w:p>
    <w:tbl>
      <w:tblPr>
        <w:tblStyle w:val="17"/>
        <w:tblpPr w:leftFromText="180" w:rightFromText="180" w:vertAnchor="text" w:horzAnchor="page" w:tblpX="100" w:tblpY="-1111"/>
        <w:tblOverlap w:val="never"/>
        <w:tblW w:w="14510" w:type="dxa"/>
        <w:tblInd w:w="0" w:type="dxa"/>
        <w:tblLayout w:type="fixed"/>
        <w:tblCellMar>
          <w:top w:w="0" w:type="dxa"/>
          <w:left w:w="0" w:type="dxa"/>
          <w:bottom w:w="0" w:type="dxa"/>
          <w:right w:w="0" w:type="dxa"/>
        </w:tblCellMar>
      </w:tblPr>
      <w:tblGrid>
        <w:gridCol w:w="14510"/>
      </w:tblGrid>
      <w:tr w14:paraId="0D291497">
        <w:tblPrEx>
          <w:tblCellMar>
            <w:top w:w="0" w:type="dxa"/>
            <w:left w:w="0" w:type="dxa"/>
            <w:bottom w:w="0" w:type="dxa"/>
            <w:right w:w="0" w:type="dxa"/>
          </w:tblCellMar>
        </w:tblPrEx>
        <w:trPr>
          <w:trHeight w:val="915" w:hRule="atLeast"/>
        </w:trPr>
        <w:tc>
          <w:tcPr>
            <w:tcW w:w="14510" w:type="dxa"/>
            <w:noWrap/>
            <w:tcMar>
              <w:top w:w="0" w:type="dxa"/>
              <w:left w:w="108" w:type="dxa"/>
              <w:bottom w:w="0" w:type="dxa"/>
              <w:right w:w="108" w:type="dxa"/>
            </w:tcMar>
            <w:vAlign w:val="center"/>
          </w:tcPr>
          <w:p w14:paraId="1EC33F4B">
            <w:pPr>
              <w:spacing w:line="560" w:lineRule="exact"/>
              <w:ind w:firstLine="2880" w:firstLineChars="1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（此页无正文）</w:t>
            </w:r>
          </w:p>
        </w:tc>
      </w:tr>
    </w:tbl>
    <w:p w14:paraId="7888D015">
      <w:pPr>
        <w:spacing w:line="560" w:lineRule="exact"/>
        <w:ind w:firstLine="480" w:firstLineChars="200"/>
        <w:rPr>
          <w:rFonts w:hint="eastAsia" w:ascii="仿宋" w:hAnsi="仿宋" w:eastAsia="仿宋" w:cs="仿宋"/>
          <w:sz w:val="24"/>
          <w:szCs w:val="24"/>
          <w:lang w:val="en-US" w:eastAsia="zh-CN"/>
        </w:rPr>
      </w:pPr>
    </w:p>
    <w:p w14:paraId="7E4485E1">
      <w:pPr>
        <w:spacing w:line="560" w:lineRule="exact"/>
        <w:ind w:firstLine="480" w:firstLineChars="200"/>
        <w:rPr>
          <w:rFonts w:hint="eastAsia" w:ascii="仿宋" w:hAnsi="仿宋" w:eastAsia="仿宋" w:cs="仿宋"/>
          <w:sz w:val="24"/>
          <w:szCs w:val="24"/>
          <w:lang w:val="en-US" w:eastAsia="zh-CN"/>
        </w:rPr>
      </w:pPr>
    </w:p>
    <w:p w14:paraId="5DD8C038">
      <w:pPr>
        <w:spacing w:line="560" w:lineRule="exact"/>
        <w:ind w:firstLine="480" w:firstLineChars="200"/>
        <w:rPr>
          <w:rFonts w:hint="eastAsia" w:ascii="仿宋" w:hAnsi="仿宋" w:eastAsia="仿宋" w:cs="仿宋"/>
          <w:sz w:val="24"/>
          <w:szCs w:val="24"/>
          <w:lang w:val="en-US" w:eastAsia="zh-CN"/>
        </w:rPr>
      </w:pPr>
    </w:p>
    <w:p w14:paraId="1674DA00">
      <w:pPr>
        <w:spacing w:line="560" w:lineRule="exact"/>
        <w:ind w:firstLine="480" w:firstLineChars="200"/>
        <w:rPr>
          <w:rFonts w:hint="eastAsia" w:ascii="仿宋" w:hAnsi="仿宋" w:eastAsia="仿宋" w:cs="仿宋"/>
          <w:sz w:val="24"/>
          <w:szCs w:val="24"/>
          <w:lang w:val="en-US" w:eastAsia="zh-CN"/>
        </w:rPr>
      </w:pPr>
    </w:p>
    <w:p w14:paraId="2A184CDA">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安徽乔峰信息科技有限公司             主评人：  </w:t>
      </w:r>
    </w:p>
    <w:p w14:paraId="109541EF">
      <w:pPr>
        <w:spacing w:line="560" w:lineRule="exact"/>
        <w:ind w:firstLine="480" w:firstLineChars="200"/>
        <w:rPr>
          <w:rFonts w:hint="eastAsia" w:ascii="仿宋" w:hAnsi="仿宋" w:eastAsia="仿宋" w:cs="仿宋"/>
          <w:sz w:val="24"/>
          <w:szCs w:val="24"/>
          <w:lang w:val="en-US" w:eastAsia="zh-CN"/>
        </w:rPr>
      </w:pPr>
    </w:p>
    <w:p w14:paraId="460D8321">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主评人：</w:t>
      </w:r>
    </w:p>
    <w:p w14:paraId="35944EBF">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p>
    <w:p w14:paraId="069EF104">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p>
    <w:p w14:paraId="789FD60F">
      <w:pPr>
        <w:spacing w:line="560" w:lineRule="exact"/>
        <w:ind w:firstLine="4320" w:firstLineChars="18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2024年12月15日</w:t>
      </w:r>
    </w:p>
    <w:sectPr>
      <w:headerReference r:id="rId3" w:type="default"/>
      <w:footerReference r:id="rId4" w:type="default"/>
      <w:pgSz w:w="11906" w:h="16838"/>
      <w:pgMar w:top="1440" w:right="1800" w:bottom="127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roman"/>
    <w:pitch w:val="default"/>
    <w:sig w:usb0="00000001" w:usb1="080E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5F9EC7">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39B7D4">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539B7D4">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60D2A0">
    <w:pPr>
      <w:pStyle w:val="9"/>
      <w:pBdr>
        <w:bottom w:val="single" w:color="auto" w:sz="4" w:space="1"/>
      </w:pBdr>
      <w:jc w:val="center"/>
      <w:rPr>
        <w:sz w:val="21"/>
        <w:szCs w:val="21"/>
      </w:rPr>
    </w:pPr>
    <w:r>
      <w:rPr>
        <w:rFonts w:hint="eastAsia" w:ascii="仿宋" w:hAnsi="仿宋" w:eastAsia="仿宋" w:cs="仿宋"/>
        <w:b w:val="0"/>
        <w:bCs w:val="0"/>
        <w:color w:val="000000"/>
        <w:kern w:val="0"/>
        <w:sz w:val="20"/>
        <w:szCs w:val="20"/>
        <w:lang w:val="en-US" w:eastAsia="zh-CN"/>
      </w:rPr>
      <w:t>2023年度怀远县教育局教育教学质量提升奖项目支出绩效评价报告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015263"/>
    <w:multiLevelType w:val="singleLevel"/>
    <w:tmpl w:val="D4015263"/>
    <w:lvl w:ilvl="0" w:tentative="0">
      <w:start w:val="1"/>
      <w:numFmt w:val="chineseCounting"/>
      <w:suff w:val="nothing"/>
      <w:lvlText w:val="%1、"/>
      <w:lvlJc w:val="left"/>
      <w:rPr>
        <w:rFonts w:hint="eastAsia"/>
      </w:rPr>
    </w:lvl>
  </w:abstractNum>
  <w:abstractNum w:abstractNumId="1">
    <w:nsid w:val="D90E97E7"/>
    <w:multiLevelType w:val="singleLevel"/>
    <w:tmpl w:val="D90E97E7"/>
    <w:lvl w:ilvl="0" w:tentative="0">
      <w:start w:val="1"/>
      <w:numFmt w:val="decimal"/>
      <w:lvlText w:val="%1."/>
      <w:lvlJc w:val="left"/>
      <w:pPr>
        <w:tabs>
          <w:tab w:val="left" w:pos="312"/>
        </w:tabs>
      </w:pPr>
    </w:lvl>
  </w:abstractNum>
  <w:abstractNum w:abstractNumId="2">
    <w:nsid w:val="77E793D0"/>
    <w:multiLevelType w:val="singleLevel"/>
    <w:tmpl w:val="77E793D0"/>
    <w:lvl w:ilvl="0" w:tentative="0">
      <w:start w:val="2"/>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1OGFjNTJkOGUxYzIyMzQxNzhjMTFlOGE2MzhjZGYifQ=="/>
  </w:docVars>
  <w:rsids>
    <w:rsidRoot w:val="00433B5E"/>
    <w:rsid w:val="00433B5E"/>
    <w:rsid w:val="008848A5"/>
    <w:rsid w:val="00BB73CF"/>
    <w:rsid w:val="00C95404"/>
    <w:rsid w:val="00D459A3"/>
    <w:rsid w:val="00F172E3"/>
    <w:rsid w:val="011A24F4"/>
    <w:rsid w:val="012C2386"/>
    <w:rsid w:val="01587EBB"/>
    <w:rsid w:val="01695A1E"/>
    <w:rsid w:val="01946082"/>
    <w:rsid w:val="022C5E87"/>
    <w:rsid w:val="026220AC"/>
    <w:rsid w:val="027D0A58"/>
    <w:rsid w:val="02933024"/>
    <w:rsid w:val="02A831A2"/>
    <w:rsid w:val="02EB239A"/>
    <w:rsid w:val="02EB4DB0"/>
    <w:rsid w:val="02F96C46"/>
    <w:rsid w:val="034451A3"/>
    <w:rsid w:val="03BB1AB2"/>
    <w:rsid w:val="03CA0201"/>
    <w:rsid w:val="03CA1FAF"/>
    <w:rsid w:val="040E6340"/>
    <w:rsid w:val="0427765C"/>
    <w:rsid w:val="0428457E"/>
    <w:rsid w:val="063F7B4D"/>
    <w:rsid w:val="066927A1"/>
    <w:rsid w:val="069C40D7"/>
    <w:rsid w:val="06D6178A"/>
    <w:rsid w:val="06FD0228"/>
    <w:rsid w:val="0732440A"/>
    <w:rsid w:val="0764271A"/>
    <w:rsid w:val="07EA61A6"/>
    <w:rsid w:val="08005A40"/>
    <w:rsid w:val="08161483"/>
    <w:rsid w:val="08765411"/>
    <w:rsid w:val="08C47915"/>
    <w:rsid w:val="08FF5006"/>
    <w:rsid w:val="091F2A04"/>
    <w:rsid w:val="09903E00"/>
    <w:rsid w:val="0A2B5C12"/>
    <w:rsid w:val="0A921402"/>
    <w:rsid w:val="0ADF3911"/>
    <w:rsid w:val="0B085F27"/>
    <w:rsid w:val="0B34440D"/>
    <w:rsid w:val="0B6379F7"/>
    <w:rsid w:val="0BC31C2B"/>
    <w:rsid w:val="0D1D641F"/>
    <w:rsid w:val="0E4B63E2"/>
    <w:rsid w:val="0ED66DC8"/>
    <w:rsid w:val="0EDD528C"/>
    <w:rsid w:val="0F0D5446"/>
    <w:rsid w:val="10CA42EC"/>
    <w:rsid w:val="10F24115"/>
    <w:rsid w:val="1122242E"/>
    <w:rsid w:val="114208BC"/>
    <w:rsid w:val="11955B04"/>
    <w:rsid w:val="11FE0AFA"/>
    <w:rsid w:val="121921E1"/>
    <w:rsid w:val="130A128E"/>
    <w:rsid w:val="13737F6D"/>
    <w:rsid w:val="13AC11DA"/>
    <w:rsid w:val="13B77E0D"/>
    <w:rsid w:val="148278AB"/>
    <w:rsid w:val="14AD6CA4"/>
    <w:rsid w:val="15480228"/>
    <w:rsid w:val="159F0DA2"/>
    <w:rsid w:val="15F9400B"/>
    <w:rsid w:val="163B27BD"/>
    <w:rsid w:val="17C83F27"/>
    <w:rsid w:val="17E256C1"/>
    <w:rsid w:val="18564F55"/>
    <w:rsid w:val="185976FB"/>
    <w:rsid w:val="1A40332C"/>
    <w:rsid w:val="1A8B2040"/>
    <w:rsid w:val="1B4B4399"/>
    <w:rsid w:val="1C923DAD"/>
    <w:rsid w:val="1D5E45DF"/>
    <w:rsid w:val="1E3B17BF"/>
    <w:rsid w:val="1F795149"/>
    <w:rsid w:val="1F9A383D"/>
    <w:rsid w:val="1FDE3806"/>
    <w:rsid w:val="2010196E"/>
    <w:rsid w:val="2014250D"/>
    <w:rsid w:val="201A57B6"/>
    <w:rsid w:val="207827C2"/>
    <w:rsid w:val="20A166A9"/>
    <w:rsid w:val="20AF6BF1"/>
    <w:rsid w:val="20C932CD"/>
    <w:rsid w:val="210A4F98"/>
    <w:rsid w:val="21470C8B"/>
    <w:rsid w:val="2192416F"/>
    <w:rsid w:val="21C569DD"/>
    <w:rsid w:val="221A4562"/>
    <w:rsid w:val="22761872"/>
    <w:rsid w:val="22DF038C"/>
    <w:rsid w:val="236A65E4"/>
    <w:rsid w:val="23835431"/>
    <w:rsid w:val="24261DBA"/>
    <w:rsid w:val="244E5302"/>
    <w:rsid w:val="24B565F4"/>
    <w:rsid w:val="24D83084"/>
    <w:rsid w:val="257C7769"/>
    <w:rsid w:val="25816046"/>
    <w:rsid w:val="25EA7F30"/>
    <w:rsid w:val="26225FE1"/>
    <w:rsid w:val="264B04A7"/>
    <w:rsid w:val="265D41FA"/>
    <w:rsid w:val="27015200"/>
    <w:rsid w:val="27910AE6"/>
    <w:rsid w:val="287C7A8F"/>
    <w:rsid w:val="28A64B17"/>
    <w:rsid w:val="28CB5C60"/>
    <w:rsid w:val="297212F3"/>
    <w:rsid w:val="29EE3F0A"/>
    <w:rsid w:val="2A24365F"/>
    <w:rsid w:val="2A344976"/>
    <w:rsid w:val="2AB54EB7"/>
    <w:rsid w:val="2ACD3F13"/>
    <w:rsid w:val="2B4104F9"/>
    <w:rsid w:val="2B4B3F14"/>
    <w:rsid w:val="2B9B2E7E"/>
    <w:rsid w:val="2C181E89"/>
    <w:rsid w:val="2CBC7852"/>
    <w:rsid w:val="2CFB60AE"/>
    <w:rsid w:val="2D766B80"/>
    <w:rsid w:val="2E2E2284"/>
    <w:rsid w:val="2E556297"/>
    <w:rsid w:val="2ED17086"/>
    <w:rsid w:val="309E5A35"/>
    <w:rsid w:val="31E8264E"/>
    <w:rsid w:val="32B6787C"/>
    <w:rsid w:val="332D7CE1"/>
    <w:rsid w:val="334D0383"/>
    <w:rsid w:val="33C5616B"/>
    <w:rsid w:val="33ED7C29"/>
    <w:rsid w:val="343346E7"/>
    <w:rsid w:val="34B374B3"/>
    <w:rsid w:val="34F565F4"/>
    <w:rsid w:val="354237EC"/>
    <w:rsid w:val="35870F68"/>
    <w:rsid w:val="35FC0FEF"/>
    <w:rsid w:val="35FD74DC"/>
    <w:rsid w:val="36592B9B"/>
    <w:rsid w:val="376753FD"/>
    <w:rsid w:val="376B0518"/>
    <w:rsid w:val="37FB30C2"/>
    <w:rsid w:val="38521F98"/>
    <w:rsid w:val="390831EC"/>
    <w:rsid w:val="399203C5"/>
    <w:rsid w:val="39C3492C"/>
    <w:rsid w:val="3A5D511E"/>
    <w:rsid w:val="3AB01669"/>
    <w:rsid w:val="3C5D5ED4"/>
    <w:rsid w:val="3CF96E86"/>
    <w:rsid w:val="3DAE25F9"/>
    <w:rsid w:val="3DF5764D"/>
    <w:rsid w:val="3DFF04CC"/>
    <w:rsid w:val="3ED40D01"/>
    <w:rsid w:val="3EDB2A24"/>
    <w:rsid w:val="3F0B662D"/>
    <w:rsid w:val="3F7D1C70"/>
    <w:rsid w:val="404E11B5"/>
    <w:rsid w:val="405D3B07"/>
    <w:rsid w:val="40CB441E"/>
    <w:rsid w:val="40CF1BD4"/>
    <w:rsid w:val="4105229D"/>
    <w:rsid w:val="412B7DAA"/>
    <w:rsid w:val="42310C62"/>
    <w:rsid w:val="429569D3"/>
    <w:rsid w:val="42C722F0"/>
    <w:rsid w:val="43257827"/>
    <w:rsid w:val="441736AB"/>
    <w:rsid w:val="448C05DF"/>
    <w:rsid w:val="44B71B00"/>
    <w:rsid w:val="44E44CCC"/>
    <w:rsid w:val="454349DA"/>
    <w:rsid w:val="45CE218B"/>
    <w:rsid w:val="45FD7C97"/>
    <w:rsid w:val="465D0D29"/>
    <w:rsid w:val="47040901"/>
    <w:rsid w:val="47042BC4"/>
    <w:rsid w:val="471B28B4"/>
    <w:rsid w:val="495C20AE"/>
    <w:rsid w:val="49906E93"/>
    <w:rsid w:val="49DE18DD"/>
    <w:rsid w:val="4A7B7656"/>
    <w:rsid w:val="4ADA281F"/>
    <w:rsid w:val="4B056479"/>
    <w:rsid w:val="4B7B7F7A"/>
    <w:rsid w:val="4B95246F"/>
    <w:rsid w:val="4B9B255F"/>
    <w:rsid w:val="4C123DA1"/>
    <w:rsid w:val="4C2C6367"/>
    <w:rsid w:val="4D281794"/>
    <w:rsid w:val="4D3F3DDA"/>
    <w:rsid w:val="4ED9026B"/>
    <w:rsid w:val="4F697E9B"/>
    <w:rsid w:val="4F89667E"/>
    <w:rsid w:val="50474FE1"/>
    <w:rsid w:val="508807F5"/>
    <w:rsid w:val="50C73CF7"/>
    <w:rsid w:val="50E551FB"/>
    <w:rsid w:val="50F31D2C"/>
    <w:rsid w:val="50F65572"/>
    <w:rsid w:val="51B73C98"/>
    <w:rsid w:val="52460A9F"/>
    <w:rsid w:val="528212A5"/>
    <w:rsid w:val="537376DD"/>
    <w:rsid w:val="549239F0"/>
    <w:rsid w:val="549459BA"/>
    <w:rsid w:val="54DA2470"/>
    <w:rsid w:val="558C4D90"/>
    <w:rsid w:val="558E6908"/>
    <w:rsid w:val="55B338C7"/>
    <w:rsid w:val="55F5199E"/>
    <w:rsid w:val="57144254"/>
    <w:rsid w:val="57160908"/>
    <w:rsid w:val="572B3988"/>
    <w:rsid w:val="57EE718F"/>
    <w:rsid w:val="582924E0"/>
    <w:rsid w:val="58537FC0"/>
    <w:rsid w:val="58786E3D"/>
    <w:rsid w:val="58BA6A91"/>
    <w:rsid w:val="59E85C73"/>
    <w:rsid w:val="5A0F3A5D"/>
    <w:rsid w:val="5A164706"/>
    <w:rsid w:val="5A442E14"/>
    <w:rsid w:val="5A6A22D8"/>
    <w:rsid w:val="5AF80325"/>
    <w:rsid w:val="5B114F90"/>
    <w:rsid w:val="5B486F50"/>
    <w:rsid w:val="5C7B35C6"/>
    <w:rsid w:val="5D7358B6"/>
    <w:rsid w:val="5EEE4EC3"/>
    <w:rsid w:val="5FBA3DFB"/>
    <w:rsid w:val="602B7335"/>
    <w:rsid w:val="61886913"/>
    <w:rsid w:val="61B079A3"/>
    <w:rsid w:val="6215742C"/>
    <w:rsid w:val="622A5268"/>
    <w:rsid w:val="62521BBE"/>
    <w:rsid w:val="62F33B5C"/>
    <w:rsid w:val="63400ABB"/>
    <w:rsid w:val="644F6D15"/>
    <w:rsid w:val="64746C6E"/>
    <w:rsid w:val="64D42282"/>
    <w:rsid w:val="65102440"/>
    <w:rsid w:val="651A5FD7"/>
    <w:rsid w:val="658B24C1"/>
    <w:rsid w:val="65AF1157"/>
    <w:rsid w:val="6647487D"/>
    <w:rsid w:val="66644DA3"/>
    <w:rsid w:val="66645CD8"/>
    <w:rsid w:val="6682791F"/>
    <w:rsid w:val="669D32EF"/>
    <w:rsid w:val="672312B6"/>
    <w:rsid w:val="67673ED9"/>
    <w:rsid w:val="680F2547"/>
    <w:rsid w:val="689B3D17"/>
    <w:rsid w:val="68A85138"/>
    <w:rsid w:val="69025709"/>
    <w:rsid w:val="69052BBE"/>
    <w:rsid w:val="69D3741A"/>
    <w:rsid w:val="6A1967EB"/>
    <w:rsid w:val="6A2A3187"/>
    <w:rsid w:val="6AB1521D"/>
    <w:rsid w:val="6AD86EB6"/>
    <w:rsid w:val="6AF40117"/>
    <w:rsid w:val="6B5855A3"/>
    <w:rsid w:val="6B7A2BFC"/>
    <w:rsid w:val="6B890047"/>
    <w:rsid w:val="6BB41665"/>
    <w:rsid w:val="6BD03E34"/>
    <w:rsid w:val="6C281322"/>
    <w:rsid w:val="6CB667C0"/>
    <w:rsid w:val="6D155CC1"/>
    <w:rsid w:val="6D651610"/>
    <w:rsid w:val="6D6737D4"/>
    <w:rsid w:val="6DA72590"/>
    <w:rsid w:val="6DB40574"/>
    <w:rsid w:val="6E5378F4"/>
    <w:rsid w:val="6E5A7755"/>
    <w:rsid w:val="6EE420A1"/>
    <w:rsid w:val="6F0230C8"/>
    <w:rsid w:val="6F1154C3"/>
    <w:rsid w:val="6FE37012"/>
    <w:rsid w:val="700C24E8"/>
    <w:rsid w:val="70135B1B"/>
    <w:rsid w:val="70587444"/>
    <w:rsid w:val="70967F6C"/>
    <w:rsid w:val="70A049F5"/>
    <w:rsid w:val="70A616FB"/>
    <w:rsid w:val="70ED2F83"/>
    <w:rsid w:val="71997D14"/>
    <w:rsid w:val="71D9079B"/>
    <w:rsid w:val="723D4EF9"/>
    <w:rsid w:val="7266334B"/>
    <w:rsid w:val="72A37C89"/>
    <w:rsid w:val="730114D3"/>
    <w:rsid w:val="73BC703B"/>
    <w:rsid w:val="73DE22F1"/>
    <w:rsid w:val="74565612"/>
    <w:rsid w:val="746F3611"/>
    <w:rsid w:val="74D472B5"/>
    <w:rsid w:val="7513602F"/>
    <w:rsid w:val="756030EE"/>
    <w:rsid w:val="75A37D78"/>
    <w:rsid w:val="762305D7"/>
    <w:rsid w:val="76A77F9C"/>
    <w:rsid w:val="771A36A5"/>
    <w:rsid w:val="77423580"/>
    <w:rsid w:val="775A7240"/>
    <w:rsid w:val="77C6382D"/>
    <w:rsid w:val="78164DE4"/>
    <w:rsid w:val="78A27624"/>
    <w:rsid w:val="78C24201"/>
    <w:rsid w:val="78E8700A"/>
    <w:rsid w:val="790C34C1"/>
    <w:rsid w:val="792C76C0"/>
    <w:rsid w:val="796A56F7"/>
    <w:rsid w:val="798824CB"/>
    <w:rsid w:val="79986240"/>
    <w:rsid w:val="7A1759B7"/>
    <w:rsid w:val="7A2A2335"/>
    <w:rsid w:val="7B7214E6"/>
    <w:rsid w:val="7B9A6B62"/>
    <w:rsid w:val="7C660C62"/>
    <w:rsid w:val="7CCF09D9"/>
    <w:rsid w:val="7D3F7816"/>
    <w:rsid w:val="7DEF0220"/>
    <w:rsid w:val="7E39774F"/>
    <w:rsid w:val="7E3C0429"/>
    <w:rsid w:val="7E855DAD"/>
    <w:rsid w:val="7ED70906"/>
    <w:rsid w:val="7EFB4B64"/>
    <w:rsid w:val="7F1A34A0"/>
    <w:rsid w:val="7F782D71"/>
    <w:rsid w:val="7FE55CE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iPriority="99" w:semiHidden="0"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autoRedefine/>
    <w:qFormat/>
    <w:uiPriority w:val="0"/>
    <w:pPr>
      <w:keepNext/>
      <w:keepLines/>
      <w:spacing w:before="260" w:after="340" w:line="240" w:lineRule="auto"/>
      <w:ind w:firstLine="0" w:firstLineChars="0"/>
      <w:jc w:val="left"/>
      <w:outlineLvl w:val="1"/>
    </w:pPr>
    <w:rPr>
      <w:rFonts w:eastAsia="宋体"/>
      <w:b/>
      <w:bCs/>
      <w:sz w:val="32"/>
    </w:rPr>
  </w:style>
  <w:style w:type="character" w:default="1" w:styleId="19">
    <w:name w:val="Default Paragraph Font"/>
    <w:autoRedefine/>
    <w:unhideWhenUsed/>
    <w:qFormat/>
    <w:uiPriority w:val="1"/>
  </w:style>
  <w:style w:type="table" w:default="1" w:styleId="17">
    <w:name w:val="Normal Table"/>
    <w:autoRedefine/>
    <w:unhideWhenUsed/>
    <w:qFormat/>
    <w:uiPriority w:val="99"/>
    <w:tblPr>
      <w:tblCellMar>
        <w:top w:w="0" w:type="dxa"/>
        <w:left w:w="108" w:type="dxa"/>
        <w:bottom w:w="0" w:type="dxa"/>
        <w:right w:w="108" w:type="dxa"/>
      </w:tblCellMar>
    </w:tblPr>
  </w:style>
  <w:style w:type="paragraph" w:styleId="2">
    <w:name w:val="Body Text Indent 2"/>
    <w:basedOn w:val="1"/>
    <w:autoRedefine/>
    <w:qFormat/>
    <w:uiPriority w:val="0"/>
    <w:pPr>
      <w:spacing w:line="590" w:lineRule="exact"/>
      <w:ind w:firstLine="880" w:firstLineChars="200"/>
    </w:pPr>
    <w:rPr>
      <w:rFonts w:ascii="Times New Roman" w:hAnsi="Times New Roman" w:eastAsia="方正仿宋_GBK"/>
    </w:rPr>
  </w:style>
  <w:style w:type="paragraph" w:styleId="4">
    <w:name w:val="annotation text"/>
    <w:basedOn w:val="1"/>
    <w:semiHidden/>
    <w:unhideWhenUsed/>
    <w:qFormat/>
    <w:uiPriority w:val="99"/>
    <w:pPr>
      <w:jc w:val="left"/>
    </w:pPr>
  </w:style>
  <w:style w:type="paragraph" w:styleId="5">
    <w:name w:val="Body Text"/>
    <w:basedOn w:val="1"/>
    <w:autoRedefine/>
    <w:unhideWhenUsed/>
    <w:qFormat/>
    <w:uiPriority w:val="0"/>
    <w:pPr>
      <w:spacing w:after="120"/>
    </w:pPr>
  </w:style>
  <w:style w:type="paragraph" w:styleId="6">
    <w:name w:val="Body Text Indent"/>
    <w:basedOn w:val="1"/>
    <w:next w:val="7"/>
    <w:autoRedefine/>
    <w:unhideWhenUsed/>
    <w:qFormat/>
    <w:uiPriority w:val="99"/>
    <w:pPr>
      <w:ind w:left="420" w:leftChars="200"/>
    </w:pPr>
  </w:style>
  <w:style w:type="paragraph" w:styleId="7">
    <w:name w:val="envelope return"/>
    <w:basedOn w:val="1"/>
    <w:autoRedefine/>
    <w:qFormat/>
    <w:uiPriority w:val="0"/>
    <w:pPr>
      <w:snapToGrid w:val="0"/>
    </w:pPr>
    <w:rPr>
      <w:rFonts w:ascii="Arial" w:hAnsi="Arial" w:cs="Arial"/>
      <w:szCs w:val="24"/>
    </w:rPr>
  </w:style>
  <w:style w:type="paragraph" w:styleId="8">
    <w:name w:val="footer"/>
    <w:basedOn w:val="1"/>
    <w:autoRedefine/>
    <w:semiHidden/>
    <w:unhideWhenUsed/>
    <w:qFormat/>
    <w:uiPriority w:val="99"/>
    <w:pPr>
      <w:tabs>
        <w:tab w:val="center" w:pos="4153"/>
        <w:tab w:val="right" w:pos="8306"/>
      </w:tabs>
      <w:snapToGrid w:val="0"/>
      <w:jc w:val="left"/>
    </w:pPr>
    <w:rPr>
      <w:sz w:val="18"/>
    </w:rPr>
  </w:style>
  <w:style w:type="paragraph" w:styleId="9">
    <w:name w:val="header"/>
    <w:basedOn w:val="1"/>
    <w:autoRedefine/>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autoRedefine/>
    <w:semiHidden/>
    <w:unhideWhenUsed/>
    <w:qFormat/>
    <w:uiPriority w:val="39"/>
  </w:style>
  <w:style w:type="paragraph" w:styleId="11">
    <w:name w:val="Subtitle"/>
    <w:basedOn w:val="1"/>
    <w:next w:val="1"/>
    <w:link w:val="21"/>
    <w:autoRedefine/>
    <w:qFormat/>
    <w:uiPriority w:val="11"/>
    <w:pPr>
      <w:spacing w:before="240" w:after="60" w:line="312" w:lineRule="auto"/>
      <w:jc w:val="center"/>
      <w:outlineLvl w:val="1"/>
    </w:pPr>
    <w:rPr>
      <w:rFonts w:asciiTheme="minorHAnsi" w:hAnsiTheme="minorHAnsi" w:eastAsiaTheme="minorEastAsia" w:cstheme="minorBidi"/>
      <w:b/>
      <w:bCs/>
      <w:kern w:val="28"/>
      <w:sz w:val="32"/>
      <w:szCs w:val="32"/>
    </w:rPr>
  </w:style>
  <w:style w:type="paragraph" w:styleId="12">
    <w:name w:val="toc 2"/>
    <w:basedOn w:val="1"/>
    <w:next w:val="1"/>
    <w:autoRedefine/>
    <w:semiHidden/>
    <w:unhideWhenUsed/>
    <w:qFormat/>
    <w:uiPriority w:val="39"/>
    <w:pPr>
      <w:ind w:left="420" w:leftChars="200"/>
    </w:pPr>
  </w:style>
  <w:style w:type="paragraph" w:styleId="13">
    <w:name w:val="Body Text 2"/>
    <w:basedOn w:val="1"/>
    <w:qFormat/>
    <w:uiPriority w:val="0"/>
    <w:pPr>
      <w:widowControl/>
      <w:spacing w:line="440" w:lineRule="atLeast"/>
    </w:pPr>
    <w:rPr>
      <w:rFonts w:ascii="宋体"/>
      <w:kern w:val="0"/>
      <w:szCs w:val="20"/>
    </w:rPr>
  </w:style>
  <w:style w:type="paragraph" w:styleId="14">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5">
    <w:name w:val="Body Text First Indent"/>
    <w:basedOn w:val="5"/>
    <w:autoRedefine/>
    <w:unhideWhenUsed/>
    <w:qFormat/>
    <w:uiPriority w:val="99"/>
    <w:pPr>
      <w:ind w:firstLine="420" w:firstLineChars="100"/>
    </w:pPr>
    <w:rPr>
      <w:rFonts w:ascii="Times New Roman" w:hAnsi="Times New Roman" w:eastAsia="宋体"/>
      <w:szCs w:val="24"/>
    </w:rPr>
  </w:style>
  <w:style w:type="paragraph" w:styleId="16">
    <w:name w:val="Body Text First Indent 2"/>
    <w:basedOn w:val="6"/>
    <w:next w:val="15"/>
    <w:autoRedefine/>
    <w:unhideWhenUsed/>
    <w:qFormat/>
    <w:uiPriority w:val="99"/>
    <w:pPr>
      <w:ind w:firstLine="420" w:firstLineChars="200"/>
    </w:pPr>
  </w:style>
  <w:style w:type="table" w:styleId="18">
    <w:name w:val="Table Grid"/>
    <w:basedOn w:val="17"/>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0">
    <w:name w:val="Normal_0"/>
    <w:autoRedefine/>
    <w:qFormat/>
    <w:uiPriority w:val="0"/>
    <w:rPr>
      <w:rFonts w:ascii="Times New Roman" w:hAnsi="Times New Roman" w:eastAsia="Times New Roman" w:cs="Times New Roman"/>
      <w:sz w:val="24"/>
      <w:szCs w:val="24"/>
      <w:lang w:bidi="ar-SA"/>
    </w:rPr>
  </w:style>
  <w:style w:type="character" w:customStyle="1" w:styleId="21">
    <w:name w:val="副标题 字符"/>
    <w:basedOn w:val="19"/>
    <w:link w:val="11"/>
    <w:autoRedefine/>
    <w:qFormat/>
    <w:uiPriority w:val="11"/>
    <w:rPr>
      <w:rFonts w:asciiTheme="minorHAnsi" w:hAnsiTheme="minorHAnsi" w:eastAsiaTheme="minorEastAsia" w:cstheme="minorBidi"/>
      <w:b/>
      <w:bCs/>
      <w:kern w:val="28"/>
      <w:sz w:val="32"/>
      <w:szCs w:val="32"/>
    </w:rPr>
  </w:style>
  <w:style w:type="paragraph" w:customStyle="1" w:styleId="22">
    <w:name w:val="WPSOffice手动目录 1"/>
    <w:autoRedefine/>
    <w:qFormat/>
    <w:uiPriority w:val="0"/>
    <w:pPr>
      <w:ind w:leftChars="0"/>
    </w:pPr>
    <w:rPr>
      <w:rFonts w:ascii="Times New Roman" w:hAnsi="Times New Roman" w:eastAsia="宋体" w:cs="Times New Roman"/>
      <w:sz w:val="20"/>
      <w:szCs w:val="20"/>
    </w:rPr>
  </w:style>
  <w:style w:type="paragraph" w:customStyle="1" w:styleId="23">
    <w:name w:val="WPSOffice手动目录 2"/>
    <w:autoRedefine/>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5506</Words>
  <Characters>5791</Characters>
  <Lines>73</Lines>
  <Paragraphs>20</Paragraphs>
  <TotalTime>0</TotalTime>
  <ScaleCrop>false</ScaleCrop>
  <LinksUpToDate>false</LinksUpToDate>
  <CharactersWithSpaces>5880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2021-11-23T08:21:00Z</dcterms:created>
  <dc:creator>Administrator</dc:creator>
  <cp:lastModifiedBy>MOON</cp:lastModifiedBy>
  <cp:lastPrinted>2023-11-09T08:57:00Z</cp:lastPrinted>
  <dcterms:modified xsi:type="dcterms:W3CDTF">2025-01-15T00:37:14Z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B39DBE1A23E84752902CDEA12C28C976_13</vt:lpwstr>
  </property>
  <property fmtid="{D5CDD505-2E9C-101B-9397-08002B2CF9AE}" pid="4" name="KSOTemplateDocerSaveRecord">
    <vt:lpwstr>eyJoZGlkIjoiMGNlN2E2OTZmZDdkN2JiODViM2ZjNTZkNmJkNWI1MzUiLCJ1c2VySWQiOiIyNzE4NjE5NjIifQ==</vt:lpwstr>
  </property>
</Properties>
</file>