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A06B6">
      <w:pPr>
        <w:spacing w:line="560" w:lineRule="exact"/>
        <w:rPr>
          <w:rFonts w:ascii="仿宋_GB2312" w:hAnsi="Times New Roman" w:eastAsia="仿宋_GB2312" w:cs="Times New Roman"/>
          <w:sz w:val="24"/>
          <w:szCs w:val="24"/>
        </w:rPr>
      </w:pPr>
    </w:p>
    <w:p w14:paraId="5BB8FC42">
      <w:pPr>
        <w:spacing w:line="560" w:lineRule="exact"/>
        <w:ind w:firstLine="472" w:firstLineChars="200"/>
        <w:rPr>
          <w:rFonts w:ascii="仿宋_GB2312" w:hAnsi="Times New Roman" w:eastAsia="仿宋_GB2312" w:cs="Times New Roman"/>
          <w:sz w:val="24"/>
          <w:szCs w:val="24"/>
        </w:rPr>
      </w:pPr>
    </w:p>
    <w:p w14:paraId="7CF2E4DD">
      <w:pPr>
        <w:spacing w:line="560" w:lineRule="exact"/>
        <w:ind w:firstLine="712" w:firstLineChars="200"/>
        <w:rPr>
          <w:rFonts w:ascii="方正小标宋简体" w:hAnsi="Times New Roman" w:eastAsia="方正小标宋简体" w:cs="Times New Roman"/>
          <w:sz w:val="36"/>
          <w:szCs w:val="36"/>
        </w:rPr>
      </w:pPr>
    </w:p>
    <w:p w14:paraId="1187934F">
      <w:pPr>
        <w:spacing w:line="560" w:lineRule="exact"/>
        <w:ind w:firstLine="712" w:firstLineChars="200"/>
        <w:jc w:val="center"/>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ascii="仿宋_GB2312" w:hAnsi="Times New Roman" w:eastAsia="仿宋_GB2312" w:cs="Times New Roman"/>
          <w:b/>
          <w:bCs/>
          <w:sz w:val="36"/>
          <w:szCs w:val="36"/>
        </w:rPr>
        <w:t>3</w:t>
      </w:r>
      <w:r>
        <w:rPr>
          <w:rFonts w:hint="eastAsia" w:ascii="仿宋_GB2312" w:hAnsi="Times New Roman" w:eastAsia="仿宋_GB2312" w:cs="Times New Roman"/>
          <w:b/>
          <w:bCs/>
          <w:sz w:val="36"/>
          <w:szCs w:val="36"/>
        </w:rPr>
        <w:t>年</w:t>
      </w:r>
      <w:r>
        <w:rPr>
          <w:rFonts w:ascii="仿宋_GB2312" w:hAnsi="Times New Roman" w:eastAsia="仿宋_GB2312" w:cs="Times New Roman"/>
          <w:b/>
          <w:bCs/>
          <w:sz w:val="36"/>
          <w:szCs w:val="36"/>
        </w:rPr>
        <w:t>度怀远县公安局看守所在押人员伙食费</w:t>
      </w:r>
      <w:r>
        <w:rPr>
          <w:rFonts w:hint="eastAsia" w:ascii="仿宋_GB2312" w:hAnsi="Times New Roman" w:eastAsia="仿宋_GB2312" w:cs="Times New Roman"/>
          <w:b/>
          <w:bCs/>
          <w:sz w:val="36"/>
          <w:szCs w:val="36"/>
        </w:rPr>
        <w:t>项目支出绩效评价报告</w:t>
      </w:r>
    </w:p>
    <w:p w14:paraId="271302A0">
      <w:pPr>
        <w:spacing w:line="560" w:lineRule="exact"/>
        <w:ind w:firstLine="2136" w:firstLineChars="600"/>
        <w:rPr>
          <w:rFonts w:ascii="仿宋_GB2312" w:hAnsi="Times New Roman" w:eastAsia="仿宋_GB2312" w:cs="Times New Roman"/>
          <w:b/>
          <w:bCs/>
          <w:sz w:val="36"/>
          <w:szCs w:val="36"/>
        </w:rPr>
      </w:pPr>
    </w:p>
    <w:p w14:paraId="303F31D1">
      <w:pPr>
        <w:spacing w:line="560" w:lineRule="exact"/>
        <w:ind w:firstLine="712" w:firstLineChars="200"/>
        <w:rPr>
          <w:rFonts w:ascii="方正小标宋简体" w:hAnsi="Times New Roman" w:eastAsia="方正小标宋简体" w:cs="Times New Roman"/>
          <w:sz w:val="36"/>
          <w:szCs w:val="36"/>
        </w:rPr>
      </w:pPr>
    </w:p>
    <w:p w14:paraId="170884A1">
      <w:pPr>
        <w:spacing w:line="560" w:lineRule="exact"/>
        <w:ind w:firstLine="472" w:firstLineChars="200"/>
        <w:rPr>
          <w:rFonts w:ascii="仿宋_GB2312" w:hAnsi="Times New Roman" w:eastAsia="仿宋_GB2312" w:cs="Times New Roman"/>
          <w:sz w:val="24"/>
          <w:szCs w:val="24"/>
        </w:rPr>
      </w:pPr>
    </w:p>
    <w:p w14:paraId="44D1650E">
      <w:pPr>
        <w:spacing w:line="560" w:lineRule="exact"/>
        <w:ind w:firstLine="472" w:firstLineChars="200"/>
        <w:rPr>
          <w:rFonts w:ascii="仿宋_GB2312" w:hAnsi="Times New Roman" w:eastAsia="仿宋_GB2312" w:cs="Times New Roman"/>
          <w:sz w:val="24"/>
          <w:szCs w:val="24"/>
        </w:rPr>
      </w:pPr>
    </w:p>
    <w:p w14:paraId="28B0384A">
      <w:pPr>
        <w:spacing w:line="560" w:lineRule="exact"/>
        <w:ind w:firstLine="472" w:firstLineChars="200"/>
        <w:rPr>
          <w:rFonts w:ascii="仿宋_GB2312" w:hAnsi="Times New Roman" w:eastAsia="仿宋_GB2312" w:cs="Times New Roman"/>
          <w:sz w:val="24"/>
          <w:szCs w:val="24"/>
        </w:rPr>
      </w:pPr>
    </w:p>
    <w:p w14:paraId="6F69278B">
      <w:pPr>
        <w:spacing w:line="560" w:lineRule="exact"/>
        <w:ind w:firstLine="472" w:firstLineChars="200"/>
        <w:rPr>
          <w:rFonts w:ascii="仿宋_GB2312" w:hAnsi="Times New Roman" w:eastAsia="仿宋_GB2312" w:cs="Times New Roman"/>
          <w:sz w:val="24"/>
          <w:szCs w:val="24"/>
        </w:rPr>
      </w:pPr>
    </w:p>
    <w:p w14:paraId="2D8E1DFD">
      <w:pPr>
        <w:spacing w:line="560" w:lineRule="exact"/>
        <w:ind w:firstLine="1652" w:firstLineChars="7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项目主管部门：怀远县公安局</w:t>
      </w:r>
    </w:p>
    <w:p w14:paraId="4049906B">
      <w:pPr>
        <w:spacing w:line="560" w:lineRule="exact"/>
        <w:ind w:firstLine="1652" w:firstLineChars="7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项目实施单位：怀远县公安局看</w:t>
      </w:r>
      <w:r>
        <w:rPr>
          <w:rFonts w:ascii="仿宋_GB2312" w:hAnsi="Times New Roman" w:eastAsia="仿宋_GB2312" w:cs="Times New Roman"/>
          <w:sz w:val="24"/>
          <w:szCs w:val="24"/>
        </w:rPr>
        <w:t>守所</w:t>
      </w:r>
    </w:p>
    <w:p w14:paraId="38DDDC50">
      <w:pPr>
        <w:spacing w:line="560" w:lineRule="exact"/>
        <w:ind w:firstLine="1652" w:firstLineChars="7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14:paraId="561F27FB">
      <w:pPr>
        <w:spacing w:line="560" w:lineRule="exact"/>
        <w:ind w:firstLine="1652" w:firstLineChars="7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评价单位：安徽乔峰信息科技有限公司</w:t>
      </w:r>
      <w:bookmarkStart w:id="48" w:name="_GoBack"/>
      <w:bookmarkEnd w:id="48"/>
    </w:p>
    <w:p w14:paraId="4DEE2F57">
      <w:pPr>
        <w:spacing w:line="560" w:lineRule="exact"/>
        <w:ind w:firstLine="1652" w:firstLineChars="700"/>
        <w:jc w:val="left"/>
        <w:rPr>
          <w:rFonts w:ascii="仿宋_GB2312" w:hAnsi="Times New Roman" w:eastAsia="仿宋_GB2312" w:cs="Times New Roman"/>
          <w:sz w:val="24"/>
          <w:szCs w:val="24"/>
        </w:rPr>
      </w:pPr>
    </w:p>
    <w:p w14:paraId="1889F5F5">
      <w:pPr>
        <w:pStyle w:val="2"/>
        <w:ind w:firstLine="472"/>
        <w:rPr>
          <w:rFonts w:ascii="仿宋_GB2312" w:eastAsia="仿宋_GB2312" w:cs="Times New Roman"/>
          <w:sz w:val="24"/>
          <w:szCs w:val="24"/>
        </w:rPr>
      </w:pPr>
    </w:p>
    <w:p w14:paraId="50E4F52A">
      <w:pPr>
        <w:pStyle w:val="2"/>
        <w:ind w:firstLine="472"/>
        <w:rPr>
          <w:rFonts w:ascii="仿宋_GB2312" w:eastAsia="仿宋_GB2312" w:cs="Times New Roman"/>
          <w:sz w:val="24"/>
          <w:szCs w:val="24"/>
        </w:rPr>
      </w:pPr>
    </w:p>
    <w:p w14:paraId="00FCE4DE">
      <w:pPr>
        <w:pStyle w:val="2"/>
        <w:ind w:firstLine="472"/>
        <w:rPr>
          <w:rFonts w:ascii="仿宋_GB2312" w:eastAsia="仿宋_GB2312" w:cs="Times New Roman"/>
          <w:sz w:val="24"/>
          <w:szCs w:val="24"/>
        </w:rPr>
      </w:pPr>
    </w:p>
    <w:p w14:paraId="3FDE5896">
      <w:pPr>
        <w:pStyle w:val="2"/>
        <w:ind w:firstLine="472"/>
        <w:rPr>
          <w:rFonts w:ascii="仿宋_GB2312" w:eastAsia="仿宋_GB2312" w:cs="Times New Roman"/>
          <w:sz w:val="24"/>
          <w:szCs w:val="24"/>
        </w:rPr>
      </w:pPr>
    </w:p>
    <w:p w14:paraId="14231E59">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2024</w:t>
      </w:r>
      <w:r>
        <w:rPr>
          <w:rFonts w:hint="eastAsia" w:ascii="仿宋_GB2312" w:hAnsi="Times New Roman" w:eastAsia="仿宋_GB2312" w:cs="Times New Roman"/>
          <w:b/>
          <w:bCs/>
          <w:sz w:val="24"/>
          <w:szCs w:val="24"/>
        </w:rPr>
        <w:t>年</w:t>
      </w:r>
      <w:r>
        <w:rPr>
          <w:rFonts w:ascii="仿宋_GB2312" w:hAnsi="Times New Roman" w:eastAsia="仿宋_GB2312" w:cs="Times New Roman"/>
          <w:b/>
          <w:bCs/>
          <w:sz w:val="24"/>
          <w:szCs w:val="24"/>
        </w:rPr>
        <w:t>11</w:t>
      </w:r>
      <w:r>
        <w:rPr>
          <w:rFonts w:hint="eastAsia" w:ascii="仿宋_GB2312" w:hAnsi="Times New Roman" w:eastAsia="仿宋_GB2312" w:cs="Times New Roman"/>
          <w:b/>
          <w:bCs/>
          <w:sz w:val="24"/>
          <w:szCs w:val="24"/>
        </w:rPr>
        <w:t>月</w:t>
      </w:r>
    </w:p>
    <w:p w14:paraId="349B2D04">
      <w:pPr>
        <w:spacing w:line="560" w:lineRule="exact"/>
        <w:rPr>
          <w:rFonts w:ascii="仿宋_GB2312" w:hAnsi="Times New Roman" w:eastAsia="仿宋_GB2312" w:cs="Times New Roman"/>
          <w:sz w:val="24"/>
          <w:szCs w:val="24"/>
        </w:rPr>
      </w:pPr>
    </w:p>
    <w:p w14:paraId="79851112">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092A30D2">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14:paraId="447E41B5">
          <w:pPr>
            <w:pStyle w:val="25"/>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4AD57BF">
          <w:pPr>
            <w:pStyle w:val="25"/>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60D729D">
          <w:pPr>
            <w:pStyle w:val="25"/>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BC207BB">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6C880B6">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A511F4A">
          <w:pPr>
            <w:pStyle w:val="25"/>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BEABBE3">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1110B56">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DBFEABA">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- 9 -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5218FDD">
          <w:pPr>
            <w:pStyle w:val="25"/>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A1B5BB3">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A983549">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F8EAA1A">
          <w:pPr>
            <w:pStyle w:val="25"/>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5890465">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32C4FF50">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15B1689">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D33AEF8">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A579E28">
          <w:pPr>
            <w:pStyle w:val="25"/>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2D82D2C">
          <w:pPr>
            <w:pStyle w:val="25"/>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- 19 -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1322FF7">
          <w:pPr>
            <w:pStyle w:val="25"/>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- 19 -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1B22AFA">
          <w:r>
            <w:rPr>
              <w:b/>
            </w:rPr>
            <w:fldChar w:fldCharType="end"/>
          </w:r>
        </w:p>
      </w:sdtContent>
    </w:sdt>
    <w:p w14:paraId="164F7014">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0" w:name="_Toc4018"/>
      <w:r>
        <w:rPr>
          <w:rFonts w:hint="eastAsia" w:ascii="方正小标宋简体" w:hAnsi="华文宋体" w:eastAsia="方正小标宋简体" w:cs="Times New Roman"/>
          <w:b/>
          <w:bCs/>
          <w:sz w:val="36"/>
          <w:szCs w:val="36"/>
        </w:rPr>
        <w:t>202</w:t>
      </w:r>
      <w:r>
        <w:rPr>
          <w:rFonts w:ascii="方正小标宋简体" w:hAnsi="华文宋体" w:eastAsia="方正小标宋简体" w:cs="Times New Roman"/>
          <w:b/>
          <w:bCs/>
          <w:sz w:val="36"/>
          <w:szCs w:val="36"/>
        </w:rPr>
        <w:t>3</w:t>
      </w:r>
      <w:r>
        <w:rPr>
          <w:rFonts w:hint="eastAsia" w:ascii="方正小标宋简体" w:hAnsi="华文宋体" w:eastAsia="方正小标宋简体" w:cs="Times New Roman"/>
          <w:b/>
          <w:bCs/>
          <w:sz w:val="36"/>
          <w:szCs w:val="36"/>
        </w:rPr>
        <w:t>年度怀</w:t>
      </w:r>
      <w:r>
        <w:rPr>
          <w:rFonts w:ascii="方正小标宋简体" w:hAnsi="华文宋体" w:eastAsia="方正小标宋简体" w:cs="Times New Roman"/>
          <w:b/>
          <w:bCs/>
          <w:sz w:val="36"/>
          <w:szCs w:val="36"/>
        </w:rPr>
        <w:t>远县公安局看守</w:t>
      </w:r>
      <w:r>
        <w:rPr>
          <w:rFonts w:hint="eastAsia" w:ascii="方正小标宋简体" w:hAnsi="华文宋体" w:eastAsia="方正小标宋简体" w:cs="Times New Roman"/>
          <w:b/>
          <w:bCs/>
          <w:sz w:val="36"/>
          <w:szCs w:val="36"/>
        </w:rPr>
        <w:t>所</w:t>
      </w:r>
      <w:r>
        <w:rPr>
          <w:rFonts w:ascii="方正小标宋简体" w:hAnsi="华文宋体" w:eastAsia="方正小标宋简体" w:cs="Times New Roman"/>
          <w:b/>
          <w:bCs/>
          <w:sz w:val="36"/>
          <w:szCs w:val="36"/>
        </w:rPr>
        <w:t>在押人员伙食费</w:t>
      </w:r>
      <w:r>
        <w:rPr>
          <w:rFonts w:hint="eastAsia" w:ascii="方正小标宋简体" w:hAnsi="华文宋体" w:eastAsia="方正小标宋简体" w:cs="Times New Roman"/>
          <w:b/>
          <w:bCs/>
          <w:sz w:val="36"/>
          <w:szCs w:val="36"/>
        </w:rPr>
        <w:t>项目支出绩效评价报告摘要</w:t>
      </w:r>
      <w:bookmarkEnd w:id="0"/>
    </w:p>
    <w:p w14:paraId="285B5685">
      <w:pPr>
        <w:pStyle w:val="4"/>
        <w:spacing w:after="0" w:line="560" w:lineRule="exact"/>
        <w:ind w:firstLine="472" w:firstLineChars="200"/>
        <w:jc w:val="left"/>
        <w:rPr>
          <w:rFonts w:ascii="仿宋_GB2312"/>
          <w:sz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号)、《怀远县财政局关于印发&lt;怀远县县级项目支出绩效单位自评操作规程&gt;和&lt;怀远县县级级项目支出绩效财政评价和部门评价操作规程&gt;的通知》（怀财监〔2021〕1号）等要求，我们对202</w:t>
      </w:r>
      <w:r>
        <w:rPr>
          <w:rFonts w:ascii="仿宋_GB2312"/>
          <w:sz w:val="24"/>
        </w:rPr>
        <w:t>3</w:t>
      </w:r>
      <w:r>
        <w:rPr>
          <w:rFonts w:hint="eastAsia" w:ascii="仿宋_GB2312"/>
          <w:sz w:val="24"/>
        </w:rPr>
        <w:t>年度看</w:t>
      </w:r>
      <w:r>
        <w:rPr>
          <w:rFonts w:ascii="仿宋_GB2312"/>
          <w:sz w:val="24"/>
        </w:rPr>
        <w:t>守所在押人员伙食费</w:t>
      </w:r>
      <w:r>
        <w:rPr>
          <w:rFonts w:hint="eastAsia" w:ascii="仿宋_GB2312"/>
          <w:sz w:val="24"/>
        </w:rPr>
        <w:t>项目开展了绩效评价，现将有关情况报告如下。</w:t>
      </w:r>
    </w:p>
    <w:p w14:paraId="196DFB24">
      <w:pPr>
        <w:spacing w:line="560" w:lineRule="exact"/>
        <w:ind w:firstLine="472" w:firstLineChars="200"/>
        <w:outlineLvl w:val="0"/>
        <w:rPr>
          <w:rFonts w:ascii="黑体" w:hAnsi="黑体" w:eastAsia="黑体" w:cs="Times New Roman"/>
          <w:sz w:val="24"/>
          <w:szCs w:val="24"/>
        </w:rPr>
      </w:pPr>
      <w:bookmarkStart w:id="1" w:name="_Toc11742"/>
      <w:r>
        <w:rPr>
          <w:rFonts w:hint="eastAsia" w:ascii="黑体" w:hAnsi="黑体" w:eastAsia="黑体" w:cs="Times New Roman"/>
          <w:sz w:val="24"/>
          <w:szCs w:val="24"/>
        </w:rPr>
        <w:t>二、项目执行情况</w:t>
      </w:r>
      <w:bookmarkEnd w:id="1"/>
    </w:p>
    <w:p w14:paraId="0E66700C">
      <w:pPr>
        <w:spacing w:line="560" w:lineRule="exact"/>
        <w:ind w:firstLine="472" w:firstLineChars="200"/>
        <w:outlineLvl w:val="1"/>
        <w:rPr>
          <w:rFonts w:ascii="楷体_GB2312" w:hAnsi="Times New Roman" w:eastAsia="楷体_GB2312" w:cs="Times New Roman"/>
          <w:sz w:val="24"/>
          <w:szCs w:val="24"/>
        </w:rPr>
      </w:pPr>
      <w:bookmarkStart w:id="2" w:name="_Toc14687"/>
      <w:r>
        <w:rPr>
          <w:rFonts w:hint="eastAsia" w:ascii="楷体_GB2312" w:hAnsi="Times New Roman" w:eastAsia="楷体_GB2312" w:cs="Times New Roman"/>
          <w:sz w:val="24"/>
          <w:szCs w:val="24"/>
        </w:rPr>
        <w:t>（一）预算执行情况</w:t>
      </w:r>
      <w:bookmarkEnd w:id="2"/>
    </w:p>
    <w:p w14:paraId="40C40D0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怀远县公安局看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年度“在押</w:t>
      </w:r>
      <w:r>
        <w:rPr>
          <w:rFonts w:ascii="仿宋_GB2312" w:hAnsi="Times New Roman" w:eastAsia="仿宋_GB2312" w:cs="Times New Roman"/>
          <w:sz w:val="24"/>
          <w:szCs w:val="24"/>
        </w:rPr>
        <w:t>人员伙食费</w:t>
      </w:r>
      <w:r>
        <w:rPr>
          <w:rFonts w:hint="eastAsia" w:ascii="仿宋_GB2312" w:hAnsi="Times New Roman" w:eastAsia="仿宋_GB2312" w:cs="Times New Roman"/>
          <w:sz w:val="24"/>
          <w:szCs w:val="24"/>
        </w:rPr>
        <w:t>设项目”预算金额</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万元，实际到位</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万元，预算执行率100%。</w:t>
      </w:r>
    </w:p>
    <w:p w14:paraId="15B487C2">
      <w:pPr>
        <w:numPr>
          <w:ilvl w:val="0"/>
          <w:numId w:val="1"/>
        </w:numPr>
        <w:spacing w:line="560" w:lineRule="exact"/>
        <w:ind w:firstLine="472" w:firstLineChars="200"/>
        <w:outlineLvl w:val="1"/>
        <w:rPr>
          <w:rFonts w:ascii="楷体_GB2312" w:hAnsi="Times New Roman" w:eastAsia="楷体_GB2312" w:cs="Times New Roman"/>
          <w:sz w:val="24"/>
          <w:szCs w:val="24"/>
        </w:rPr>
      </w:pPr>
      <w:bookmarkStart w:id="3" w:name="_Toc9155"/>
      <w:r>
        <w:rPr>
          <w:rFonts w:hint="eastAsia" w:ascii="楷体_GB2312" w:hAnsi="Times New Roman" w:eastAsia="楷体_GB2312" w:cs="Times New Roman"/>
          <w:sz w:val="24"/>
          <w:szCs w:val="24"/>
        </w:rPr>
        <w:t>效益实现情况</w:t>
      </w:r>
      <w:bookmarkEnd w:id="3"/>
    </w:p>
    <w:p w14:paraId="454E9E24">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通过在押人员伙食费项目实施，2023年达到省厅要求的在押人员伙食费标准，确保在押人员基本生活保障，确保监所安全和社会稳定。</w:t>
      </w:r>
    </w:p>
    <w:p w14:paraId="3E7F1ED3">
      <w:pPr>
        <w:spacing w:line="560" w:lineRule="exact"/>
        <w:ind w:firstLine="472" w:firstLineChars="200"/>
        <w:outlineLvl w:val="0"/>
        <w:rPr>
          <w:rFonts w:ascii="黑体" w:hAnsi="黑体" w:eastAsia="黑体" w:cs="Times New Roman"/>
          <w:bCs/>
          <w:sz w:val="24"/>
          <w:szCs w:val="24"/>
        </w:rPr>
      </w:pPr>
      <w:bookmarkStart w:id="4" w:name="_Toc16658"/>
      <w:r>
        <w:rPr>
          <w:rFonts w:hint="eastAsia" w:ascii="黑体" w:hAnsi="黑体" w:eastAsia="黑体" w:cs="Times New Roman"/>
          <w:bCs/>
          <w:sz w:val="24"/>
          <w:szCs w:val="24"/>
        </w:rPr>
        <w:t>三、绩效评价工作情况及评价结论</w:t>
      </w:r>
      <w:bookmarkEnd w:id="4"/>
    </w:p>
    <w:p w14:paraId="0F03F72E">
      <w:pPr>
        <w:spacing w:line="560" w:lineRule="exact"/>
        <w:ind w:firstLine="472" w:firstLineChars="200"/>
        <w:outlineLvl w:val="1"/>
        <w:rPr>
          <w:rFonts w:ascii="楷体_GB2312" w:hAnsi="Times New Roman" w:eastAsia="楷体_GB2312" w:cs="Times New Roman"/>
          <w:sz w:val="24"/>
          <w:szCs w:val="24"/>
        </w:rPr>
      </w:pPr>
      <w:bookmarkStart w:id="5" w:name="_Toc2595"/>
      <w:r>
        <w:rPr>
          <w:rFonts w:hint="eastAsia" w:ascii="楷体_GB2312" w:hAnsi="Times New Roman" w:eastAsia="楷体_GB2312" w:cs="Times New Roman"/>
          <w:sz w:val="24"/>
          <w:szCs w:val="24"/>
        </w:rPr>
        <w:t>（一）评价范围及目的</w:t>
      </w:r>
      <w:bookmarkEnd w:id="5"/>
    </w:p>
    <w:p w14:paraId="2026A97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w:t>
      </w:r>
      <w:r>
        <w:rPr>
          <w:rFonts w:ascii="仿宋_GB2312" w:hAnsi="Times New Roman" w:eastAsia="仿宋_GB2312" w:cs="Times New Roman"/>
          <w:sz w:val="24"/>
          <w:szCs w:val="24"/>
        </w:rPr>
        <w:t>度</w:t>
      </w:r>
      <w:r>
        <w:rPr>
          <w:rFonts w:hint="eastAsia" w:ascii="仿宋_GB2312" w:hAnsi="Times New Roman" w:eastAsia="仿宋_GB2312" w:cs="Times New Roman"/>
          <w:sz w:val="24"/>
          <w:szCs w:val="24"/>
        </w:rPr>
        <w:t>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在押人员伙食费</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项目</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，评价其绩效目标设定情况，资金投入和使用情况，为实现设定的绩效目标所制定的制度、采取的措施等，以及绩效目标最终的实现程度及效果。通过评价，深入了解202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年看</w:t>
      </w:r>
      <w:r>
        <w:rPr>
          <w:rFonts w:ascii="仿宋_GB2312" w:hAnsi="Times New Roman" w:eastAsia="仿宋_GB2312" w:cs="Times New Roman"/>
          <w:sz w:val="24"/>
          <w:szCs w:val="24"/>
        </w:rPr>
        <w:t>守所在押人员伙食费项目</w:t>
      </w:r>
      <w:r>
        <w:rPr>
          <w:rFonts w:hint="eastAsia" w:ascii="仿宋_GB2312" w:hAnsi="Times New Roman" w:eastAsia="仿宋_GB2312" w:cs="Times New Roman"/>
          <w:sz w:val="24"/>
          <w:szCs w:val="24"/>
        </w:rPr>
        <w:t>建设的决策、产出、过程和效益方面的详细情况，总结项目资金使用中的主要经验及存在问题，提出有针对性和可操作性的政策建议，不断提高财政资金管理水平和使用效益，为预算安排提供重要依据。</w:t>
      </w:r>
    </w:p>
    <w:p w14:paraId="7090478D">
      <w:pPr>
        <w:spacing w:line="560" w:lineRule="exact"/>
        <w:ind w:firstLine="472" w:firstLineChars="200"/>
        <w:outlineLvl w:val="1"/>
        <w:rPr>
          <w:rFonts w:ascii="楷体_GB2312" w:hAnsi="Times New Roman" w:eastAsia="楷体_GB2312" w:cs="Times New Roman"/>
          <w:sz w:val="24"/>
          <w:szCs w:val="24"/>
        </w:rPr>
      </w:pPr>
      <w:bookmarkStart w:id="6" w:name="_Toc26786"/>
      <w:r>
        <w:rPr>
          <w:rFonts w:hint="eastAsia" w:ascii="楷体_GB2312" w:hAnsi="Times New Roman" w:eastAsia="楷体_GB2312" w:cs="Times New Roman"/>
          <w:sz w:val="24"/>
          <w:szCs w:val="24"/>
        </w:rPr>
        <w:t>（二）评价指标体系</w:t>
      </w:r>
      <w:bookmarkEnd w:id="6"/>
    </w:p>
    <w:p w14:paraId="5E4E36D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w:t>
      </w:r>
      <w:r>
        <w:rPr>
          <w:rFonts w:ascii="仿宋_GB2312" w:hAnsi="Times New Roman" w:eastAsia="仿宋_GB2312" w:cs="Times New Roman"/>
          <w:sz w:val="24"/>
          <w:szCs w:val="24"/>
        </w:rPr>
        <w:t>12</w:t>
      </w:r>
      <w:r>
        <w:rPr>
          <w:rFonts w:hint="eastAsia" w:ascii="仿宋_GB2312" w:hAnsi="Times New Roman" w:eastAsia="仿宋_GB2312" w:cs="Times New Roman"/>
          <w:sz w:val="24"/>
          <w:szCs w:val="24"/>
        </w:rPr>
        <w:t>分）主要评价项目立项、绩效目标、资金投入情况，重点关注项目绩效目标设定情况、预算编制和资金分配情况。项目过程（</w:t>
      </w:r>
      <w:r>
        <w:rPr>
          <w:rFonts w:ascii="仿宋_GB2312" w:hAnsi="Times New Roman" w:eastAsia="仿宋_GB2312" w:cs="Times New Roman"/>
          <w:sz w:val="24"/>
          <w:szCs w:val="24"/>
        </w:rPr>
        <w:t>28</w:t>
      </w:r>
      <w:r>
        <w:rPr>
          <w:rFonts w:hint="eastAsia" w:ascii="仿宋_GB2312" w:hAnsi="Times New Roman" w:eastAsia="仿宋_GB2312" w:cs="Times New Roman"/>
          <w:sz w:val="24"/>
          <w:szCs w:val="24"/>
        </w:rPr>
        <w:t>分）资金管理和组织实施情况，其中资金方面重点关注资金支出的合法合规性和绩效自评情况，组织实施重点关注管理制度的健全性和制度执行的有效性的情况。项目产出（2</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分）主要评价项目在本年度的实际产出数量、产出质量、产出成本等产出完成情况，根据项目申报内容，重点核实产出数量是否达到设定目标、产出质量、产出成本是否符合设定标准。项目效益（3</w:t>
      </w:r>
      <w:r>
        <w:rPr>
          <w:rFonts w:ascii="仿宋_GB2312" w:hAnsi="Times New Roman" w:eastAsia="仿宋_GB2312" w:cs="Times New Roman"/>
          <w:sz w:val="24"/>
          <w:szCs w:val="24"/>
        </w:rPr>
        <w:t>6</w:t>
      </w:r>
      <w:r>
        <w:rPr>
          <w:rFonts w:hint="eastAsia" w:ascii="仿宋_GB2312" w:hAnsi="Times New Roman" w:eastAsia="仿宋_GB2312" w:cs="Times New Roman"/>
          <w:sz w:val="24"/>
          <w:szCs w:val="24"/>
        </w:rPr>
        <w:t>分）主要评价社会效益、可持续影响及服务对象满意度情况，重点关注项目在社会发展方面发挥的实际作用情况和社会公众等服务对象的满意度情况。</w:t>
      </w:r>
    </w:p>
    <w:p w14:paraId="6263086E">
      <w:pPr>
        <w:spacing w:line="560" w:lineRule="exact"/>
        <w:ind w:firstLine="472" w:firstLineChars="200"/>
        <w:outlineLvl w:val="1"/>
        <w:rPr>
          <w:rFonts w:ascii="楷体_GB2312" w:hAnsi="Times New Roman" w:eastAsia="楷体_GB2312" w:cs="Times New Roman"/>
          <w:sz w:val="24"/>
          <w:szCs w:val="24"/>
        </w:rPr>
      </w:pPr>
      <w:bookmarkStart w:id="7" w:name="_Toc2560"/>
      <w:r>
        <w:rPr>
          <w:rFonts w:hint="eastAsia" w:ascii="楷体_GB2312" w:hAnsi="Times New Roman" w:eastAsia="楷体_GB2312" w:cs="Times New Roman"/>
          <w:sz w:val="24"/>
          <w:szCs w:val="24"/>
        </w:rPr>
        <w:t>（三）评价方法与实施</w:t>
      </w:r>
      <w:bookmarkEnd w:id="7"/>
    </w:p>
    <w:p w14:paraId="077E7A3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7E8B94A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6A6F799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6FF3C584">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.因素分析法，通过综合分析影响绩效目标实现、实施效果的内外因素，评价绩效目标实现程度。</w:t>
      </w:r>
    </w:p>
    <w:p w14:paraId="596D3F82">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.公众评判法，通过公众问卷及抽样调查等对财政支出效果进行评判，评价绩效目标实现程度。</w:t>
      </w:r>
    </w:p>
    <w:p w14:paraId="7519998D">
      <w:pPr>
        <w:spacing w:line="560" w:lineRule="exact"/>
        <w:ind w:firstLine="472" w:firstLineChars="200"/>
        <w:outlineLvl w:val="1"/>
        <w:rPr>
          <w:rFonts w:ascii="楷体_GB2312" w:hAnsi="Times New Roman" w:eastAsia="楷体_GB2312" w:cs="Times New Roman"/>
          <w:sz w:val="24"/>
          <w:szCs w:val="24"/>
        </w:rPr>
      </w:pPr>
      <w:bookmarkStart w:id="8" w:name="_Toc29062"/>
      <w:r>
        <w:rPr>
          <w:rFonts w:hint="eastAsia" w:ascii="楷体_GB2312" w:hAnsi="Times New Roman" w:eastAsia="楷体_GB2312" w:cs="Times New Roman"/>
          <w:sz w:val="24"/>
          <w:szCs w:val="24"/>
        </w:rPr>
        <w:t>（四）评价结论</w:t>
      </w:r>
      <w:bookmarkEnd w:id="8"/>
    </w:p>
    <w:p w14:paraId="29E467A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 在押</w:t>
      </w:r>
      <w:r>
        <w:rPr>
          <w:rFonts w:ascii="仿宋_GB2312" w:hAnsi="Times New Roman" w:eastAsia="仿宋_GB2312" w:cs="Times New Roman"/>
          <w:sz w:val="24"/>
          <w:szCs w:val="24"/>
        </w:rPr>
        <w:t>人员伙食费</w:t>
      </w:r>
      <w:r>
        <w:rPr>
          <w:rFonts w:hint="eastAsia" w:ascii="仿宋_GB2312" w:hAnsi="Times New Roman" w:eastAsia="仿宋_GB2312" w:cs="Times New Roman"/>
          <w:sz w:val="24"/>
          <w:szCs w:val="24"/>
        </w:rPr>
        <w:t>项目综合评价得分</w:t>
      </w:r>
      <w:r>
        <w:rPr>
          <w:rFonts w:ascii="仿宋_GB2312" w:hAnsi="Times New Roman" w:eastAsia="仿宋_GB2312" w:cs="Times New Roman"/>
          <w:sz w:val="24"/>
          <w:szCs w:val="24"/>
        </w:rPr>
        <w:t>99.17</w:t>
      </w:r>
      <w:r>
        <w:rPr>
          <w:rFonts w:hint="eastAsia" w:ascii="仿宋_GB2312" w:hAnsi="Times New Roman" w:eastAsia="仿宋_GB2312" w:cs="Times New Roman"/>
          <w:sz w:val="24"/>
          <w:szCs w:val="24"/>
        </w:rPr>
        <w:t>分，评价等级为“优”。202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年度看</w:t>
      </w:r>
      <w:r>
        <w:rPr>
          <w:rFonts w:ascii="仿宋_GB2312" w:hAnsi="Times New Roman" w:eastAsia="仿宋_GB2312" w:cs="Times New Roman"/>
          <w:sz w:val="24"/>
          <w:szCs w:val="24"/>
        </w:rPr>
        <w:t>守所在押人员伙食费</w:t>
      </w:r>
      <w:r>
        <w:rPr>
          <w:rFonts w:hint="eastAsia" w:ascii="仿宋_GB2312" w:hAnsi="Times New Roman" w:eastAsia="仿宋_GB2312" w:cs="Times New Roman"/>
          <w:sz w:val="24"/>
          <w:szCs w:val="24"/>
        </w:rPr>
        <w:t>项目基本按照计划完成年度工作任务，实现了年度绩效目标，取得了较好的社会效益，监所</w:t>
      </w:r>
      <w:r>
        <w:rPr>
          <w:rFonts w:ascii="仿宋_GB2312" w:hAnsi="Times New Roman" w:eastAsia="仿宋_GB2312" w:cs="Times New Roman"/>
          <w:sz w:val="24"/>
          <w:szCs w:val="24"/>
        </w:rPr>
        <w:t>内外</w:t>
      </w:r>
      <w:r>
        <w:rPr>
          <w:rFonts w:hint="eastAsia" w:ascii="仿宋_GB2312" w:hAnsi="Times New Roman" w:eastAsia="仿宋_GB2312" w:cs="Times New Roman"/>
          <w:sz w:val="24"/>
          <w:szCs w:val="24"/>
        </w:rPr>
        <w:t>人员满意度高。</w:t>
      </w:r>
    </w:p>
    <w:p w14:paraId="4598AA22">
      <w:pPr>
        <w:spacing w:line="560" w:lineRule="exact"/>
        <w:ind w:firstLine="472" w:firstLineChars="200"/>
        <w:outlineLvl w:val="0"/>
        <w:rPr>
          <w:rFonts w:ascii="黑体" w:hAnsi="黑体" w:eastAsia="黑体" w:cs="Times New Roman"/>
          <w:bCs/>
          <w:sz w:val="24"/>
          <w:szCs w:val="24"/>
        </w:rPr>
      </w:pPr>
      <w:bookmarkStart w:id="9" w:name="_Toc4485"/>
      <w:r>
        <w:rPr>
          <w:rFonts w:hint="eastAsia" w:ascii="黑体" w:hAnsi="黑体" w:eastAsia="黑体" w:cs="Times New Roman"/>
          <w:bCs/>
          <w:sz w:val="24"/>
          <w:szCs w:val="24"/>
        </w:rPr>
        <w:t>四、绩效评价指标完成情况</w:t>
      </w:r>
      <w:bookmarkEnd w:id="9"/>
    </w:p>
    <w:p w14:paraId="3CA0A7AC">
      <w:pPr>
        <w:spacing w:line="560" w:lineRule="exact"/>
        <w:ind w:firstLine="472" w:firstLineChars="200"/>
        <w:outlineLvl w:val="1"/>
        <w:rPr>
          <w:rFonts w:ascii="楷体_GB2312" w:hAnsi="Times New Roman" w:eastAsia="楷体_GB2312" w:cs="Times New Roman"/>
          <w:sz w:val="24"/>
          <w:szCs w:val="24"/>
        </w:rPr>
      </w:pPr>
      <w:bookmarkStart w:id="10" w:name="_Toc16774"/>
      <w:r>
        <w:rPr>
          <w:rFonts w:hint="eastAsia" w:ascii="楷体_GB2312" w:hAnsi="Times New Roman" w:eastAsia="楷体_GB2312" w:cs="Times New Roman"/>
          <w:sz w:val="24"/>
          <w:szCs w:val="24"/>
        </w:rPr>
        <w:t>（一）决策指标分析</w:t>
      </w:r>
      <w:bookmarkEnd w:id="10"/>
    </w:p>
    <w:p w14:paraId="7A18E49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ascii="仿宋_GB2312" w:hAnsi="Times New Roman" w:eastAsia="仿宋_GB2312" w:cs="Times New Roman"/>
          <w:sz w:val="24"/>
          <w:szCs w:val="24"/>
        </w:rPr>
        <w:t>12</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12</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项目立项依据充分，程序规范。该项目依据怀远县公安局看守所单位职责设立，立项依据充分，并按照规定的程序申请设立。项目设定的任务目标明确、细化，项目预算编制科学合理，预算内容符合项目实际需求。</w:t>
      </w:r>
    </w:p>
    <w:p w14:paraId="1E329D35">
      <w:pPr>
        <w:spacing w:line="560" w:lineRule="exact"/>
        <w:ind w:firstLine="472" w:firstLineChars="200"/>
        <w:outlineLvl w:val="1"/>
        <w:rPr>
          <w:rFonts w:ascii="楷体_GB2312" w:hAnsi="Times New Roman" w:eastAsia="楷体_GB2312" w:cs="Times New Roman"/>
          <w:sz w:val="24"/>
          <w:szCs w:val="24"/>
        </w:rPr>
      </w:pPr>
      <w:bookmarkStart w:id="11" w:name="_Toc1661"/>
      <w:r>
        <w:rPr>
          <w:rFonts w:hint="eastAsia" w:ascii="楷体_GB2312" w:hAnsi="Times New Roman" w:eastAsia="楷体_GB2312" w:cs="Times New Roman"/>
          <w:sz w:val="24"/>
          <w:szCs w:val="24"/>
        </w:rPr>
        <w:t>（二）过程指标分析</w:t>
      </w:r>
      <w:bookmarkEnd w:id="11"/>
    </w:p>
    <w:p w14:paraId="5E013BC6">
      <w:pPr>
        <w:tabs>
          <w:tab w:val="left" w:pos="500"/>
        </w:tabs>
        <w:spacing w:line="560" w:lineRule="exact"/>
        <w:ind w:firstLine="645"/>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该指标分值2</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28</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县级部门预算经人大批复同意后，县财政局及时将该项目资金分配下达至看守所，保障项目顺利实施。项目资金及时足额拨付到位，资金拨付具有完整的审批程序，资金使用合规，项目建立了财务及业务管理制度，相关制度基本得到有效执行。</w:t>
      </w:r>
    </w:p>
    <w:p w14:paraId="598EBE1A">
      <w:pPr>
        <w:spacing w:line="560" w:lineRule="exact"/>
        <w:ind w:firstLine="472" w:firstLineChars="200"/>
        <w:outlineLvl w:val="1"/>
        <w:rPr>
          <w:rFonts w:ascii="楷体_GB2312" w:hAnsi="Times New Roman" w:eastAsia="楷体_GB2312" w:cs="Times New Roman"/>
          <w:sz w:val="24"/>
          <w:szCs w:val="24"/>
        </w:rPr>
      </w:pPr>
      <w:bookmarkStart w:id="12" w:name="_Toc27095"/>
      <w:r>
        <w:rPr>
          <w:rFonts w:hint="eastAsia" w:ascii="楷体_GB2312" w:hAnsi="Times New Roman" w:eastAsia="楷体_GB2312" w:cs="Times New Roman"/>
          <w:sz w:val="24"/>
          <w:szCs w:val="24"/>
        </w:rPr>
        <w:t>（三）产出指标分析</w:t>
      </w:r>
      <w:bookmarkEnd w:id="12"/>
    </w:p>
    <w:p w14:paraId="719CEDC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该指标分值2</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23.77</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99.04</w:t>
      </w:r>
      <w:r>
        <w:rPr>
          <w:rFonts w:hint="eastAsia" w:ascii="仿宋_GB2312" w:hAnsi="Times New Roman" w:eastAsia="仿宋_GB2312" w:cs="Times New Roman"/>
          <w:sz w:val="24"/>
          <w:szCs w:val="24"/>
        </w:rPr>
        <w:t>%。各项任务完成及时，预算产出数量完成率</w:t>
      </w:r>
      <w:r>
        <w:rPr>
          <w:rFonts w:ascii="仿宋_GB2312" w:hAnsi="Times New Roman" w:eastAsia="仿宋_GB2312" w:cs="Times New Roman"/>
          <w:sz w:val="24"/>
          <w:szCs w:val="24"/>
        </w:rPr>
        <w:t>94.25</w:t>
      </w:r>
      <w:r>
        <w:rPr>
          <w:rFonts w:hint="eastAsia" w:ascii="仿宋_GB2312" w:hAnsi="Times New Roman" w:eastAsia="仿宋_GB2312" w:cs="Times New Roman"/>
          <w:sz w:val="24"/>
          <w:szCs w:val="24"/>
        </w:rPr>
        <w:t>%，主要扣分原因在于产出数量有所偏差。</w:t>
      </w:r>
    </w:p>
    <w:p w14:paraId="3B5CDBBA">
      <w:pPr>
        <w:spacing w:line="560" w:lineRule="exact"/>
        <w:ind w:firstLine="472" w:firstLineChars="200"/>
        <w:outlineLvl w:val="1"/>
        <w:rPr>
          <w:rFonts w:ascii="楷体_GB2312" w:hAnsi="Times New Roman" w:eastAsia="楷体_GB2312" w:cs="Times New Roman"/>
          <w:sz w:val="24"/>
          <w:szCs w:val="24"/>
        </w:rPr>
      </w:pPr>
      <w:bookmarkStart w:id="13" w:name="_Toc21880"/>
      <w:r>
        <w:rPr>
          <w:rFonts w:hint="eastAsia" w:ascii="楷体_GB2312" w:hAnsi="Times New Roman" w:eastAsia="楷体_GB2312" w:cs="Times New Roman"/>
          <w:sz w:val="24"/>
          <w:szCs w:val="24"/>
        </w:rPr>
        <w:t>（四）效益指标分析</w:t>
      </w:r>
      <w:bookmarkEnd w:id="13"/>
    </w:p>
    <w:p w14:paraId="2141A871">
      <w:pPr>
        <w:tabs>
          <w:tab w:val="left" w:pos="500"/>
        </w:tabs>
        <w:spacing w:line="560" w:lineRule="exact"/>
        <w:ind w:firstLine="645"/>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该指标分值3</w:t>
      </w:r>
      <w:r>
        <w:rPr>
          <w:rFonts w:ascii="仿宋_GB2312" w:hAnsi="Times New Roman" w:eastAsia="仿宋_GB2312" w:cs="Times New Roman"/>
          <w:sz w:val="24"/>
          <w:szCs w:val="24"/>
        </w:rPr>
        <w:t>6</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35.4</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98.3</w:t>
      </w:r>
      <w:r>
        <w:rPr>
          <w:rFonts w:hint="eastAsia" w:ascii="仿宋_GB2312" w:hAnsi="Times New Roman" w:eastAsia="仿宋_GB2312" w:cs="Times New Roman"/>
          <w:sz w:val="24"/>
          <w:szCs w:val="24"/>
        </w:rPr>
        <w:t>%。</w:t>
      </w:r>
      <w:bookmarkStart w:id="14" w:name="_Hlk80800402"/>
      <w:r>
        <w:rPr>
          <w:rFonts w:hint="eastAsia" w:ascii="仿宋_GB2312" w:hAnsi="Times New Roman" w:eastAsia="仿宋_GB2312" w:cs="Times New Roman"/>
          <w:sz w:val="24"/>
          <w:szCs w:val="24"/>
        </w:rPr>
        <w:t>完成在押人员基本生活保障，保障其合法权益，逐渐改善</w:t>
      </w:r>
      <w:r>
        <w:rPr>
          <w:rFonts w:ascii="仿宋_GB2312" w:hAnsi="Times New Roman" w:eastAsia="仿宋_GB2312" w:cs="Times New Roman"/>
          <w:sz w:val="24"/>
          <w:szCs w:val="24"/>
        </w:rPr>
        <w:t>在押人员伙食</w:t>
      </w:r>
      <w:r>
        <w:rPr>
          <w:rFonts w:hint="eastAsia" w:ascii="仿宋_GB2312" w:hAnsi="Times New Roman" w:eastAsia="仿宋_GB2312" w:cs="Times New Roman"/>
          <w:sz w:val="24"/>
          <w:szCs w:val="24"/>
        </w:rPr>
        <w:t>，主</w:t>
      </w:r>
      <w:r>
        <w:rPr>
          <w:rFonts w:ascii="仿宋_GB2312" w:hAnsi="Times New Roman" w:eastAsia="仿宋_GB2312" w:cs="Times New Roman"/>
          <w:sz w:val="24"/>
          <w:szCs w:val="24"/>
        </w:rPr>
        <w:t>要扣分原因在于</w:t>
      </w:r>
      <w:r>
        <w:rPr>
          <w:rFonts w:hint="eastAsia" w:ascii="仿宋_GB2312" w:hAnsi="Times New Roman" w:eastAsia="仿宋_GB2312" w:cs="Times New Roman"/>
          <w:sz w:val="24"/>
          <w:szCs w:val="24"/>
        </w:rPr>
        <w:t>监</w:t>
      </w:r>
      <w:r>
        <w:rPr>
          <w:rFonts w:ascii="仿宋_GB2312" w:hAnsi="Times New Roman" w:eastAsia="仿宋_GB2312" w:cs="Times New Roman"/>
          <w:sz w:val="24"/>
          <w:szCs w:val="24"/>
        </w:rPr>
        <w:t>所内外人员满意度有所偏差，个</w:t>
      </w:r>
      <w:r>
        <w:rPr>
          <w:rFonts w:hint="eastAsia" w:ascii="仿宋_GB2312" w:hAnsi="Times New Roman" w:eastAsia="仿宋_GB2312" w:cs="Times New Roman"/>
          <w:sz w:val="24"/>
          <w:szCs w:val="24"/>
        </w:rPr>
        <w:t>别</w:t>
      </w:r>
      <w:r>
        <w:rPr>
          <w:rFonts w:ascii="仿宋_GB2312" w:hAnsi="Times New Roman" w:eastAsia="仿宋_GB2312" w:cs="Times New Roman"/>
          <w:sz w:val="24"/>
          <w:szCs w:val="24"/>
        </w:rPr>
        <w:t>不满意</w:t>
      </w:r>
      <w:r>
        <w:rPr>
          <w:rFonts w:hint="eastAsia" w:ascii="仿宋_GB2312" w:hAnsi="Times New Roman" w:eastAsia="仿宋_GB2312" w:cs="Times New Roman"/>
          <w:sz w:val="24"/>
          <w:szCs w:val="24"/>
        </w:rPr>
        <w:t>。</w:t>
      </w:r>
    </w:p>
    <w:p w14:paraId="31A7FF69">
      <w:pPr>
        <w:spacing w:line="560" w:lineRule="exact"/>
        <w:ind w:firstLine="472" w:firstLineChars="200"/>
        <w:outlineLvl w:val="0"/>
        <w:rPr>
          <w:rFonts w:ascii="黑体" w:hAnsi="黑体" w:eastAsia="黑体" w:cs="Times New Roman"/>
          <w:bCs/>
          <w:sz w:val="24"/>
          <w:szCs w:val="24"/>
        </w:rPr>
      </w:pPr>
      <w:bookmarkStart w:id="15" w:name="_Toc3128"/>
      <w:r>
        <w:rPr>
          <w:rFonts w:hint="eastAsia" w:ascii="黑体" w:hAnsi="黑体" w:eastAsia="黑体" w:cs="Times New Roman"/>
          <w:bCs/>
          <w:sz w:val="24"/>
          <w:szCs w:val="24"/>
        </w:rPr>
        <w:t>五、主要经验及做法</w:t>
      </w:r>
      <w:bookmarkEnd w:id="15"/>
    </w:p>
    <w:p w14:paraId="1A92D06A">
      <w:pPr>
        <w:tabs>
          <w:tab w:val="left" w:pos="500"/>
        </w:tabs>
        <w:spacing w:line="560" w:lineRule="exact"/>
        <w:ind w:firstLine="645"/>
        <w:rPr>
          <w:rFonts w:ascii="仿宋_GB2312" w:hAnsi="Times New Roman" w:eastAsia="仿宋_GB2312" w:cs="Times New Roman"/>
          <w:sz w:val="24"/>
          <w:szCs w:val="24"/>
        </w:rPr>
      </w:pPr>
      <w:bookmarkStart w:id="16" w:name="_Toc2815"/>
      <w:r>
        <w:rPr>
          <w:rFonts w:hint="eastAsia" w:ascii="仿宋_GB2312" w:hAnsi="Times New Roman" w:eastAsia="仿宋_GB2312" w:cs="Times New Roman"/>
          <w:sz w:val="24"/>
          <w:szCs w:val="24"/>
        </w:rPr>
        <w:t>看守所在押人员伙食费纳入同级财政预算予以保障，县财政部门将公安监管场所经费列入部门年度预算，单独核算，保障了其运转所需专项支出。看守所对于在押人员伙食费做到专款专用，坚决不列支其它费用。同时看守所自觉接受上级相关部门专项费用监督工作，对于发现</w:t>
      </w:r>
      <w:r>
        <w:rPr>
          <w:rFonts w:ascii="仿宋_GB2312" w:hAnsi="Times New Roman" w:eastAsia="仿宋_GB2312" w:cs="Times New Roman"/>
          <w:sz w:val="24"/>
          <w:szCs w:val="24"/>
        </w:rPr>
        <w:t>的</w:t>
      </w:r>
      <w:r>
        <w:rPr>
          <w:rFonts w:hint="eastAsia" w:ascii="仿宋_GB2312" w:hAnsi="Times New Roman" w:eastAsia="仿宋_GB2312" w:cs="Times New Roman"/>
          <w:sz w:val="24"/>
          <w:szCs w:val="24"/>
        </w:rPr>
        <w:t>问题能做到及时</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认真整改、总结。</w:t>
      </w:r>
    </w:p>
    <w:p w14:paraId="4C743E73">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（一）是进一步强化财政预算保障力度，实现财政预算资金的规范、高效、安全和廉洁使用；</w:t>
      </w:r>
    </w:p>
    <w:p w14:paraId="69FBFF1A">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（二）是进一步加强绩效评价制度和流程的建设，深化完善绩效管理体系；</w:t>
      </w:r>
    </w:p>
    <w:p w14:paraId="0861AEF7">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（三）是进一步完善财务管理制度及内部控制制度，创新管理手段，</w:t>
      </w:r>
      <w:r>
        <w:rPr>
          <w:rFonts w:ascii="仿宋_GB2312" w:hAnsi="Times New Roman" w:eastAsia="仿宋_GB2312" w:cs="Times New Roman"/>
          <w:sz w:val="24"/>
          <w:szCs w:val="24"/>
        </w:rPr>
        <w:t>专款</w:t>
      </w:r>
      <w:r>
        <w:rPr>
          <w:rFonts w:hint="eastAsia" w:ascii="仿宋_GB2312" w:hAnsi="Times New Roman" w:eastAsia="仿宋_GB2312" w:cs="Times New Roman"/>
          <w:sz w:val="24"/>
          <w:szCs w:val="24"/>
        </w:rPr>
        <w:t>专</w:t>
      </w:r>
      <w:r>
        <w:rPr>
          <w:rFonts w:ascii="仿宋_GB2312" w:hAnsi="Times New Roman" w:eastAsia="仿宋_GB2312" w:cs="Times New Roman"/>
          <w:sz w:val="24"/>
          <w:szCs w:val="24"/>
        </w:rPr>
        <w:t>用，其他费用严禁</w:t>
      </w:r>
      <w:r>
        <w:rPr>
          <w:rFonts w:hint="eastAsia" w:ascii="仿宋_GB2312" w:hAnsi="Times New Roman" w:eastAsia="仿宋_GB2312" w:cs="Times New Roman"/>
          <w:sz w:val="24"/>
          <w:szCs w:val="24"/>
        </w:rPr>
        <w:t>挤</w:t>
      </w:r>
      <w:r>
        <w:rPr>
          <w:rFonts w:ascii="仿宋_GB2312" w:hAnsi="Times New Roman" w:eastAsia="仿宋_GB2312" w:cs="Times New Roman"/>
          <w:sz w:val="24"/>
          <w:szCs w:val="24"/>
        </w:rPr>
        <w:t>占在押</w:t>
      </w:r>
      <w:r>
        <w:rPr>
          <w:rFonts w:hint="eastAsia" w:ascii="仿宋_GB2312" w:hAnsi="Times New Roman" w:eastAsia="仿宋_GB2312" w:cs="Times New Roman"/>
          <w:sz w:val="24"/>
          <w:szCs w:val="24"/>
        </w:rPr>
        <w:t>人员</w:t>
      </w:r>
      <w:r>
        <w:rPr>
          <w:rFonts w:ascii="仿宋_GB2312" w:hAnsi="Times New Roman" w:eastAsia="仿宋_GB2312" w:cs="Times New Roman"/>
          <w:sz w:val="24"/>
          <w:szCs w:val="24"/>
        </w:rPr>
        <w:t>伙食费</w:t>
      </w:r>
      <w:r>
        <w:rPr>
          <w:rFonts w:hint="eastAsia" w:ascii="仿宋_GB2312" w:hAnsi="Times New Roman" w:eastAsia="仿宋_GB2312" w:cs="Times New Roman"/>
          <w:sz w:val="24"/>
          <w:szCs w:val="24"/>
        </w:rPr>
        <w:t>，规范财务核算，提高财政资金使用效率。</w:t>
      </w:r>
    </w:p>
    <w:p w14:paraId="76563B2E">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六、存在问题及原因分析</w:t>
      </w:r>
      <w:bookmarkEnd w:id="16"/>
    </w:p>
    <w:p w14:paraId="4460FA2A">
      <w:pPr>
        <w:spacing w:line="560" w:lineRule="exact"/>
        <w:ind w:firstLine="472" w:firstLineChars="200"/>
        <w:outlineLvl w:val="0"/>
        <w:rPr>
          <w:rFonts w:ascii="仿宋_GB2312" w:hAnsi="Times New Roman" w:eastAsia="仿宋_GB2312" w:cs="Times New Roman"/>
          <w:sz w:val="24"/>
          <w:szCs w:val="24"/>
        </w:rPr>
      </w:pPr>
      <w:bookmarkStart w:id="17" w:name="_Toc13766"/>
      <w:r>
        <w:rPr>
          <w:rFonts w:hint="eastAsia" w:ascii="仿宋_GB2312" w:hAnsi="Times New Roman" w:eastAsia="仿宋_GB2312" w:cs="Times New Roman"/>
          <w:sz w:val="24"/>
          <w:szCs w:val="24"/>
        </w:rPr>
        <w:t>（一）绩效指标体系尚需完善，部分指标设置不够科学、合理，个别项目绩效目标设置不够细化。 如数量指标、质量指标，说法过于笼统。</w:t>
      </w:r>
    </w:p>
    <w:p w14:paraId="4856810C">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（二）绩效自评表不够细化、绩效自评报告过于简单，内容不够规范，不能完全精确体现实际效益。</w:t>
      </w:r>
    </w:p>
    <w:p w14:paraId="1B9004BB">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（三）对绩效管理意识有待增强，尚未能全面深入认识理解绩效管理工作意义，绩效管理经验不足。</w:t>
      </w:r>
    </w:p>
    <w:p w14:paraId="2A388CE8">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七、有关建议</w:t>
      </w:r>
      <w:bookmarkEnd w:id="17"/>
    </w:p>
    <w:p w14:paraId="7C1349CD">
      <w:pPr>
        <w:spacing w:line="560" w:lineRule="exact"/>
        <w:ind w:firstLine="472" w:firstLineChars="200"/>
        <w:outlineLvl w:val="1"/>
        <w:rPr>
          <w:rFonts w:ascii="楷体_GB2312" w:hAnsi="Times New Roman" w:eastAsia="楷体_GB2312" w:cs="Times New Roman"/>
          <w:sz w:val="24"/>
          <w:szCs w:val="24"/>
        </w:rPr>
      </w:pPr>
      <w:bookmarkStart w:id="18" w:name="_Toc20363"/>
      <w:r>
        <w:rPr>
          <w:rFonts w:hint="eastAsia" w:ascii="楷体_GB2312" w:hAnsi="Times New Roman" w:eastAsia="楷体_GB2312" w:cs="Times New Roman"/>
          <w:sz w:val="24"/>
          <w:szCs w:val="24"/>
        </w:rPr>
        <w:t>（一）提高绩效目标编制规范性和完整性</w:t>
      </w:r>
      <w:bookmarkEnd w:id="18"/>
    </w:p>
    <w:p w14:paraId="76D4ED6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以相关政策指导为目标将工作任务有效分解，加强学习，结合实际情况参考同类项目制定完整、合理的绩效指标。</w:t>
      </w:r>
    </w:p>
    <w:p w14:paraId="59FA33C1">
      <w:pPr>
        <w:spacing w:line="560" w:lineRule="exact"/>
        <w:ind w:firstLine="472" w:firstLineChars="200"/>
        <w:outlineLvl w:val="1"/>
        <w:rPr>
          <w:rFonts w:ascii="楷体_GB2312" w:hAnsi="Times New Roman" w:eastAsia="楷体_GB2312" w:cs="Times New Roman"/>
          <w:sz w:val="24"/>
          <w:szCs w:val="24"/>
        </w:rPr>
      </w:pPr>
      <w:bookmarkStart w:id="19" w:name="_Toc17825"/>
      <w:r>
        <w:rPr>
          <w:rFonts w:hint="eastAsia" w:ascii="楷体_GB2312" w:hAnsi="Times New Roman" w:eastAsia="楷体_GB2312" w:cs="Times New Roman"/>
          <w:sz w:val="24"/>
          <w:szCs w:val="24"/>
        </w:rPr>
        <w:t>（二）</w:t>
      </w:r>
      <w:bookmarkEnd w:id="19"/>
      <w:r>
        <w:rPr>
          <w:rFonts w:hint="eastAsia" w:ascii="楷体_GB2312" w:hAnsi="Times New Roman" w:eastAsia="楷体_GB2312" w:cs="Times New Roman"/>
          <w:sz w:val="24"/>
          <w:szCs w:val="24"/>
        </w:rPr>
        <w:t>加强财务管理与绩效评价体系建设</w:t>
      </w:r>
    </w:p>
    <w:p w14:paraId="4D88C42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加强财务管理，确保资金使用规范，提高资金使用效率，进一步加强绩效评价制度和流程的建设，深化完善绩效管理体系。</w:t>
      </w:r>
    </w:p>
    <w:p w14:paraId="3DD60219">
      <w:pPr>
        <w:spacing w:line="560" w:lineRule="exact"/>
        <w:ind w:firstLine="472" w:firstLineChars="200"/>
        <w:rPr>
          <w:rFonts w:ascii="仿宋_GB2312" w:hAnsi="Times New Roman" w:eastAsia="仿宋_GB2312" w:cs="Times New Roman"/>
          <w:sz w:val="24"/>
          <w:szCs w:val="24"/>
        </w:rPr>
      </w:pPr>
    </w:p>
    <w:p w14:paraId="67B7F0B0">
      <w:pPr>
        <w:spacing w:line="560" w:lineRule="exact"/>
        <w:ind w:firstLine="472" w:firstLineChars="200"/>
        <w:rPr>
          <w:rFonts w:ascii="仿宋_GB2312" w:hAnsi="Times New Roman" w:eastAsia="仿宋_GB2312" w:cs="Times New Roman"/>
          <w:sz w:val="24"/>
          <w:szCs w:val="24"/>
        </w:rPr>
      </w:pPr>
    </w:p>
    <w:p w14:paraId="3FCD0CE3">
      <w:pPr>
        <w:spacing w:line="560" w:lineRule="exact"/>
        <w:ind w:firstLine="472" w:firstLineChars="200"/>
        <w:rPr>
          <w:rFonts w:ascii="仿宋_GB2312" w:hAnsi="Times New Roman" w:eastAsia="仿宋_GB2312" w:cs="Times New Roman"/>
          <w:sz w:val="24"/>
          <w:szCs w:val="24"/>
        </w:rPr>
      </w:pPr>
    </w:p>
    <w:p w14:paraId="36972218">
      <w:pPr>
        <w:spacing w:line="560" w:lineRule="exact"/>
        <w:ind w:firstLine="472" w:firstLineChars="200"/>
        <w:rPr>
          <w:rFonts w:ascii="仿宋_GB2312" w:hAnsi="Times New Roman" w:eastAsia="仿宋_GB2312" w:cs="Times New Roman"/>
          <w:sz w:val="24"/>
          <w:szCs w:val="24"/>
        </w:rPr>
      </w:pPr>
    </w:p>
    <w:bookmarkEnd w:id="14"/>
    <w:p w14:paraId="099DA7EB">
      <w:pPr>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br w:type="page"/>
      </w:r>
    </w:p>
    <w:p w14:paraId="01B9D686">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20" w:name="_Toc26016"/>
      <w:r>
        <w:rPr>
          <w:rFonts w:hint="eastAsia" w:ascii="方正小标宋简体" w:hAnsi="华文宋体" w:eastAsia="方正小标宋简体" w:cs="Times New Roman"/>
          <w:b/>
          <w:bCs/>
          <w:sz w:val="36"/>
          <w:szCs w:val="36"/>
        </w:rPr>
        <w:t>202</w:t>
      </w:r>
      <w:r>
        <w:rPr>
          <w:rFonts w:ascii="方正小标宋简体" w:hAnsi="华文宋体" w:eastAsia="方正小标宋简体" w:cs="Times New Roman"/>
          <w:b/>
          <w:bCs/>
          <w:sz w:val="36"/>
          <w:szCs w:val="36"/>
        </w:rPr>
        <w:t>3</w:t>
      </w:r>
      <w:r>
        <w:rPr>
          <w:rFonts w:hint="eastAsia" w:ascii="方正小标宋简体" w:hAnsi="华文宋体" w:eastAsia="方正小标宋简体" w:cs="Times New Roman"/>
          <w:b/>
          <w:bCs/>
          <w:sz w:val="36"/>
          <w:szCs w:val="36"/>
        </w:rPr>
        <w:t>年度怀</w:t>
      </w:r>
      <w:r>
        <w:rPr>
          <w:rFonts w:ascii="方正小标宋简体" w:hAnsi="华文宋体" w:eastAsia="方正小标宋简体" w:cs="Times New Roman"/>
          <w:b/>
          <w:bCs/>
          <w:sz w:val="36"/>
          <w:szCs w:val="36"/>
        </w:rPr>
        <w:t>远县公安局看守所在押人员伙食费</w:t>
      </w:r>
      <w:r>
        <w:rPr>
          <w:rFonts w:hint="eastAsia" w:ascii="方正小标宋简体" w:hAnsi="华文宋体" w:eastAsia="方正小标宋简体" w:cs="Times New Roman"/>
          <w:b/>
          <w:bCs/>
          <w:sz w:val="36"/>
          <w:szCs w:val="36"/>
        </w:rPr>
        <w:t>项目支出绩效评价报告</w:t>
      </w:r>
      <w:bookmarkEnd w:id="20"/>
    </w:p>
    <w:p w14:paraId="3A63E5FB">
      <w:pPr>
        <w:spacing w:line="560" w:lineRule="exact"/>
        <w:ind w:firstLine="472" w:firstLineChars="200"/>
        <w:outlineLvl w:val="0"/>
        <w:rPr>
          <w:rFonts w:ascii="黑体" w:hAnsi="黑体" w:eastAsia="黑体" w:cs="Times New Roman"/>
          <w:b/>
          <w:bCs/>
          <w:sz w:val="24"/>
          <w:szCs w:val="24"/>
        </w:rPr>
      </w:pPr>
      <w:bookmarkStart w:id="21" w:name="_Toc27814"/>
      <w:r>
        <w:rPr>
          <w:rFonts w:hint="eastAsia" w:ascii="黑体" w:hAnsi="黑体" w:eastAsia="黑体" w:cs="Times New Roman"/>
          <w:b/>
          <w:bCs/>
          <w:sz w:val="24"/>
          <w:szCs w:val="24"/>
        </w:rPr>
        <w:t>一、项目基本情况</w:t>
      </w:r>
      <w:bookmarkEnd w:id="21"/>
    </w:p>
    <w:p w14:paraId="381ECF26">
      <w:pPr>
        <w:spacing w:line="560" w:lineRule="exact"/>
        <w:ind w:firstLine="472" w:firstLineChars="200"/>
        <w:outlineLvl w:val="1"/>
        <w:rPr>
          <w:rFonts w:ascii="楷体_GB2312" w:hAnsi="Times New Roman" w:eastAsia="楷体_GB2312" w:cs="Times New Roman"/>
          <w:sz w:val="24"/>
          <w:szCs w:val="24"/>
        </w:rPr>
      </w:pPr>
      <w:bookmarkStart w:id="22" w:name="_Toc3481"/>
      <w:r>
        <w:rPr>
          <w:rFonts w:hint="eastAsia" w:ascii="楷体_GB2312" w:hAnsi="Times New Roman" w:eastAsia="楷体_GB2312" w:cs="Times New Roman"/>
          <w:sz w:val="24"/>
          <w:szCs w:val="24"/>
        </w:rPr>
        <w:t>（一）项目概况</w:t>
      </w:r>
      <w:bookmarkEnd w:id="22"/>
    </w:p>
    <w:p w14:paraId="130F443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14:paraId="3C65FA04">
      <w:pPr>
        <w:widowControl/>
        <w:spacing w:line="560" w:lineRule="exact"/>
        <w:ind w:firstLine="472" w:firstLineChars="200"/>
        <w:rPr>
          <w:rFonts w:ascii="仿宋_GB2312" w:hAnsi="Times New Roman" w:eastAsia="仿宋_GB2312" w:cs="Times New Roman"/>
          <w:sz w:val="24"/>
          <w:szCs w:val="24"/>
        </w:rPr>
      </w:pPr>
      <w:bookmarkStart w:id="23" w:name="_Hlk80109772"/>
      <w:r>
        <w:rPr>
          <w:rFonts w:hint="eastAsia" w:ascii="仿宋_GB2312" w:hAnsi="Times New Roman" w:eastAsia="仿宋_GB2312" w:cs="Times New Roman"/>
          <w:sz w:val="24"/>
          <w:szCs w:val="24"/>
        </w:rPr>
        <w:t>依据《公安部关于进一步加强和改进公安监管工作的意见》（公通字〔</w:t>
      </w:r>
      <w:r>
        <w:rPr>
          <w:rFonts w:ascii="仿宋_GB2312" w:hAnsi="Times New Roman" w:eastAsia="仿宋_GB2312" w:cs="Times New Roman"/>
          <w:sz w:val="24"/>
          <w:szCs w:val="24"/>
        </w:rPr>
        <w:t>2009</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36</w:t>
      </w:r>
      <w:r>
        <w:rPr>
          <w:rFonts w:hint="eastAsia" w:ascii="仿宋_GB2312" w:hAnsi="Times New Roman" w:eastAsia="仿宋_GB2312" w:cs="Times New Roman"/>
          <w:sz w:val="24"/>
          <w:szCs w:val="24"/>
        </w:rPr>
        <w:t>号）和财政部 公安部《关于调整看守所在押人员伙食实物量标准的通知》（财行〔2016〕430号）文件要求：各级财政部门要将公安监管场所经费列入部门年度预算，单独核算，保障其运转所需各项支出；将看守所在押人员伙食费纳入同级财政预算予以保障，要求看守所建立健全内部管理制度，在确保食物安全、卫生的基础上，保证被监管人员伙食按标准供应。</w:t>
      </w:r>
    </w:p>
    <w:p w14:paraId="5CC2D44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bookmarkEnd w:id="23"/>
    <w:p w14:paraId="026A41F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该项目实际到位资金</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万元，实际支出资金100万元，预算执行率为100%。</w:t>
      </w:r>
    </w:p>
    <w:p w14:paraId="31E323A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14:paraId="36550C7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（1）资金投入情况：县财政局《关于202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年度县级部门预算的批复》（怀财预〔202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号）批复怀</w:t>
      </w:r>
      <w:r>
        <w:rPr>
          <w:rFonts w:ascii="仿宋_GB2312" w:hAnsi="Times New Roman" w:eastAsia="仿宋_GB2312" w:cs="Times New Roman"/>
          <w:sz w:val="24"/>
          <w:szCs w:val="24"/>
        </w:rPr>
        <w:t>远县公安局</w:t>
      </w:r>
      <w:r>
        <w:rPr>
          <w:rFonts w:hint="eastAsia" w:ascii="仿宋_GB2312" w:hAnsi="Times New Roman" w:eastAsia="仿宋_GB2312" w:cs="Times New Roman"/>
          <w:sz w:val="24"/>
          <w:szCs w:val="24"/>
        </w:rPr>
        <w:t>看守所</w:t>
      </w:r>
      <w:r>
        <w:rPr>
          <w:rFonts w:ascii="仿宋_GB2312" w:hAnsi="Times New Roman" w:eastAsia="仿宋_GB2312" w:cs="Times New Roman"/>
          <w:sz w:val="24"/>
          <w:szCs w:val="24"/>
        </w:rPr>
        <w:t>在押人员伙食费</w:t>
      </w:r>
      <w:r>
        <w:rPr>
          <w:rFonts w:hint="eastAsia" w:ascii="仿宋_GB2312" w:hAnsi="Times New Roman" w:eastAsia="仿宋_GB2312" w:cs="Times New Roman"/>
          <w:sz w:val="24"/>
          <w:szCs w:val="24"/>
        </w:rPr>
        <w:t>项目资金</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万元，资金全部到位，到位率100%。</w:t>
      </w:r>
    </w:p>
    <w:p w14:paraId="7B6323D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（2）资金使用情况：本次评价资金主要用于怀远</w:t>
      </w:r>
      <w:r>
        <w:rPr>
          <w:rFonts w:ascii="仿宋_GB2312" w:hAnsi="Times New Roman" w:eastAsia="仿宋_GB2312" w:cs="Times New Roman"/>
          <w:sz w:val="24"/>
          <w:szCs w:val="24"/>
        </w:rPr>
        <w:t>县公安局</w:t>
      </w:r>
      <w:r>
        <w:rPr>
          <w:rFonts w:hint="eastAsia" w:ascii="仿宋_GB2312" w:hAnsi="Times New Roman" w:eastAsia="仿宋_GB2312" w:cs="Times New Roman"/>
          <w:sz w:val="24"/>
          <w:szCs w:val="24"/>
        </w:rPr>
        <w:t>看</w:t>
      </w:r>
      <w:r>
        <w:rPr>
          <w:rFonts w:ascii="仿宋_GB2312" w:hAnsi="Times New Roman" w:eastAsia="仿宋_GB2312" w:cs="Times New Roman"/>
          <w:sz w:val="24"/>
          <w:szCs w:val="24"/>
        </w:rPr>
        <w:t>守所在押人员伙食费</w:t>
      </w:r>
      <w:r>
        <w:rPr>
          <w:rFonts w:hint="eastAsia" w:ascii="仿宋_GB2312" w:hAnsi="Times New Roman" w:eastAsia="仿宋_GB2312" w:cs="Times New Roman"/>
          <w:sz w:val="24"/>
          <w:szCs w:val="24"/>
        </w:rPr>
        <w:t>项目支出，年初预算</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万元，执行数为100万元，完成年度预算的</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w:t>
      </w:r>
    </w:p>
    <w:p w14:paraId="47111908">
      <w:pPr>
        <w:spacing w:line="560" w:lineRule="exact"/>
        <w:ind w:firstLine="472" w:firstLineChars="200"/>
        <w:outlineLvl w:val="1"/>
        <w:rPr>
          <w:rFonts w:ascii="楷体_GB2312" w:hAnsi="Times New Roman" w:eastAsia="楷体_GB2312" w:cs="Times New Roman"/>
          <w:sz w:val="24"/>
          <w:szCs w:val="24"/>
        </w:rPr>
      </w:pPr>
      <w:bookmarkStart w:id="24" w:name="_Toc32417"/>
      <w:r>
        <w:rPr>
          <w:rFonts w:hint="eastAsia" w:ascii="楷体_GB2312" w:hAnsi="Times New Roman" w:eastAsia="楷体_GB2312" w:cs="Times New Roman"/>
          <w:sz w:val="24"/>
          <w:szCs w:val="24"/>
        </w:rPr>
        <w:t>（二）项目绩效目标</w:t>
      </w:r>
      <w:bookmarkEnd w:id="24"/>
    </w:p>
    <w:p w14:paraId="093543E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总体目标和</w:t>
      </w:r>
      <w:r>
        <w:rPr>
          <w:rFonts w:ascii="仿宋_GB2312" w:hAnsi="Times New Roman" w:eastAsia="仿宋_GB2312" w:cs="Times New Roman"/>
          <w:sz w:val="24"/>
          <w:szCs w:val="24"/>
        </w:rPr>
        <w:t>年度目标</w:t>
      </w:r>
      <w:r>
        <w:rPr>
          <w:rFonts w:hint="eastAsia" w:ascii="仿宋_GB2312" w:hAnsi="Times New Roman" w:eastAsia="仿宋_GB2312" w:cs="Times New Roman"/>
          <w:sz w:val="24"/>
          <w:szCs w:val="24"/>
        </w:rPr>
        <w:t>：达到省厅要求的在押人员伙食费标准，确保在押人员基本生活保障，确保监所安全和社会稳定。</w:t>
      </w:r>
    </w:p>
    <w:p w14:paraId="6309120C">
      <w:pPr>
        <w:spacing w:line="560" w:lineRule="exact"/>
        <w:ind w:firstLine="472" w:firstLineChars="200"/>
        <w:outlineLvl w:val="0"/>
        <w:rPr>
          <w:rFonts w:ascii="黑体" w:hAnsi="黑体" w:eastAsia="黑体" w:cs="Times New Roman"/>
          <w:b/>
          <w:bCs/>
          <w:sz w:val="24"/>
          <w:szCs w:val="24"/>
        </w:rPr>
      </w:pPr>
      <w:bookmarkStart w:id="25" w:name="_Toc3602"/>
      <w:r>
        <w:rPr>
          <w:rFonts w:hint="eastAsia" w:ascii="黑体" w:hAnsi="黑体" w:eastAsia="黑体" w:cs="Times New Roman"/>
          <w:b/>
          <w:bCs/>
          <w:sz w:val="24"/>
          <w:szCs w:val="24"/>
        </w:rPr>
        <w:t>二、绩效评价工作开展情况</w:t>
      </w:r>
      <w:bookmarkEnd w:id="25"/>
    </w:p>
    <w:p w14:paraId="48138E3A">
      <w:pPr>
        <w:spacing w:line="560" w:lineRule="exact"/>
        <w:ind w:firstLine="472" w:firstLineChars="200"/>
        <w:outlineLvl w:val="1"/>
        <w:rPr>
          <w:rFonts w:ascii="楷体_GB2312" w:hAnsi="Times New Roman" w:eastAsia="楷体_GB2312" w:cs="Times New Roman"/>
          <w:sz w:val="24"/>
          <w:szCs w:val="24"/>
        </w:rPr>
      </w:pPr>
      <w:bookmarkStart w:id="26" w:name="_Toc23951"/>
      <w:r>
        <w:rPr>
          <w:rFonts w:hint="eastAsia" w:ascii="楷体_GB2312" w:hAnsi="Times New Roman" w:eastAsia="楷体_GB2312" w:cs="Times New Roman"/>
          <w:sz w:val="24"/>
          <w:szCs w:val="24"/>
        </w:rPr>
        <w:t>（一）</w:t>
      </w:r>
      <w:bookmarkStart w:id="27" w:name="_Hlk79591799"/>
      <w:r>
        <w:rPr>
          <w:rFonts w:hint="eastAsia" w:ascii="楷体_GB2312" w:hAnsi="Times New Roman" w:eastAsia="楷体_GB2312" w:cs="Times New Roman"/>
          <w:sz w:val="24"/>
          <w:szCs w:val="24"/>
        </w:rPr>
        <w:t>绩效评价</w:t>
      </w:r>
      <w:bookmarkEnd w:id="27"/>
      <w:r>
        <w:rPr>
          <w:rFonts w:hint="eastAsia" w:ascii="楷体_GB2312" w:hAnsi="Times New Roman" w:eastAsia="楷体_GB2312" w:cs="Times New Roman"/>
          <w:sz w:val="24"/>
          <w:szCs w:val="24"/>
        </w:rPr>
        <w:t>目的、对象和范围</w:t>
      </w:r>
      <w:bookmarkEnd w:id="26"/>
    </w:p>
    <w:p w14:paraId="6D01C95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1.绩效评价目的。本次绩效评价的目的是对本项目的实施情况进行评价，从绩效效果、质量和效益等方面进行综合评估，找出问题，进一步提高项目的效率。</w:t>
      </w:r>
    </w:p>
    <w:p w14:paraId="7EADFE6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在押人员伙食费</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项目</w:t>
      </w:r>
      <w:r>
        <w:rPr>
          <w:rFonts w:hint="eastAsia" w:ascii="仿宋_GB2312" w:hAnsi="Times New Roman" w:eastAsia="仿宋_GB2312" w:cs="Times New Roman"/>
          <w:sz w:val="24"/>
          <w:szCs w:val="24"/>
        </w:rPr>
        <w:t>。</w:t>
      </w:r>
    </w:p>
    <w:p w14:paraId="34BF14A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3.绩效评价范围。评价范围包括项目财政资金产出指标、效益指标、满意度指标等进行评价。。</w:t>
      </w:r>
    </w:p>
    <w:p w14:paraId="65E22B31">
      <w:pPr>
        <w:spacing w:line="560" w:lineRule="exact"/>
        <w:ind w:firstLine="472" w:firstLineChars="200"/>
        <w:outlineLvl w:val="1"/>
        <w:rPr>
          <w:rFonts w:ascii="楷体_GB2312" w:hAnsi="Times New Roman" w:eastAsia="楷体_GB2312" w:cs="Times New Roman"/>
          <w:sz w:val="24"/>
          <w:szCs w:val="24"/>
        </w:rPr>
      </w:pPr>
      <w:bookmarkStart w:id="28" w:name="_Toc17751"/>
      <w:r>
        <w:rPr>
          <w:rFonts w:hint="eastAsia" w:ascii="楷体_GB2312" w:hAnsi="Times New Roman" w:eastAsia="楷体_GB2312" w:cs="Times New Roman"/>
          <w:sz w:val="24"/>
          <w:szCs w:val="24"/>
        </w:rPr>
        <w:t>（二）绩效评价原则、评价指标体系、评价方法、评价标准</w:t>
      </w:r>
      <w:bookmarkEnd w:id="28"/>
    </w:p>
    <w:p w14:paraId="4D52DCB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1.绩效评价原则：科学规范、公正公开、科学合理、可操作性强以及绩效相关原则。</w:t>
      </w:r>
    </w:p>
    <w:p w14:paraId="6E1D8B5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14:paraId="2A4536D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14:paraId="09F4944A">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在押人员伙食费</w:t>
      </w:r>
      <w:r>
        <w:rPr>
          <w:rFonts w:hint="eastAsia" w:ascii="仿宋_GB2312" w:hAnsi="Times New Roman" w:eastAsia="仿宋_GB2312" w:cs="Times New Roman"/>
          <w:sz w:val="24"/>
          <w:szCs w:val="24"/>
        </w:rPr>
        <w:t>”项目评价指标体系包括4项一级指标，1</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项二级指标，2</w:t>
      </w: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项三级指标，满分为100分。具体如下：</w:t>
      </w:r>
    </w:p>
    <w:tbl>
      <w:tblPr>
        <w:tblStyle w:val="16"/>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14:paraId="06B5CFBA">
        <w:tblPrEx>
          <w:tblCellMar>
            <w:top w:w="0" w:type="dxa"/>
            <w:left w:w="108" w:type="dxa"/>
            <w:bottom w:w="0" w:type="dxa"/>
            <w:right w:w="108" w:type="dxa"/>
          </w:tblCellMar>
        </w:tblPrEx>
        <w:trPr>
          <w:trHeight w:val="270" w:hRule="atLeast"/>
        </w:trPr>
        <w:tc>
          <w:tcPr>
            <w:tcW w:w="7995" w:type="dxa"/>
            <w:gridSpan w:val="6"/>
            <w:tcBorders>
              <w:top w:val="nil"/>
              <w:left w:val="nil"/>
              <w:bottom w:val="single" w:color="auto" w:sz="4" w:space="0"/>
              <w:right w:val="nil"/>
            </w:tcBorders>
            <w:shd w:val="clear" w:color="auto" w:fill="auto"/>
            <w:noWrap/>
            <w:vAlign w:val="center"/>
          </w:tcPr>
          <w:p w14:paraId="0CBC3318">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14:paraId="1BD09E56">
        <w:tblPrEx>
          <w:tblCellMar>
            <w:top w:w="0" w:type="dxa"/>
            <w:left w:w="108" w:type="dxa"/>
            <w:bottom w:w="0" w:type="dxa"/>
            <w:right w:w="108" w:type="dxa"/>
          </w:tblCellMar>
        </w:tblPrEx>
        <w:trPr>
          <w:trHeight w:val="270" w:hRule="atLeast"/>
        </w:trPr>
        <w:tc>
          <w:tcPr>
            <w:tcW w:w="1080" w:type="dxa"/>
            <w:tcBorders>
              <w:top w:val="single" w:color="auto" w:sz="4" w:space="0"/>
              <w:left w:val="single" w:color="auto" w:sz="4" w:space="0"/>
              <w:bottom w:val="single" w:color="auto" w:sz="4" w:space="0"/>
              <w:right w:val="single" w:color="auto" w:sz="4" w:space="0"/>
            </w:tcBorders>
            <w:shd w:val="clear" w:color="auto" w:fill="auto"/>
          </w:tcPr>
          <w:p w14:paraId="2C44DD9B">
            <w:pPr>
              <w:widowControl/>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一级指标</w:t>
            </w:r>
          </w:p>
        </w:tc>
        <w:tc>
          <w:tcPr>
            <w:tcW w:w="1080" w:type="dxa"/>
            <w:tcBorders>
              <w:top w:val="single" w:color="auto" w:sz="4" w:space="0"/>
              <w:left w:val="single" w:color="auto" w:sz="4" w:space="0"/>
              <w:bottom w:val="single" w:color="auto" w:sz="4" w:space="0"/>
              <w:right w:val="single" w:color="auto" w:sz="4" w:space="0"/>
            </w:tcBorders>
            <w:shd w:val="clear" w:color="auto" w:fill="auto"/>
          </w:tcPr>
          <w:p w14:paraId="167AC066">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1080" w:type="dxa"/>
            <w:tcBorders>
              <w:top w:val="single" w:color="auto" w:sz="4" w:space="0"/>
              <w:left w:val="single" w:color="auto" w:sz="4" w:space="0"/>
              <w:bottom w:val="single" w:color="auto" w:sz="4" w:space="0"/>
              <w:right w:val="single" w:color="auto" w:sz="4" w:space="0"/>
            </w:tcBorders>
            <w:shd w:val="clear" w:color="auto" w:fill="auto"/>
          </w:tcPr>
          <w:p w14:paraId="76686956">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二级指标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43100A04">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4AAB1BD0">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三级指标</w:t>
            </w:r>
          </w:p>
        </w:tc>
        <w:tc>
          <w:tcPr>
            <w:tcW w:w="1080" w:type="dxa"/>
            <w:tcBorders>
              <w:top w:val="single" w:color="auto" w:sz="4" w:space="0"/>
              <w:left w:val="single" w:color="auto" w:sz="4" w:space="0"/>
              <w:bottom w:val="single" w:color="auto" w:sz="4" w:space="0"/>
              <w:right w:val="single" w:color="auto" w:sz="4" w:space="0"/>
            </w:tcBorders>
            <w:shd w:val="clear" w:color="auto" w:fill="auto"/>
          </w:tcPr>
          <w:p w14:paraId="0D38B5EA">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r>
      <w:tr w14:paraId="61A51EDF">
        <w:tblPrEx>
          <w:tblCellMar>
            <w:top w:w="0" w:type="dxa"/>
            <w:left w:w="108" w:type="dxa"/>
            <w:bottom w:w="0" w:type="dxa"/>
            <w:right w:w="108" w:type="dxa"/>
          </w:tblCellMar>
        </w:tblPrEx>
        <w:trPr>
          <w:trHeight w:val="45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FFBCC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决策</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CAAEB5">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12</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193475">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项目立项</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701CD9">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268D1C4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立项依据充分性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5C785FAA">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14:paraId="744DEBF8">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803D81">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E1B5BB">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862CC8">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731EDA">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304FB8F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立项程序规范性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C8BF509">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1</w:t>
            </w:r>
          </w:p>
        </w:tc>
      </w:tr>
      <w:tr w14:paraId="74808449">
        <w:tblPrEx>
          <w:tblCellMar>
            <w:top w:w="0" w:type="dxa"/>
            <w:left w:w="108" w:type="dxa"/>
            <w:bottom w:w="0" w:type="dxa"/>
            <w:right w:w="108" w:type="dxa"/>
          </w:tblCellMar>
        </w:tblPrEx>
        <w:trPr>
          <w:trHeight w:val="4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F96829">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AA9718">
            <w:pPr>
              <w:jc w:val="center"/>
              <w:rPr>
                <w:rFonts w:ascii="Times New Roman" w:hAnsi="Times New Roman" w:eastAsia="宋体" w:cs="Times New Roman"/>
                <w:color w:val="000000"/>
                <w:sz w:val="16"/>
                <w:szCs w:val="16"/>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5BB520">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E1BFBD">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7BE306C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绩效目标合理性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FB45708">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14:paraId="1FA0C0BB">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6B1687">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3DD3E4">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C33964">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340819">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3CB32AA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绩效指标明确性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05CFF79">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14:paraId="24162517">
        <w:tblPrEx>
          <w:tblCellMar>
            <w:top w:w="0" w:type="dxa"/>
            <w:left w:w="108" w:type="dxa"/>
            <w:bottom w:w="0" w:type="dxa"/>
            <w:right w:w="108" w:type="dxa"/>
          </w:tblCellMar>
        </w:tblPrEx>
        <w:trPr>
          <w:trHeight w:val="4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83573F">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7A0A0E">
            <w:pPr>
              <w:jc w:val="center"/>
              <w:rPr>
                <w:rFonts w:ascii="Times New Roman" w:hAnsi="Times New Roman" w:eastAsia="宋体" w:cs="Times New Roman"/>
                <w:color w:val="000000"/>
                <w:sz w:val="16"/>
                <w:szCs w:val="16"/>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6487D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资金投入</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C49657">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0F448511">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预算编制科学性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7D256E1">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6EE178AD">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36CAD5">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EFCF42">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242DBC">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8D1501">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1743BAF0">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资金分配合理性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3105DFF">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1A1B7433">
        <w:tblPrEx>
          <w:tblCellMar>
            <w:top w:w="0" w:type="dxa"/>
            <w:left w:w="108" w:type="dxa"/>
            <w:bottom w:w="0" w:type="dxa"/>
            <w:right w:w="108" w:type="dxa"/>
          </w:tblCellMar>
        </w:tblPrEx>
        <w:trPr>
          <w:trHeight w:val="30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9CF68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过程</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B131A2">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28</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B5335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资金管理</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398001">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20</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143F122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资金到位率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B59B750">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63EED9EA">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41E904">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437EC8">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B9C7CC">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109420">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4DFA994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资金拨付及时性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06BE30D">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0DAE8E15">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229C05">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6F7147">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A728C9">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632AC1">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251CEB5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预算执行率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81C3D79">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1B42221A">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4CDC43">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F8C601">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DA71F7">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885F29">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4A48CC3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资金使用合规性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A0FACD7">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14:paraId="1DC4AB68">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814020">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145F65">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3F97F8">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8E35AD">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72C8EC96">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绩效自评内容准确完整性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16C6942">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14:paraId="62D5E82F">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CE468F">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26D5FD">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F95F54">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0027FE">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5682E43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绩效自评结论真实性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6B37540">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14:paraId="0577C8CD">
        <w:tblPrEx>
          <w:tblCellMar>
            <w:top w:w="0" w:type="dxa"/>
            <w:left w:w="108" w:type="dxa"/>
            <w:bottom w:w="0" w:type="dxa"/>
            <w:right w:w="108" w:type="dxa"/>
          </w:tblCellMar>
        </w:tblPrEx>
        <w:trPr>
          <w:trHeight w:val="4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DD7592">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94AB29">
            <w:pPr>
              <w:jc w:val="center"/>
              <w:rPr>
                <w:rFonts w:ascii="Times New Roman" w:hAnsi="Times New Roman" w:eastAsia="宋体" w:cs="Times New Roman"/>
                <w:color w:val="000000"/>
                <w:sz w:val="16"/>
                <w:szCs w:val="16"/>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E4484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组织实施</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E0F129">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sz w:val="16"/>
                <w:szCs w:val="16"/>
              </w:rPr>
              <w:t>8</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38C0C21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管理制度健全性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EDC3445">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14:paraId="19BBBAE0">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C17601">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A9C409">
            <w:pPr>
              <w:jc w:val="center"/>
              <w:rPr>
                <w:rFonts w:ascii="Times New Roman" w:hAnsi="Times New Roman" w:eastAsia="宋体" w:cs="Times New Roman"/>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27FD06">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115F59">
            <w:pPr>
              <w:jc w:val="center"/>
              <w:rPr>
                <w:rFonts w:ascii="Times New Roman" w:hAnsi="Times New Roman" w:eastAsia="宋体" w:cs="Times New Roman"/>
                <w:color w:val="000000"/>
                <w:sz w:val="16"/>
                <w:szCs w:val="16"/>
              </w:rPr>
            </w:pP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063F323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制度执行有效性</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4F56741B">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14:paraId="26FF85DE">
        <w:tblPrEx>
          <w:tblCellMar>
            <w:top w:w="0" w:type="dxa"/>
            <w:left w:w="108" w:type="dxa"/>
            <w:bottom w:w="0" w:type="dxa"/>
            <w:right w:w="108" w:type="dxa"/>
          </w:tblCellMar>
        </w:tblPrEx>
        <w:trPr>
          <w:trHeight w:val="3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42AC1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0B68F0">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2</w:t>
            </w:r>
            <w:r>
              <w:rPr>
                <w:rFonts w:ascii="Times New Roman" w:hAnsi="Times New Roman" w:eastAsia="宋体" w:cs="Times New Roman"/>
                <w:color w:val="000000"/>
                <w:kern w:val="0"/>
                <w:sz w:val="16"/>
                <w:szCs w:val="16"/>
              </w:rPr>
              <w:t>4</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3A46A9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产出数量</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68EE31A">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254F06B8">
            <w:pPr>
              <w:widowControl/>
              <w:jc w:val="center"/>
              <w:textAlignment w:val="center"/>
              <w:rPr>
                <w:rFonts w:ascii="宋体" w:hAnsi="宋体" w:eastAsia="宋体" w:cs="宋体"/>
                <w:color w:val="000000"/>
                <w:sz w:val="16"/>
                <w:szCs w:val="16"/>
              </w:rPr>
            </w:pPr>
            <w:r>
              <w:rPr>
                <w:rFonts w:hint="eastAsia" w:ascii="宋体" w:hAnsi="宋体" w:eastAsia="宋体" w:cs="宋体"/>
                <w:color w:val="000000"/>
                <w:sz w:val="16"/>
                <w:szCs w:val="16"/>
              </w:rPr>
              <w:t>目标任务完成情况</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DE54918">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3.77</w:t>
            </w:r>
          </w:p>
        </w:tc>
      </w:tr>
      <w:tr w14:paraId="37A11501">
        <w:tblPrEx>
          <w:tblCellMar>
            <w:top w:w="0" w:type="dxa"/>
            <w:left w:w="108" w:type="dxa"/>
            <w:bottom w:w="0" w:type="dxa"/>
            <w:right w:w="108" w:type="dxa"/>
          </w:tblCellMar>
        </w:tblPrEx>
        <w:trPr>
          <w:trHeight w:val="3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28E2E9">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1ACBCB">
            <w:pPr>
              <w:jc w:val="center"/>
              <w:rPr>
                <w:rFonts w:ascii="Times New Roman" w:hAnsi="Times New Roman" w:eastAsia="宋体" w:cs="Times New Roman"/>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2AC286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产出质量</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4E62458A">
            <w:pPr>
              <w:jc w:val="center"/>
              <w:rPr>
                <w:rFonts w:ascii="Times New Roman" w:hAnsi="Times New Roman" w:eastAsia="宋体" w:cs="Times New Roman"/>
                <w:color w:val="000000"/>
                <w:sz w:val="16"/>
                <w:szCs w:val="16"/>
              </w:rPr>
            </w:pPr>
            <w:r>
              <w:rPr>
                <w:rFonts w:ascii="Times New Roman" w:hAnsi="Times New Roman" w:eastAsia="宋体" w:cs="Times New Roman"/>
                <w:color w:val="000000"/>
                <w:sz w:val="16"/>
                <w:szCs w:val="16"/>
              </w:rPr>
              <w:t>10</w:t>
            </w:r>
          </w:p>
        </w:tc>
        <w:tc>
          <w:tcPr>
            <w:tcW w:w="2595" w:type="dxa"/>
            <w:tcBorders>
              <w:top w:val="single" w:color="auto" w:sz="4" w:space="0"/>
              <w:left w:val="single" w:color="auto" w:sz="4" w:space="0"/>
              <w:bottom w:val="single" w:color="auto" w:sz="4" w:space="0"/>
              <w:right w:val="single" w:color="auto" w:sz="4" w:space="0"/>
            </w:tcBorders>
            <w:shd w:val="clear" w:color="auto" w:fill="auto"/>
          </w:tcPr>
          <w:p w14:paraId="0D685E8E">
            <w:pPr>
              <w:jc w:val="center"/>
              <w:rPr>
                <w:rFonts w:ascii="宋体" w:hAnsi="宋体" w:eastAsia="宋体" w:cs="宋体"/>
                <w:color w:val="000000"/>
                <w:sz w:val="16"/>
                <w:szCs w:val="16"/>
              </w:rPr>
            </w:pPr>
            <w:r>
              <w:rPr>
                <w:rFonts w:hint="eastAsia" w:ascii="宋体" w:hAnsi="宋体" w:eastAsia="宋体" w:cs="宋体"/>
                <w:color w:val="000000"/>
                <w:kern w:val="0"/>
                <w:sz w:val="16"/>
                <w:szCs w:val="16"/>
              </w:rPr>
              <w:t>质量达标率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AF4FC66">
            <w:pPr>
              <w:jc w:val="center"/>
              <w:rPr>
                <w:rFonts w:ascii="Times New Roman" w:hAnsi="Times New Roman" w:eastAsia="宋体" w:cs="Times New Roman"/>
                <w:color w:val="000000"/>
                <w:sz w:val="16"/>
                <w:szCs w:val="16"/>
              </w:rPr>
            </w:pPr>
            <w:r>
              <w:rPr>
                <w:rFonts w:ascii="Times New Roman" w:hAnsi="Times New Roman" w:eastAsia="宋体" w:cs="Times New Roman"/>
                <w:color w:val="000000"/>
                <w:sz w:val="16"/>
                <w:szCs w:val="16"/>
              </w:rPr>
              <w:t>10</w:t>
            </w:r>
          </w:p>
        </w:tc>
      </w:tr>
      <w:tr w14:paraId="5D8585B3">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1A6D61">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99A605">
            <w:pPr>
              <w:jc w:val="center"/>
              <w:rPr>
                <w:rFonts w:ascii="Times New Roman" w:hAnsi="Times New Roman" w:eastAsia="宋体" w:cs="Times New Roman"/>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0CB2F0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产出时效</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4AF060CA">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41EEB99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完成时间</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FEC1354">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26969841">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144FF0">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DB4EFE">
            <w:pPr>
              <w:jc w:val="center"/>
              <w:rPr>
                <w:rFonts w:ascii="Times New Roman" w:hAnsi="Times New Roman" w:eastAsia="宋体" w:cs="Times New Roman"/>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5758753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产出成本</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86CEAED">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3E410C5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预算控制率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60C09A6">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r>
      <w:tr w14:paraId="49549FB6">
        <w:tblPrEx>
          <w:tblCellMar>
            <w:top w:w="0" w:type="dxa"/>
            <w:left w:w="108" w:type="dxa"/>
            <w:bottom w:w="0" w:type="dxa"/>
            <w:right w:w="108" w:type="dxa"/>
          </w:tblCellMar>
        </w:tblPrEx>
        <w:trPr>
          <w:trHeight w:val="797"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70EF0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效益</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1155A8">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36</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F4386EC">
            <w:pPr>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社会效益</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C22728F">
            <w:pPr>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14</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615B7EE1">
            <w:pPr>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保障在</w:t>
            </w:r>
            <w:r>
              <w:rPr>
                <w:rFonts w:ascii="宋体" w:hAnsi="宋体" w:eastAsia="宋体" w:cs="宋体"/>
                <w:color w:val="000000"/>
                <w:kern w:val="0"/>
                <w:sz w:val="16"/>
                <w:szCs w:val="16"/>
              </w:rPr>
              <w:t>押人员合法权益</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EC032F6">
            <w:pPr>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14</w:t>
            </w:r>
          </w:p>
        </w:tc>
      </w:tr>
      <w:tr w14:paraId="203586C8">
        <w:tblPrEx>
          <w:tblCellMar>
            <w:top w:w="0" w:type="dxa"/>
            <w:left w:w="108" w:type="dxa"/>
            <w:bottom w:w="0" w:type="dxa"/>
            <w:right w:w="108" w:type="dxa"/>
          </w:tblCellMar>
        </w:tblPrEx>
        <w:trPr>
          <w:trHeight w:val="8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FAD9F9">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7BE236">
            <w:pPr>
              <w:jc w:val="center"/>
              <w:rPr>
                <w:rFonts w:ascii="Times New Roman" w:hAnsi="Times New Roman" w:eastAsia="宋体" w:cs="Times New Roman"/>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29C9EC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588C7F2B">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58A9E8B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逐渐改善</w:t>
            </w:r>
            <w:r>
              <w:rPr>
                <w:rFonts w:ascii="宋体" w:hAnsi="宋体" w:eastAsia="宋体" w:cs="宋体"/>
                <w:color w:val="000000"/>
                <w:kern w:val="0"/>
                <w:sz w:val="16"/>
                <w:szCs w:val="16"/>
              </w:rPr>
              <w:t>在押人员伙食</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567A151F">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r>
      <w:tr w14:paraId="72A81B12">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6BCE52">
            <w:pPr>
              <w:jc w:val="center"/>
              <w:rPr>
                <w:rFonts w:ascii="宋体" w:hAnsi="宋体" w:eastAsia="宋体" w:cs="宋体"/>
                <w:color w:val="00000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A92ABB">
            <w:pPr>
              <w:jc w:val="center"/>
              <w:rPr>
                <w:rFonts w:ascii="Times New Roman" w:hAnsi="Times New Roman" w:eastAsia="宋体" w:cs="Times New Roman"/>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83491D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满意度</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0EB525D8">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12</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3A074DA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监</w:t>
            </w:r>
            <w:r>
              <w:rPr>
                <w:rFonts w:ascii="宋体" w:hAnsi="宋体" w:eastAsia="宋体" w:cs="宋体"/>
                <w:color w:val="000000"/>
                <w:kern w:val="0"/>
                <w:sz w:val="16"/>
                <w:szCs w:val="16"/>
              </w:rPr>
              <w:t>所内</w:t>
            </w:r>
            <w:r>
              <w:rPr>
                <w:rFonts w:hint="eastAsia" w:ascii="宋体" w:hAnsi="宋体" w:eastAsia="宋体" w:cs="宋体"/>
                <w:color w:val="000000"/>
                <w:kern w:val="0"/>
                <w:sz w:val="16"/>
                <w:szCs w:val="16"/>
              </w:rPr>
              <w:t>、</w:t>
            </w:r>
            <w:r>
              <w:rPr>
                <w:rFonts w:ascii="宋体" w:hAnsi="宋体" w:eastAsia="宋体" w:cs="宋体"/>
                <w:color w:val="000000"/>
                <w:kern w:val="0"/>
                <w:sz w:val="16"/>
                <w:szCs w:val="16"/>
              </w:rPr>
              <w:t>外人员</w:t>
            </w:r>
            <w:r>
              <w:rPr>
                <w:rFonts w:hint="eastAsia" w:ascii="宋体" w:hAnsi="宋体" w:eastAsia="宋体" w:cs="宋体"/>
                <w:color w:val="000000"/>
                <w:kern w:val="0"/>
                <w:sz w:val="16"/>
                <w:szCs w:val="16"/>
              </w:rPr>
              <w:t>满意度</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BF63DED">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11.4</w:t>
            </w:r>
          </w:p>
        </w:tc>
      </w:tr>
      <w:tr w14:paraId="1AC94037">
        <w:tblPrEx>
          <w:tblCellMar>
            <w:top w:w="0" w:type="dxa"/>
            <w:left w:w="108" w:type="dxa"/>
            <w:bottom w:w="0" w:type="dxa"/>
            <w:right w:w="108" w:type="dxa"/>
          </w:tblCellMar>
        </w:tblPrEx>
        <w:trPr>
          <w:trHeight w:val="270"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189D793B">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合计</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38B822E">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6DC087DC">
            <w:pPr>
              <w:jc w:val="center"/>
              <w:rPr>
                <w:rFonts w:ascii="Times New Roman" w:hAnsi="Times New Roman" w:eastAsia="宋体" w:cs="Times New Roman"/>
                <w:b/>
                <w:bCs/>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D5DC5D9">
            <w:pPr>
              <w:widowControl/>
              <w:jc w:val="center"/>
              <w:textAlignment w:val="center"/>
              <w:rPr>
                <w:rFonts w:ascii="Times New Roman" w:hAnsi="Times New Roman" w:eastAsia="宋体" w:cs="Times New Roman"/>
                <w:b/>
                <w:bCs/>
                <w:color w:val="000000"/>
                <w:sz w:val="16"/>
                <w:szCs w:val="16"/>
              </w:rPr>
            </w:pPr>
            <w:r>
              <w:rPr>
                <w:rFonts w:hint="eastAsia" w:ascii="Times New Roman" w:hAnsi="Times New Roman" w:eastAsia="宋体" w:cs="Times New Roman"/>
                <w:b/>
                <w:bCs/>
                <w:color w:val="000000"/>
                <w:kern w:val="0"/>
                <w:sz w:val="16"/>
                <w:szCs w:val="16"/>
              </w:rPr>
              <w:t>100</w:t>
            </w:r>
          </w:p>
        </w:tc>
        <w:tc>
          <w:tcPr>
            <w:tcW w:w="2595" w:type="dxa"/>
            <w:tcBorders>
              <w:top w:val="single" w:color="auto" w:sz="4" w:space="0"/>
              <w:left w:val="single" w:color="auto" w:sz="4" w:space="0"/>
              <w:bottom w:val="single" w:color="auto" w:sz="4" w:space="0"/>
              <w:right w:val="single" w:color="auto" w:sz="4" w:space="0"/>
            </w:tcBorders>
            <w:shd w:val="clear" w:color="auto" w:fill="auto"/>
            <w:vAlign w:val="center"/>
          </w:tcPr>
          <w:p w14:paraId="763A46AE">
            <w:pPr>
              <w:jc w:val="center"/>
              <w:rPr>
                <w:rFonts w:ascii="Times New Roman" w:hAnsi="Times New Roman" w:eastAsia="宋体" w:cs="Times New Roman"/>
                <w:b/>
                <w:bCs/>
                <w:color w:val="00000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5846A0D">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99.17</w:t>
            </w:r>
          </w:p>
        </w:tc>
      </w:tr>
    </w:tbl>
    <w:p w14:paraId="45A93113">
      <w:pPr>
        <w:spacing w:line="560" w:lineRule="exact"/>
        <w:rPr>
          <w:rFonts w:ascii="仿宋_GB2312" w:hAnsi="Times New Roman" w:eastAsia="仿宋_GB2312" w:cs="Times New Roman"/>
          <w:sz w:val="24"/>
          <w:szCs w:val="24"/>
        </w:rPr>
      </w:pPr>
    </w:p>
    <w:p w14:paraId="278DE728">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14:paraId="6C80E69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14:paraId="392A1D8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089E879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43B4AAA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14:paraId="095248E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14:paraId="340F621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14:paraId="64B7F8A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14:paraId="16EE22CB">
      <w:pPr>
        <w:spacing w:line="560" w:lineRule="exact"/>
        <w:ind w:firstLine="472" w:firstLineChars="200"/>
        <w:outlineLvl w:val="1"/>
        <w:rPr>
          <w:rFonts w:ascii="楷体_GB2312" w:hAnsi="Times New Roman" w:eastAsia="楷体_GB2312" w:cs="Times New Roman"/>
          <w:sz w:val="24"/>
          <w:szCs w:val="24"/>
        </w:rPr>
      </w:pPr>
      <w:bookmarkStart w:id="29" w:name="_Toc23601"/>
      <w:r>
        <w:rPr>
          <w:rFonts w:hint="eastAsia" w:ascii="楷体_GB2312" w:hAnsi="Times New Roman" w:eastAsia="楷体_GB2312" w:cs="Times New Roman"/>
          <w:sz w:val="24"/>
          <w:szCs w:val="24"/>
        </w:rPr>
        <w:t>（三）绩效评价工作过程</w:t>
      </w:r>
      <w:bookmarkEnd w:id="29"/>
    </w:p>
    <w:p w14:paraId="498C016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14:paraId="32D06C2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14:paraId="091DE6C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14:paraId="6EDB3B7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14:paraId="53E4A01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14:paraId="62C1978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14:paraId="3E1CE7E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14:paraId="0C044D7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14:paraId="5E83453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14:paraId="1CB2B16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14:paraId="10917459">
      <w:pPr>
        <w:spacing w:line="560" w:lineRule="exact"/>
        <w:ind w:firstLine="472" w:firstLineChars="200"/>
        <w:outlineLvl w:val="0"/>
        <w:rPr>
          <w:rFonts w:ascii="黑体" w:hAnsi="黑体" w:eastAsia="黑体" w:cs="Times New Roman"/>
          <w:b/>
          <w:bCs/>
          <w:sz w:val="24"/>
          <w:szCs w:val="24"/>
        </w:rPr>
      </w:pPr>
      <w:bookmarkStart w:id="30" w:name="_Toc31295"/>
      <w:r>
        <w:rPr>
          <w:rFonts w:hint="eastAsia" w:ascii="黑体" w:hAnsi="黑体" w:eastAsia="黑体" w:cs="Times New Roman"/>
          <w:b/>
          <w:bCs/>
          <w:sz w:val="24"/>
          <w:szCs w:val="24"/>
        </w:rPr>
        <w:t>三、综合评价情况及评价结论</w:t>
      </w:r>
      <w:bookmarkEnd w:id="30"/>
    </w:p>
    <w:p w14:paraId="3DA679CB">
      <w:pPr>
        <w:spacing w:line="560" w:lineRule="exact"/>
        <w:ind w:firstLine="472" w:firstLineChars="200"/>
        <w:outlineLvl w:val="1"/>
        <w:rPr>
          <w:rFonts w:ascii="楷体_GB2312" w:hAnsi="Times New Roman" w:eastAsia="楷体_GB2312" w:cs="Times New Roman"/>
          <w:sz w:val="24"/>
          <w:szCs w:val="24"/>
        </w:rPr>
      </w:pPr>
      <w:bookmarkStart w:id="31" w:name="_Toc20659"/>
      <w:r>
        <w:rPr>
          <w:rFonts w:hint="eastAsia" w:ascii="楷体_GB2312" w:hAnsi="Times New Roman" w:eastAsia="楷体_GB2312" w:cs="Times New Roman"/>
          <w:sz w:val="24"/>
          <w:szCs w:val="24"/>
        </w:rPr>
        <w:t>（一）综合评价情况</w:t>
      </w:r>
      <w:bookmarkEnd w:id="31"/>
    </w:p>
    <w:p w14:paraId="4B1313F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在</w:t>
      </w:r>
      <w:r>
        <w:rPr>
          <w:rFonts w:ascii="仿宋_GB2312" w:hAnsi="Times New Roman" w:eastAsia="仿宋_GB2312" w:cs="Times New Roman"/>
          <w:sz w:val="24"/>
          <w:szCs w:val="24"/>
        </w:rPr>
        <w:t>押人员伙食费”</w:t>
      </w:r>
      <w:r>
        <w:rPr>
          <w:rFonts w:hint="eastAsia" w:ascii="仿宋_GB2312" w:hAnsi="Times New Roman" w:eastAsia="仿宋_GB2312" w:cs="Times New Roman"/>
          <w:sz w:val="24"/>
          <w:szCs w:val="24"/>
        </w:rPr>
        <w:t>项目立项依据充分，立项程序规范，绩效目标设置合理，资金到位及时、使用合规，管理制度健全，基本得到有效执行，项目产出完成情况良好，取得了较好的社会效益，服务对象满意度高。</w:t>
      </w:r>
    </w:p>
    <w:p w14:paraId="1CC886D2">
      <w:pPr>
        <w:spacing w:line="560" w:lineRule="exact"/>
        <w:ind w:firstLine="472" w:firstLineChars="200"/>
        <w:outlineLvl w:val="1"/>
        <w:rPr>
          <w:rFonts w:ascii="楷体_GB2312" w:hAnsi="Times New Roman" w:eastAsia="楷体_GB2312" w:cs="Times New Roman"/>
          <w:sz w:val="24"/>
          <w:szCs w:val="24"/>
        </w:rPr>
      </w:pPr>
      <w:bookmarkStart w:id="32" w:name="_Toc29228"/>
      <w:r>
        <w:rPr>
          <w:rFonts w:hint="eastAsia" w:ascii="楷体_GB2312" w:hAnsi="Times New Roman" w:eastAsia="楷体_GB2312" w:cs="Times New Roman"/>
          <w:sz w:val="24"/>
          <w:szCs w:val="24"/>
        </w:rPr>
        <w:t>（二）评价结论</w:t>
      </w:r>
      <w:bookmarkEnd w:id="32"/>
    </w:p>
    <w:p w14:paraId="788A6F6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根据评价指标体系对本项目的绩效进行评价，本项目综合评价得分9</w:t>
      </w:r>
      <w:r>
        <w:rPr>
          <w:rFonts w:ascii="仿宋_GB2312" w:hAnsi="Times New Roman" w:eastAsia="仿宋_GB2312" w:cs="Times New Roman"/>
          <w:sz w:val="24"/>
          <w:szCs w:val="24"/>
        </w:rPr>
        <w:t>9.17</w:t>
      </w:r>
      <w:r>
        <w:rPr>
          <w:rFonts w:hint="eastAsia" w:ascii="仿宋_GB2312" w:hAnsi="Times New Roman" w:eastAsia="仿宋_GB2312" w:cs="Times New Roman"/>
          <w:sz w:val="24"/>
          <w:szCs w:val="24"/>
        </w:rPr>
        <w:t>分，评价等级为“优”。</w:t>
      </w:r>
    </w:p>
    <w:p w14:paraId="77FB2D7E">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7"/>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14:paraId="2547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14:paraId="4FA7244A">
            <w:pPr>
              <w:spacing w:line="560" w:lineRule="exact"/>
              <w:jc w:val="center"/>
              <w:rPr>
                <w:rFonts w:ascii="Times New Roman" w:hAnsi="Times New Roman" w:eastAsia="宋体" w:cs="Times New Roman"/>
                <w:b/>
                <w:bCs/>
                <w:sz w:val="16"/>
                <w:szCs w:val="16"/>
              </w:rPr>
            </w:pPr>
            <w:bookmarkStart w:id="33" w:name="_Hlk79742153"/>
            <w:r>
              <w:rPr>
                <w:rFonts w:ascii="Times New Roman" w:hAnsi="Times New Roman" w:eastAsia="宋体" w:cs="Times New Roman"/>
                <w:b/>
                <w:bCs/>
                <w:sz w:val="16"/>
                <w:szCs w:val="16"/>
              </w:rPr>
              <w:t>指标</w:t>
            </w:r>
          </w:p>
        </w:tc>
        <w:tc>
          <w:tcPr>
            <w:tcW w:w="1275" w:type="dxa"/>
            <w:tcBorders>
              <w:top w:val="double" w:color="auto" w:sz="4" w:space="0"/>
            </w:tcBorders>
          </w:tcPr>
          <w:p w14:paraId="29B3DD40">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14:paraId="3298E615">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14:paraId="55E1C256">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14:paraId="13193F4E">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14:paraId="30DE808D">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14:paraId="6968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14:paraId="3E5F336D">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14:paraId="763D306F">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12</w:t>
            </w:r>
          </w:p>
        </w:tc>
        <w:tc>
          <w:tcPr>
            <w:tcW w:w="1418" w:type="dxa"/>
          </w:tcPr>
          <w:p w14:paraId="524FA4AC">
            <w:pPr>
              <w:spacing w:line="560" w:lineRule="exact"/>
              <w:ind w:firstLine="624" w:firstLineChars="400"/>
              <w:rPr>
                <w:rFonts w:ascii="Times New Roman" w:hAnsi="Times New Roman" w:eastAsia="宋体" w:cs="Times New Roman"/>
                <w:sz w:val="16"/>
                <w:szCs w:val="16"/>
              </w:rPr>
            </w:pPr>
            <w:r>
              <w:rPr>
                <w:rFonts w:ascii="Times New Roman" w:hAnsi="Times New Roman" w:eastAsia="宋体" w:cs="Times New Roman"/>
                <w:sz w:val="16"/>
                <w:szCs w:val="16"/>
              </w:rPr>
              <w:t>28</w:t>
            </w:r>
          </w:p>
        </w:tc>
        <w:tc>
          <w:tcPr>
            <w:tcW w:w="1276" w:type="dxa"/>
          </w:tcPr>
          <w:p w14:paraId="5A333B89">
            <w:pPr>
              <w:spacing w:line="560" w:lineRule="exact"/>
              <w:ind w:firstLine="468" w:firstLineChars="300"/>
              <w:rPr>
                <w:rFonts w:ascii="Times New Roman" w:hAnsi="Times New Roman" w:eastAsia="宋体" w:cs="Times New Roman"/>
                <w:sz w:val="16"/>
                <w:szCs w:val="16"/>
              </w:rPr>
            </w:pPr>
            <w:r>
              <w:rPr>
                <w:rFonts w:ascii="Times New Roman" w:hAnsi="Times New Roman" w:eastAsia="宋体" w:cs="Times New Roman"/>
                <w:sz w:val="16"/>
                <w:szCs w:val="16"/>
              </w:rPr>
              <w:t>24</w:t>
            </w:r>
          </w:p>
        </w:tc>
        <w:tc>
          <w:tcPr>
            <w:tcW w:w="1134" w:type="dxa"/>
          </w:tcPr>
          <w:p w14:paraId="6DB3E0CB">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36</w:t>
            </w:r>
          </w:p>
        </w:tc>
        <w:tc>
          <w:tcPr>
            <w:tcW w:w="1276" w:type="dxa"/>
            <w:tcBorders>
              <w:right w:val="nil"/>
            </w:tcBorders>
          </w:tcPr>
          <w:p w14:paraId="416A0B6F">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14:paraId="58B87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14:paraId="55C411A2">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14:paraId="5FA50D90">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12</w:t>
            </w:r>
          </w:p>
        </w:tc>
        <w:tc>
          <w:tcPr>
            <w:tcW w:w="1418" w:type="dxa"/>
          </w:tcPr>
          <w:p w14:paraId="1FF6BA6E">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2</w:t>
            </w:r>
            <w:r>
              <w:rPr>
                <w:rFonts w:ascii="Times New Roman" w:hAnsi="Times New Roman" w:eastAsia="宋体" w:cs="Times New Roman"/>
                <w:sz w:val="16"/>
                <w:szCs w:val="16"/>
              </w:rPr>
              <w:t>8</w:t>
            </w:r>
          </w:p>
        </w:tc>
        <w:tc>
          <w:tcPr>
            <w:tcW w:w="1276" w:type="dxa"/>
          </w:tcPr>
          <w:p w14:paraId="4B9EFBF5">
            <w:pPr>
              <w:spacing w:line="560" w:lineRule="exact"/>
              <w:ind w:firstLine="468" w:firstLineChars="300"/>
              <w:rPr>
                <w:rFonts w:ascii="Times New Roman" w:hAnsi="Times New Roman" w:eastAsia="宋体" w:cs="Times New Roman"/>
                <w:sz w:val="16"/>
                <w:szCs w:val="16"/>
              </w:rPr>
            </w:pPr>
            <w:r>
              <w:rPr>
                <w:rFonts w:ascii="Times New Roman" w:hAnsi="Times New Roman" w:eastAsia="宋体" w:cs="Times New Roman"/>
                <w:sz w:val="16"/>
                <w:szCs w:val="16"/>
              </w:rPr>
              <w:t>23.77</w:t>
            </w:r>
          </w:p>
        </w:tc>
        <w:tc>
          <w:tcPr>
            <w:tcW w:w="1134" w:type="dxa"/>
          </w:tcPr>
          <w:p w14:paraId="358FB952">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35.4</w:t>
            </w:r>
          </w:p>
        </w:tc>
        <w:tc>
          <w:tcPr>
            <w:tcW w:w="1276" w:type="dxa"/>
            <w:tcBorders>
              <w:right w:val="nil"/>
            </w:tcBorders>
          </w:tcPr>
          <w:p w14:paraId="2E726A05">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99.17</w:t>
            </w:r>
          </w:p>
        </w:tc>
      </w:tr>
      <w:tr w14:paraId="2BB4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14:paraId="494D5DB3">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14:paraId="53D4B31D">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c>
          <w:tcPr>
            <w:tcW w:w="1418" w:type="dxa"/>
            <w:tcBorders>
              <w:bottom w:val="double" w:color="auto" w:sz="4" w:space="0"/>
            </w:tcBorders>
          </w:tcPr>
          <w:p w14:paraId="3B4238ED">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c>
          <w:tcPr>
            <w:tcW w:w="1276" w:type="dxa"/>
            <w:tcBorders>
              <w:bottom w:val="double" w:color="auto" w:sz="4" w:space="0"/>
            </w:tcBorders>
          </w:tcPr>
          <w:p w14:paraId="53F1183A">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9</w:t>
            </w:r>
            <w:r>
              <w:rPr>
                <w:rFonts w:ascii="Times New Roman" w:hAnsi="Times New Roman" w:eastAsia="宋体" w:cs="Times New Roman"/>
                <w:sz w:val="16"/>
                <w:szCs w:val="16"/>
              </w:rPr>
              <w:t>9.04%</w:t>
            </w:r>
          </w:p>
        </w:tc>
        <w:tc>
          <w:tcPr>
            <w:tcW w:w="1134" w:type="dxa"/>
            <w:tcBorders>
              <w:bottom w:val="double" w:color="auto" w:sz="4" w:space="0"/>
            </w:tcBorders>
          </w:tcPr>
          <w:p w14:paraId="404A9F61">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98.33%</w:t>
            </w:r>
          </w:p>
        </w:tc>
        <w:tc>
          <w:tcPr>
            <w:tcW w:w="1276" w:type="dxa"/>
            <w:tcBorders>
              <w:bottom w:val="double" w:color="auto" w:sz="4" w:space="0"/>
              <w:right w:val="nil"/>
            </w:tcBorders>
          </w:tcPr>
          <w:p w14:paraId="119A0486">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99.17%</w:t>
            </w:r>
          </w:p>
        </w:tc>
      </w:tr>
      <w:bookmarkEnd w:id="33"/>
    </w:tbl>
    <w:p w14:paraId="49272CF1">
      <w:pPr>
        <w:spacing w:line="560" w:lineRule="exact"/>
        <w:ind w:firstLine="472" w:firstLineChars="200"/>
        <w:outlineLvl w:val="0"/>
        <w:rPr>
          <w:rFonts w:ascii="黑体" w:hAnsi="黑体" w:eastAsia="黑体" w:cs="Times New Roman"/>
          <w:b/>
          <w:bCs/>
          <w:sz w:val="24"/>
          <w:szCs w:val="24"/>
        </w:rPr>
      </w:pPr>
      <w:bookmarkStart w:id="34" w:name="_Toc15151"/>
      <w:r>
        <w:rPr>
          <w:rFonts w:hint="eastAsia" w:ascii="黑体" w:hAnsi="黑体" w:eastAsia="黑体" w:cs="Times New Roman"/>
          <w:b/>
          <w:bCs/>
          <w:sz w:val="24"/>
          <w:szCs w:val="24"/>
        </w:rPr>
        <w:t>四、绩效评价指标分析</w:t>
      </w:r>
      <w:bookmarkEnd w:id="34"/>
    </w:p>
    <w:p w14:paraId="713FAC9D">
      <w:pPr>
        <w:spacing w:line="560" w:lineRule="exact"/>
        <w:ind w:firstLine="472" w:firstLineChars="200"/>
        <w:outlineLvl w:val="1"/>
        <w:rPr>
          <w:rFonts w:ascii="楷体_GB2312" w:hAnsi="Times New Roman" w:eastAsia="楷体_GB2312" w:cs="Times New Roman"/>
          <w:sz w:val="24"/>
          <w:szCs w:val="24"/>
        </w:rPr>
      </w:pPr>
      <w:bookmarkStart w:id="35" w:name="_Toc17424"/>
      <w:r>
        <w:rPr>
          <w:rFonts w:hint="eastAsia" w:ascii="楷体_GB2312" w:hAnsi="Times New Roman" w:eastAsia="楷体_GB2312" w:cs="Times New Roman"/>
          <w:sz w:val="24"/>
          <w:szCs w:val="24"/>
        </w:rPr>
        <w:t>（一）项目决策情况</w:t>
      </w:r>
      <w:bookmarkEnd w:id="35"/>
    </w:p>
    <w:p w14:paraId="5C368257">
      <w:pPr>
        <w:spacing w:line="560" w:lineRule="exact"/>
        <w:ind w:firstLine="472" w:firstLineChars="200"/>
        <w:rPr>
          <w:rFonts w:ascii="仿宋_GB2312" w:hAnsi="Times New Roman" w:eastAsia="仿宋_GB2312" w:cs="Times New Roman"/>
          <w:sz w:val="24"/>
          <w:szCs w:val="24"/>
        </w:rPr>
      </w:pPr>
      <w:bookmarkStart w:id="36"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w:t>
      </w:r>
      <w:r>
        <w:rPr>
          <w:rFonts w:ascii="仿宋_GB2312" w:hAnsi="Times New Roman" w:eastAsia="仿宋_GB2312" w:cs="Times New Roman"/>
          <w:sz w:val="24"/>
          <w:szCs w:val="24"/>
        </w:rPr>
        <w:t>12</w:t>
      </w:r>
      <w:r>
        <w:rPr>
          <w:rFonts w:hint="eastAsia" w:ascii="仿宋_GB2312" w:hAnsi="Times New Roman" w:eastAsia="仿宋_GB2312" w:cs="Times New Roman"/>
          <w:sz w:val="24"/>
          <w:szCs w:val="24"/>
        </w:rPr>
        <w:t>分，得分1</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 xml:space="preserve"> %。</w:t>
      </w:r>
    </w:p>
    <w:p w14:paraId="5448BF59">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7"/>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14:paraId="348D0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14:paraId="4BBC4501">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74" w:type="dxa"/>
            <w:tcBorders>
              <w:top w:val="double" w:color="auto" w:sz="4" w:space="0"/>
              <w:bottom w:val="single" w:color="auto" w:sz="4" w:space="0"/>
            </w:tcBorders>
          </w:tcPr>
          <w:p w14:paraId="6CB1ED8F">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14:paraId="74A4ACD9">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14:paraId="3E3BC9CB">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14:paraId="0821F986">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5CF8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14:paraId="201F0AF1">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74" w:type="dxa"/>
            <w:tcBorders>
              <w:top w:val="single" w:color="auto" w:sz="4" w:space="0"/>
            </w:tcBorders>
          </w:tcPr>
          <w:p w14:paraId="674B26D5">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134" w:type="dxa"/>
            <w:tcBorders>
              <w:top w:val="single" w:color="auto" w:sz="4" w:space="0"/>
              <w:right w:val="nil"/>
            </w:tcBorders>
            <w:vAlign w:val="center"/>
          </w:tcPr>
          <w:p w14:paraId="76E2392C">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top w:val="single" w:color="auto" w:sz="4" w:space="0"/>
              <w:right w:val="nil"/>
            </w:tcBorders>
          </w:tcPr>
          <w:p w14:paraId="6A833BA0">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p>
        </w:tc>
        <w:tc>
          <w:tcPr>
            <w:tcW w:w="1700" w:type="dxa"/>
            <w:tcBorders>
              <w:top w:val="single" w:color="auto" w:sz="4" w:space="0"/>
              <w:right w:val="nil"/>
            </w:tcBorders>
          </w:tcPr>
          <w:p w14:paraId="390D75DB">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69AB6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7EBF33B3">
            <w:pPr>
              <w:spacing w:line="560" w:lineRule="exact"/>
              <w:ind w:firstLine="312" w:firstLineChars="200"/>
              <w:jc w:val="center"/>
              <w:rPr>
                <w:rFonts w:ascii="Times New Roman" w:hAnsi="Times New Roman" w:eastAsia="宋体" w:cs="Times New Roman"/>
                <w:sz w:val="16"/>
                <w:szCs w:val="16"/>
              </w:rPr>
            </w:pPr>
          </w:p>
        </w:tc>
        <w:tc>
          <w:tcPr>
            <w:tcW w:w="2674" w:type="dxa"/>
          </w:tcPr>
          <w:p w14:paraId="1A68CDFB">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134" w:type="dxa"/>
            <w:tcBorders>
              <w:right w:val="nil"/>
            </w:tcBorders>
            <w:vAlign w:val="center"/>
          </w:tcPr>
          <w:p w14:paraId="50D9310E">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p>
        </w:tc>
        <w:tc>
          <w:tcPr>
            <w:tcW w:w="1134" w:type="dxa"/>
            <w:tcBorders>
              <w:right w:val="nil"/>
            </w:tcBorders>
          </w:tcPr>
          <w:p w14:paraId="1CBE0905">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p>
        </w:tc>
        <w:tc>
          <w:tcPr>
            <w:tcW w:w="1700" w:type="dxa"/>
            <w:tcBorders>
              <w:right w:val="nil"/>
            </w:tcBorders>
          </w:tcPr>
          <w:p w14:paraId="5DE57E49">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274CF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14:paraId="7287716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74" w:type="dxa"/>
          </w:tcPr>
          <w:p w14:paraId="6A29E0B7">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134" w:type="dxa"/>
            <w:tcBorders>
              <w:right w:val="nil"/>
            </w:tcBorders>
            <w:vAlign w:val="center"/>
          </w:tcPr>
          <w:p w14:paraId="48E8A2B7">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3</w:t>
            </w:r>
          </w:p>
        </w:tc>
        <w:tc>
          <w:tcPr>
            <w:tcW w:w="1134" w:type="dxa"/>
            <w:tcBorders>
              <w:right w:val="nil"/>
            </w:tcBorders>
          </w:tcPr>
          <w:p w14:paraId="213ED7EB">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3</w:t>
            </w:r>
          </w:p>
        </w:tc>
        <w:tc>
          <w:tcPr>
            <w:tcW w:w="1700" w:type="dxa"/>
            <w:tcBorders>
              <w:right w:val="nil"/>
            </w:tcBorders>
          </w:tcPr>
          <w:p w14:paraId="30BBC3CA">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6BA0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14:paraId="77786454">
            <w:pPr>
              <w:spacing w:line="560" w:lineRule="exact"/>
              <w:ind w:firstLine="312" w:firstLineChars="200"/>
              <w:jc w:val="center"/>
              <w:rPr>
                <w:rFonts w:ascii="Times New Roman" w:hAnsi="Times New Roman" w:eastAsia="宋体" w:cs="Times New Roman"/>
                <w:sz w:val="16"/>
                <w:szCs w:val="16"/>
              </w:rPr>
            </w:pPr>
          </w:p>
        </w:tc>
        <w:tc>
          <w:tcPr>
            <w:tcW w:w="2674" w:type="dxa"/>
          </w:tcPr>
          <w:p w14:paraId="6B07021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134" w:type="dxa"/>
            <w:tcBorders>
              <w:right w:val="nil"/>
            </w:tcBorders>
            <w:vAlign w:val="center"/>
          </w:tcPr>
          <w:p w14:paraId="0AEAD5C8">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3</w:t>
            </w:r>
          </w:p>
        </w:tc>
        <w:tc>
          <w:tcPr>
            <w:tcW w:w="1134" w:type="dxa"/>
            <w:tcBorders>
              <w:right w:val="nil"/>
            </w:tcBorders>
          </w:tcPr>
          <w:p w14:paraId="0D2CDEDD">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3</w:t>
            </w:r>
          </w:p>
        </w:tc>
        <w:tc>
          <w:tcPr>
            <w:tcW w:w="1700" w:type="dxa"/>
            <w:tcBorders>
              <w:right w:val="nil"/>
            </w:tcBorders>
          </w:tcPr>
          <w:p w14:paraId="76EAC9F3">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1A62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14:paraId="7BB534F5">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74" w:type="dxa"/>
          </w:tcPr>
          <w:p w14:paraId="7D1BCCCE">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134" w:type="dxa"/>
            <w:tcBorders>
              <w:right w:val="nil"/>
            </w:tcBorders>
            <w:vAlign w:val="center"/>
          </w:tcPr>
          <w:p w14:paraId="6A5DA6F5">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14:paraId="4212BBAC">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700" w:type="dxa"/>
            <w:tcBorders>
              <w:right w:val="nil"/>
            </w:tcBorders>
          </w:tcPr>
          <w:p w14:paraId="64690DDE">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62653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24F88153">
            <w:pPr>
              <w:spacing w:line="560" w:lineRule="exact"/>
              <w:ind w:firstLine="312" w:firstLineChars="200"/>
              <w:jc w:val="center"/>
              <w:rPr>
                <w:rFonts w:ascii="Times New Roman" w:hAnsi="Times New Roman" w:eastAsia="宋体" w:cs="Times New Roman"/>
                <w:sz w:val="16"/>
                <w:szCs w:val="16"/>
              </w:rPr>
            </w:pPr>
          </w:p>
        </w:tc>
        <w:tc>
          <w:tcPr>
            <w:tcW w:w="2674" w:type="dxa"/>
          </w:tcPr>
          <w:p w14:paraId="3F425FE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134" w:type="dxa"/>
            <w:tcBorders>
              <w:right w:val="nil"/>
            </w:tcBorders>
            <w:vAlign w:val="center"/>
          </w:tcPr>
          <w:p w14:paraId="77A06686">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14:paraId="0B9B6BAE">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700" w:type="dxa"/>
            <w:tcBorders>
              <w:right w:val="nil"/>
            </w:tcBorders>
          </w:tcPr>
          <w:p w14:paraId="1C3B002D">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5A1A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14:paraId="1A84A74F">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14:paraId="35662E1A">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12</w:t>
            </w:r>
          </w:p>
        </w:tc>
        <w:tc>
          <w:tcPr>
            <w:tcW w:w="1134" w:type="dxa"/>
            <w:tcBorders>
              <w:bottom w:val="double" w:color="auto" w:sz="4" w:space="0"/>
              <w:right w:val="nil"/>
            </w:tcBorders>
          </w:tcPr>
          <w:p w14:paraId="7A2C8FD9">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12</w:t>
            </w:r>
          </w:p>
        </w:tc>
        <w:tc>
          <w:tcPr>
            <w:tcW w:w="1700" w:type="dxa"/>
            <w:tcBorders>
              <w:bottom w:val="double" w:color="auto" w:sz="4" w:space="0"/>
              <w:right w:val="nil"/>
            </w:tcBorders>
          </w:tcPr>
          <w:p w14:paraId="3A01C289">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100%</w:t>
            </w:r>
          </w:p>
        </w:tc>
      </w:tr>
      <w:bookmarkEnd w:id="36"/>
    </w:tbl>
    <w:p w14:paraId="7C30769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14:paraId="2959165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14:paraId="6401AEC4">
      <w:pPr>
        <w:widowControl/>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评分情况：本项目立项符合财</w:t>
      </w:r>
      <w:r>
        <w:rPr>
          <w:rFonts w:ascii="仿宋_GB2312" w:hAnsi="Times New Roman" w:eastAsia="仿宋_GB2312" w:cs="Times New Roman"/>
          <w:sz w:val="24"/>
          <w:szCs w:val="24"/>
        </w:rPr>
        <w:t>政法【</w:t>
      </w:r>
      <w:r>
        <w:rPr>
          <w:rFonts w:hint="eastAsia" w:ascii="仿宋_GB2312" w:hAnsi="Times New Roman" w:eastAsia="仿宋_GB2312" w:cs="Times New Roman"/>
          <w:sz w:val="24"/>
          <w:szCs w:val="24"/>
        </w:rPr>
        <w:t>2017】83号《安徽省</w:t>
      </w:r>
      <w:r>
        <w:rPr>
          <w:rFonts w:ascii="仿宋_GB2312" w:hAnsi="Times New Roman" w:eastAsia="仿宋_GB2312" w:cs="Times New Roman"/>
          <w:sz w:val="24"/>
          <w:szCs w:val="24"/>
        </w:rPr>
        <w:t>财政厅</w:t>
      </w:r>
      <w:r>
        <w:rPr>
          <w:rFonts w:hint="eastAsia" w:ascii="仿宋_GB2312" w:hAnsi="Times New Roman" w:eastAsia="仿宋_GB2312" w:cs="Times New Roman"/>
          <w:sz w:val="24"/>
          <w:szCs w:val="24"/>
        </w:rPr>
        <w:t xml:space="preserve"> 安徽</w:t>
      </w:r>
      <w:r>
        <w:rPr>
          <w:rFonts w:ascii="仿宋_GB2312" w:hAnsi="Times New Roman" w:eastAsia="仿宋_GB2312" w:cs="Times New Roman"/>
          <w:sz w:val="24"/>
          <w:szCs w:val="24"/>
        </w:rPr>
        <w:t>省公安厅关于调整看守所在押人员伙食金额</w:t>
      </w:r>
      <w:r>
        <w:rPr>
          <w:rFonts w:hint="eastAsia" w:ascii="仿宋_GB2312" w:hAnsi="Times New Roman" w:eastAsia="仿宋_GB2312" w:cs="Times New Roman"/>
          <w:sz w:val="24"/>
          <w:szCs w:val="24"/>
        </w:rPr>
        <w:t>及</w:t>
      </w:r>
      <w:r>
        <w:rPr>
          <w:rFonts w:ascii="仿宋_GB2312" w:hAnsi="Times New Roman" w:eastAsia="仿宋_GB2312" w:cs="Times New Roman"/>
          <w:sz w:val="24"/>
          <w:szCs w:val="24"/>
        </w:rPr>
        <w:t>实物量标准的通知</w:t>
      </w:r>
      <w:r>
        <w:rPr>
          <w:rFonts w:hint="eastAsia" w:ascii="仿宋_GB2312" w:hAnsi="Times New Roman" w:eastAsia="仿宋_GB2312" w:cs="Times New Roman"/>
          <w:sz w:val="24"/>
          <w:szCs w:val="24"/>
        </w:rPr>
        <w:t>》。</w:t>
      </w:r>
    </w:p>
    <w:p w14:paraId="0B723E1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项目立项符合法律法规及相关政策的规定，立期依据充分，该项满分</w:t>
      </w: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分，得1分，得分率100.00%。</w:t>
      </w:r>
    </w:p>
    <w:p w14:paraId="13FAAA6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14:paraId="75C6AD0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14:paraId="316D1F7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评分情况：怀远县公安局看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根据省厅</w:t>
      </w:r>
      <w:r>
        <w:rPr>
          <w:rFonts w:ascii="仿宋_GB2312" w:hAnsi="Times New Roman" w:eastAsia="仿宋_GB2312" w:cs="Times New Roman"/>
          <w:sz w:val="24"/>
          <w:szCs w:val="24"/>
        </w:rPr>
        <w:t>要求</w:t>
      </w:r>
      <w:r>
        <w:rPr>
          <w:rFonts w:hint="eastAsia" w:ascii="仿宋_GB2312" w:hAnsi="Times New Roman" w:eastAsia="仿宋_GB2312" w:cs="Times New Roman"/>
          <w:sz w:val="24"/>
          <w:szCs w:val="24"/>
        </w:rPr>
        <w:t>标准305</w:t>
      </w:r>
      <w:r>
        <w:rPr>
          <w:rFonts w:ascii="仿宋_GB2312" w:hAnsi="Times New Roman" w:eastAsia="仿宋_GB2312" w:cs="Times New Roman"/>
          <w:sz w:val="24"/>
          <w:szCs w:val="24"/>
        </w:rPr>
        <w:t>0</w:t>
      </w:r>
      <w:r>
        <w:rPr>
          <w:rFonts w:hint="eastAsia" w:ascii="仿宋_GB2312" w:hAnsi="Times New Roman" w:eastAsia="仿宋_GB2312" w:cs="Times New Roman"/>
          <w:sz w:val="24"/>
          <w:szCs w:val="24"/>
        </w:rPr>
        <w:t>元/人/年</w:t>
      </w:r>
      <w:r>
        <w:rPr>
          <w:rFonts w:ascii="仿宋_GB2312" w:hAnsi="Times New Roman" w:eastAsia="仿宋_GB2312" w:cs="Times New Roman"/>
          <w:sz w:val="24"/>
          <w:szCs w:val="24"/>
        </w:rPr>
        <w:t>及常</w:t>
      </w:r>
      <w:r>
        <w:rPr>
          <w:rFonts w:hint="eastAsia" w:ascii="仿宋_GB2312" w:hAnsi="Times New Roman" w:eastAsia="仿宋_GB2312" w:cs="Times New Roman"/>
          <w:sz w:val="24"/>
          <w:szCs w:val="24"/>
        </w:rPr>
        <w:t>态</w:t>
      </w:r>
      <w:r>
        <w:rPr>
          <w:rFonts w:ascii="仿宋_GB2312" w:hAnsi="Times New Roman" w:eastAsia="仿宋_GB2312" w:cs="Times New Roman"/>
          <w:sz w:val="24"/>
          <w:szCs w:val="24"/>
        </w:rPr>
        <w:t>化在押人员月均押量</w:t>
      </w:r>
      <w:r>
        <w:rPr>
          <w:rFonts w:hint="eastAsia" w:ascii="仿宋_GB2312" w:hAnsi="Times New Roman" w:eastAsia="仿宋_GB2312" w:cs="Times New Roman"/>
          <w:sz w:val="24"/>
          <w:szCs w:val="24"/>
        </w:rPr>
        <w:t>350人测算出经费支出为</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万，向怀远县财政局提出预算申请，202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年度“在押</w:t>
      </w:r>
      <w:r>
        <w:rPr>
          <w:rFonts w:ascii="仿宋_GB2312" w:hAnsi="Times New Roman" w:eastAsia="仿宋_GB2312" w:cs="Times New Roman"/>
          <w:sz w:val="24"/>
          <w:szCs w:val="24"/>
        </w:rPr>
        <w:t>人员伙食费</w:t>
      </w:r>
      <w:r>
        <w:rPr>
          <w:rFonts w:hint="eastAsia" w:ascii="仿宋_GB2312" w:hAnsi="Times New Roman" w:eastAsia="仿宋_GB2312" w:cs="Times New Roman"/>
          <w:sz w:val="24"/>
          <w:szCs w:val="24"/>
        </w:rPr>
        <w:t>”预算金额</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w:t>
      </w:r>
    </w:p>
    <w:p w14:paraId="32325FD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本项目按照规定的程序申请设立，取得符合要求的项目立项批复文件，该项满分</w:t>
      </w: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分，得</w:t>
      </w: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分，得分率100.00%。</w:t>
      </w:r>
    </w:p>
    <w:p w14:paraId="0507708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14:paraId="2F76E14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14:paraId="5C4D4A27">
      <w:pPr>
        <w:spacing w:line="560" w:lineRule="exact"/>
        <w:ind w:firstLine="472" w:firstLineChars="200"/>
        <w:rPr>
          <w:rFonts w:ascii="仿宋_GB2312" w:hAnsi="Times New Roman" w:eastAsia="仿宋_GB2312" w:cs="Times New Roman"/>
          <w:sz w:val="24"/>
          <w:szCs w:val="24"/>
        </w:rPr>
      </w:pPr>
      <w:bookmarkStart w:id="37" w:name="_Hlk79766109"/>
      <w:r>
        <w:rPr>
          <w:rFonts w:hint="eastAsia" w:ascii="仿宋_GB2312" w:hAnsi="Times New Roman" w:eastAsia="仿宋_GB2312" w:cs="Times New Roman"/>
          <w:sz w:val="24"/>
          <w:szCs w:val="24"/>
        </w:rPr>
        <w:t>评分情况：</w:t>
      </w:r>
      <w:bookmarkEnd w:id="37"/>
      <w:r>
        <w:rPr>
          <w:rFonts w:hint="eastAsia" w:ascii="仿宋_GB2312" w:hAnsi="Times New Roman" w:eastAsia="仿宋_GB2312" w:cs="Times New Roman"/>
          <w:sz w:val="24"/>
          <w:szCs w:val="24"/>
        </w:rPr>
        <w:t>项目所设定的绩效目标依据充分，符合客观实际，与项目实施的相符。该项满分3分，实际得分3分，得分率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w:t>
      </w:r>
    </w:p>
    <w:p w14:paraId="102F35F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4.绩效指标明确性</w:t>
      </w:r>
    </w:p>
    <w:p w14:paraId="1C26BFC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指标解释：依据绩效目标设定的绩效指标是否清晰、细化、可衡量等，用以反映和考核项目绩效目标的明细化情况。</w:t>
      </w:r>
    </w:p>
    <w:p w14:paraId="2A4F2E8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评分情况：项目所设定的绩效目标较为明确，评价依据清，标准明确，科学合理的衡量标准。根据评价标准，该项满分</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分，得3分，得分率为</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w:t>
      </w:r>
    </w:p>
    <w:p w14:paraId="357E2FD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5.预算编制科学性</w:t>
      </w:r>
    </w:p>
    <w:p w14:paraId="7B566DA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指标解释：项目预算编制是否经过科学论证、有明确标准、资金额度与年度目标是否相适应，用以反映和考核项目预算编制的科学性、合理性情况。</w:t>
      </w:r>
    </w:p>
    <w:p w14:paraId="1937197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评分情况：项目预算编制经过科学认证，预算编制规范。</w:t>
      </w:r>
      <w:bookmarkStart w:id="38" w:name="_Hlk79831575"/>
      <w:r>
        <w:rPr>
          <w:rFonts w:hint="eastAsia" w:ascii="仿宋_GB2312" w:hAnsi="Times New Roman" w:eastAsia="仿宋_GB2312" w:cs="Times New Roman"/>
          <w:sz w:val="24"/>
          <w:szCs w:val="24"/>
        </w:rPr>
        <w:t>依据评分标准，该项满分</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分，得2分，得分率</w:t>
      </w:r>
      <w:r>
        <w:rPr>
          <w:rFonts w:ascii="仿宋_GB2312" w:hAnsi="Times New Roman" w:eastAsia="仿宋_GB2312" w:cs="Times New Roman"/>
          <w:sz w:val="24"/>
          <w:szCs w:val="24"/>
        </w:rPr>
        <w:t>10</w:t>
      </w:r>
      <w:r>
        <w:rPr>
          <w:rFonts w:hint="eastAsia" w:ascii="仿宋_GB2312" w:hAnsi="Times New Roman" w:eastAsia="仿宋_GB2312" w:cs="Times New Roman"/>
          <w:sz w:val="24"/>
          <w:szCs w:val="24"/>
        </w:rPr>
        <w:t>0%。</w:t>
      </w:r>
    </w:p>
    <w:bookmarkEnd w:id="38"/>
    <w:p w14:paraId="1441C85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6.资金分配合理性</w:t>
      </w:r>
    </w:p>
    <w:p w14:paraId="1267713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指标解释：项目是否有测算依据、与补助单位或地方实际是否相适应，用以反映和考核项目预算资金分配的科学性、合理性情况。</w:t>
      </w:r>
    </w:p>
    <w:p w14:paraId="4158B72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p>
    <w:p w14:paraId="2DCC6FA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该项目资金分配有测算依据，资金分配科学合理。依据评分标准，该项满分2分，得2分，得分率100.00%。</w:t>
      </w:r>
    </w:p>
    <w:p w14:paraId="0AFF4BE7">
      <w:pPr>
        <w:spacing w:line="560" w:lineRule="exact"/>
        <w:ind w:firstLine="472" w:firstLineChars="200"/>
        <w:outlineLvl w:val="1"/>
        <w:rPr>
          <w:rFonts w:ascii="楷体_GB2312" w:hAnsi="Times New Roman" w:eastAsia="楷体_GB2312" w:cs="Times New Roman"/>
          <w:sz w:val="24"/>
          <w:szCs w:val="24"/>
        </w:rPr>
      </w:pPr>
      <w:bookmarkStart w:id="39" w:name="_Toc31012"/>
      <w:r>
        <w:rPr>
          <w:rFonts w:hint="eastAsia" w:ascii="楷体_GB2312" w:hAnsi="Times New Roman" w:eastAsia="楷体_GB2312" w:cs="Times New Roman"/>
          <w:sz w:val="24"/>
          <w:szCs w:val="24"/>
        </w:rPr>
        <w:t>（二）项目过程情况</w:t>
      </w:r>
      <w:bookmarkEnd w:id="39"/>
    </w:p>
    <w:p w14:paraId="5926518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2</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%。主要在于绩效指标设置明确、规范，绩效自评内容完整，填写规范，自评结论能够真实准确反映项目实际完成情况：</w:t>
      </w:r>
    </w:p>
    <w:p w14:paraId="6B0E82D9">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7"/>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14:paraId="6C9B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14:paraId="3244A9FE">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14:paraId="264A6B23">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14:paraId="0875723E">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14:paraId="6D19F78B">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14:paraId="14F5D340">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49F5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14:paraId="0988404D">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14:paraId="59343BA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14:paraId="41A462F4">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top w:val="single" w:color="auto" w:sz="4" w:space="0"/>
              <w:right w:val="nil"/>
            </w:tcBorders>
            <w:vAlign w:val="center"/>
          </w:tcPr>
          <w:p w14:paraId="11927923">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418" w:type="dxa"/>
            <w:tcBorders>
              <w:top w:val="single" w:color="auto" w:sz="4" w:space="0"/>
              <w:right w:val="nil"/>
            </w:tcBorders>
            <w:vAlign w:val="center"/>
          </w:tcPr>
          <w:p w14:paraId="78644343">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5FED6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56EA5AC7">
            <w:pPr>
              <w:spacing w:line="560" w:lineRule="exact"/>
              <w:ind w:firstLine="312" w:firstLineChars="200"/>
              <w:jc w:val="center"/>
              <w:rPr>
                <w:rFonts w:ascii="Times New Roman" w:hAnsi="Times New Roman" w:eastAsia="宋体" w:cs="Times New Roman"/>
                <w:sz w:val="16"/>
                <w:szCs w:val="16"/>
              </w:rPr>
            </w:pPr>
          </w:p>
        </w:tc>
        <w:tc>
          <w:tcPr>
            <w:tcW w:w="3195" w:type="dxa"/>
          </w:tcPr>
          <w:p w14:paraId="52CE56DA">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资金拨付及时性</w:t>
            </w:r>
          </w:p>
        </w:tc>
        <w:tc>
          <w:tcPr>
            <w:tcW w:w="1308" w:type="dxa"/>
            <w:tcBorders>
              <w:right w:val="nil"/>
            </w:tcBorders>
            <w:vAlign w:val="center"/>
          </w:tcPr>
          <w:p w14:paraId="1DB30B78">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14:paraId="79464C7B">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418" w:type="dxa"/>
            <w:tcBorders>
              <w:right w:val="nil"/>
            </w:tcBorders>
            <w:vAlign w:val="center"/>
          </w:tcPr>
          <w:p w14:paraId="7FBC9C72">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57962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0B90F29C">
            <w:pPr>
              <w:spacing w:line="560" w:lineRule="exact"/>
              <w:ind w:firstLine="312" w:firstLineChars="200"/>
              <w:jc w:val="center"/>
              <w:rPr>
                <w:rFonts w:ascii="Times New Roman" w:hAnsi="Times New Roman" w:eastAsia="宋体" w:cs="Times New Roman"/>
                <w:sz w:val="16"/>
                <w:szCs w:val="16"/>
              </w:rPr>
            </w:pPr>
          </w:p>
        </w:tc>
        <w:tc>
          <w:tcPr>
            <w:tcW w:w="3195" w:type="dxa"/>
          </w:tcPr>
          <w:p w14:paraId="36BB3CC6">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14:paraId="08A6CF27">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14:paraId="34647413">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418" w:type="dxa"/>
            <w:tcBorders>
              <w:right w:val="nil"/>
            </w:tcBorders>
            <w:vAlign w:val="center"/>
          </w:tcPr>
          <w:p w14:paraId="44DD6221">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3D411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324454B4">
            <w:pPr>
              <w:spacing w:line="560" w:lineRule="exact"/>
              <w:ind w:firstLine="312" w:firstLineChars="200"/>
              <w:jc w:val="center"/>
              <w:rPr>
                <w:rFonts w:ascii="Times New Roman" w:hAnsi="Times New Roman" w:eastAsia="宋体" w:cs="Times New Roman"/>
                <w:sz w:val="16"/>
                <w:szCs w:val="16"/>
              </w:rPr>
            </w:pPr>
          </w:p>
        </w:tc>
        <w:tc>
          <w:tcPr>
            <w:tcW w:w="3195" w:type="dxa"/>
          </w:tcPr>
          <w:p w14:paraId="797AE745">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14:paraId="6FC9EE91">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14:paraId="5EC64190">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14:paraId="53EBC0C5">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100.00</w:t>
            </w:r>
            <w:r>
              <w:rPr>
                <w:rFonts w:ascii="Times New Roman" w:hAnsi="Times New Roman" w:eastAsia="宋体" w:cs="Times New Roman"/>
                <w:sz w:val="16"/>
                <w:szCs w:val="16"/>
              </w:rPr>
              <w:t>%</w:t>
            </w:r>
          </w:p>
        </w:tc>
      </w:tr>
      <w:tr w14:paraId="035C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3FD1B749">
            <w:pPr>
              <w:spacing w:line="560" w:lineRule="exact"/>
              <w:ind w:firstLine="312" w:firstLineChars="200"/>
              <w:jc w:val="center"/>
              <w:rPr>
                <w:rFonts w:ascii="Times New Roman" w:hAnsi="Times New Roman" w:eastAsia="宋体" w:cs="Times New Roman"/>
                <w:sz w:val="16"/>
                <w:szCs w:val="16"/>
              </w:rPr>
            </w:pPr>
          </w:p>
        </w:tc>
        <w:tc>
          <w:tcPr>
            <w:tcW w:w="3195" w:type="dxa"/>
          </w:tcPr>
          <w:p w14:paraId="4E3430F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绩效自评内容准确完整性</w:t>
            </w:r>
          </w:p>
        </w:tc>
        <w:tc>
          <w:tcPr>
            <w:tcW w:w="1308" w:type="dxa"/>
            <w:tcBorders>
              <w:right w:val="nil"/>
            </w:tcBorders>
            <w:vAlign w:val="center"/>
          </w:tcPr>
          <w:p w14:paraId="6C183B6D">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14:paraId="588D2382">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418" w:type="dxa"/>
            <w:tcBorders>
              <w:right w:val="nil"/>
            </w:tcBorders>
            <w:vAlign w:val="center"/>
          </w:tcPr>
          <w:p w14:paraId="7582C1E7">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2DBED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5D6236AF">
            <w:pPr>
              <w:spacing w:line="560" w:lineRule="exact"/>
              <w:ind w:firstLine="312" w:firstLineChars="200"/>
              <w:jc w:val="center"/>
              <w:rPr>
                <w:rFonts w:ascii="Times New Roman" w:hAnsi="Times New Roman" w:eastAsia="宋体" w:cs="Times New Roman"/>
                <w:sz w:val="16"/>
                <w:szCs w:val="16"/>
              </w:rPr>
            </w:pPr>
          </w:p>
        </w:tc>
        <w:tc>
          <w:tcPr>
            <w:tcW w:w="3195" w:type="dxa"/>
          </w:tcPr>
          <w:p w14:paraId="7FB568BD">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绩效自评结论真实性</w:t>
            </w:r>
          </w:p>
        </w:tc>
        <w:tc>
          <w:tcPr>
            <w:tcW w:w="1308" w:type="dxa"/>
            <w:tcBorders>
              <w:right w:val="nil"/>
            </w:tcBorders>
            <w:vAlign w:val="center"/>
          </w:tcPr>
          <w:p w14:paraId="31FCC818">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14:paraId="66AA5655">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418" w:type="dxa"/>
            <w:tcBorders>
              <w:right w:val="nil"/>
            </w:tcBorders>
            <w:vAlign w:val="center"/>
          </w:tcPr>
          <w:p w14:paraId="6073C4ED">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2CB61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14:paraId="0F671EE6">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14:paraId="6AE2D71F">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14:paraId="614A9B33">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14:paraId="17880B6E">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14:paraId="6FE87004">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109E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14:paraId="21023519">
            <w:pPr>
              <w:spacing w:line="560" w:lineRule="exact"/>
              <w:ind w:firstLine="312" w:firstLineChars="200"/>
              <w:jc w:val="center"/>
              <w:rPr>
                <w:rFonts w:ascii="Times New Roman" w:hAnsi="Times New Roman" w:eastAsia="宋体" w:cs="Times New Roman"/>
                <w:sz w:val="16"/>
                <w:szCs w:val="16"/>
              </w:rPr>
            </w:pPr>
          </w:p>
        </w:tc>
        <w:tc>
          <w:tcPr>
            <w:tcW w:w="3195" w:type="dxa"/>
          </w:tcPr>
          <w:p w14:paraId="6D3F4544">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14:paraId="714A2CC6">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14:paraId="2521D30B">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14:paraId="2AD34DDD">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w:t>
            </w:r>
            <w:r>
              <w:rPr>
                <w:rFonts w:ascii="Times New Roman" w:hAnsi="Times New Roman" w:eastAsia="宋体" w:cs="Times New Roman"/>
                <w:sz w:val="16"/>
                <w:szCs w:val="16"/>
              </w:rPr>
              <w:t>.00</w:t>
            </w:r>
            <w:r>
              <w:rPr>
                <w:rFonts w:hint="eastAsia" w:ascii="Times New Roman" w:hAnsi="Times New Roman" w:eastAsia="宋体" w:cs="Times New Roman"/>
                <w:sz w:val="16"/>
                <w:szCs w:val="16"/>
              </w:rPr>
              <w:t>%</w:t>
            </w:r>
          </w:p>
        </w:tc>
      </w:tr>
      <w:tr w14:paraId="3E16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6314E953">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14:paraId="781C683E">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t>28</w:t>
            </w:r>
          </w:p>
        </w:tc>
        <w:tc>
          <w:tcPr>
            <w:tcW w:w="1243" w:type="dxa"/>
            <w:tcBorders>
              <w:bottom w:val="double" w:color="auto" w:sz="4" w:space="0"/>
              <w:right w:val="nil"/>
            </w:tcBorders>
            <w:vAlign w:val="center"/>
          </w:tcPr>
          <w:p w14:paraId="38A1FBF0">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t>28</w:t>
            </w:r>
          </w:p>
        </w:tc>
        <w:tc>
          <w:tcPr>
            <w:tcW w:w="1418" w:type="dxa"/>
            <w:tcBorders>
              <w:bottom w:val="double" w:color="auto" w:sz="4" w:space="0"/>
              <w:right w:val="nil"/>
            </w:tcBorders>
            <w:vAlign w:val="center"/>
          </w:tcPr>
          <w:p w14:paraId="6FFBE82D">
            <w:pPr>
              <w:spacing w:line="560" w:lineRule="exact"/>
              <w:ind w:firstLine="624" w:firstLineChars="400"/>
              <w:rPr>
                <w:rFonts w:ascii="Times New Roman" w:hAnsi="Times New Roman" w:eastAsia="宋体" w:cs="Times New Roman"/>
                <w:b/>
                <w:bCs/>
                <w:sz w:val="16"/>
                <w:szCs w:val="16"/>
              </w:rPr>
            </w:pPr>
            <w:r>
              <w:rPr>
                <w:rFonts w:ascii="Times New Roman" w:hAnsi="Times New Roman" w:eastAsia="宋体" w:cs="Times New Roman"/>
                <w:b/>
                <w:bCs/>
                <w:sz w:val="16"/>
                <w:szCs w:val="16"/>
              </w:rPr>
              <w:t>100%</w:t>
            </w:r>
          </w:p>
        </w:tc>
      </w:tr>
    </w:tbl>
    <w:p w14:paraId="20B8CEF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14:paraId="37AF9E0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指标解释：实际到位资金与预算资金的比例，用以反映和考核资金落实情况对项目实施的总体保障程度。</w:t>
      </w:r>
    </w:p>
    <w:p w14:paraId="5D92EDD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年度“在</w:t>
      </w:r>
      <w:r>
        <w:rPr>
          <w:rFonts w:ascii="仿宋_GB2312" w:hAnsi="Times New Roman" w:eastAsia="仿宋_GB2312" w:cs="Times New Roman"/>
          <w:sz w:val="24"/>
          <w:szCs w:val="24"/>
        </w:rPr>
        <w:t>押人员伙食费</w:t>
      </w:r>
      <w:r>
        <w:rPr>
          <w:rFonts w:hint="eastAsia" w:ascii="仿宋_GB2312" w:hAnsi="Times New Roman" w:eastAsia="仿宋_GB2312" w:cs="Times New Roman"/>
          <w:sz w:val="24"/>
          <w:szCs w:val="24"/>
        </w:rPr>
        <w:t>”项目预算金额</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万元，资金到位率为 100%。根据评价标准，该项满分2分，得2分，得分率100.00%。</w:t>
      </w:r>
    </w:p>
    <w:p w14:paraId="6161663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2.资金拨付及时性</w:t>
      </w:r>
    </w:p>
    <w:p w14:paraId="4C0C112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指标解释：项目资金是否按照依法依规及时拨付，用以反映和考核项目资金拨付时效情况。</w:t>
      </w:r>
    </w:p>
    <w:p w14:paraId="20521D1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评分情况：怀远县财政局于 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 xml:space="preserve"> 年年初下达预算批复指标 </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万元，按月申请后及时拨付，无滞后现象，根据评价标准，该项满分2分，得2分，得分率100.00%。</w:t>
      </w:r>
    </w:p>
    <w:p w14:paraId="5AEF882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3.预算执行率</w:t>
      </w:r>
    </w:p>
    <w:p w14:paraId="23DE2C0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指标解释：项目预算资金是否按照计划执行，用以反映或考核项目预算执行情况。</w:t>
      </w:r>
    </w:p>
    <w:p w14:paraId="5B3CE29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年度“在</w:t>
      </w:r>
      <w:r>
        <w:rPr>
          <w:rFonts w:ascii="仿宋_GB2312" w:hAnsi="Times New Roman" w:eastAsia="仿宋_GB2312" w:cs="Times New Roman"/>
          <w:sz w:val="24"/>
          <w:szCs w:val="24"/>
        </w:rPr>
        <w:t>押人员伙食费</w:t>
      </w:r>
      <w:r>
        <w:rPr>
          <w:rFonts w:hint="eastAsia" w:ascii="仿宋_GB2312" w:hAnsi="Times New Roman" w:eastAsia="仿宋_GB2312" w:cs="Times New Roman"/>
          <w:sz w:val="24"/>
          <w:szCs w:val="24"/>
        </w:rPr>
        <w:t>”项目预算金额</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万元，预算执行率100.00%。根据评价标准，该项满分2分，得2分，得分率100.00%。</w:t>
      </w:r>
    </w:p>
    <w:p w14:paraId="444BECC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4.资金使用合规性</w:t>
      </w:r>
    </w:p>
    <w:p w14:paraId="5C88805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14:paraId="25D2012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评分情况：在押</w:t>
      </w:r>
      <w:r>
        <w:rPr>
          <w:rFonts w:ascii="仿宋_GB2312" w:hAnsi="Times New Roman" w:eastAsia="仿宋_GB2312" w:cs="Times New Roman"/>
          <w:sz w:val="24"/>
          <w:szCs w:val="24"/>
        </w:rPr>
        <w:t>人员伙食费资金</w:t>
      </w:r>
      <w:r>
        <w:rPr>
          <w:rFonts w:hint="eastAsia" w:ascii="仿宋_GB2312" w:hAnsi="Times New Roman" w:eastAsia="仿宋_GB2312" w:cs="Times New Roman"/>
          <w:sz w:val="24"/>
          <w:szCs w:val="24"/>
        </w:rPr>
        <w:t>使用符合相关财务制度的规定，审批程序和手续完整，能够做到专款专用，未发现截留、挤占、挪用、虚列开支等情况。该项指标满分4分，得4分，得分率100%。</w:t>
      </w:r>
    </w:p>
    <w:p w14:paraId="0CBDC99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5.绩效自评内容准确完整性</w:t>
      </w:r>
    </w:p>
    <w:p w14:paraId="09CF6FF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指标解释：是否对设定的绩效目标指标值均进行了绩效自评，相关数据填写是否规范。</w:t>
      </w:r>
    </w:p>
    <w:p w14:paraId="1C3993E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评分情况：怀远县公安局看</w:t>
      </w:r>
      <w:r>
        <w:rPr>
          <w:rFonts w:ascii="仿宋_GB2312" w:hAnsi="Times New Roman" w:eastAsia="仿宋_GB2312" w:cs="Times New Roman"/>
          <w:sz w:val="24"/>
          <w:szCs w:val="24"/>
        </w:rPr>
        <w:t>守所</w:t>
      </w:r>
      <w:r>
        <w:rPr>
          <w:rFonts w:hint="eastAsia" w:ascii="仿宋_GB2312" w:hAnsi="Times New Roman" w:eastAsia="仿宋_GB2312" w:cs="Times New Roman"/>
          <w:sz w:val="24"/>
          <w:szCs w:val="24"/>
        </w:rPr>
        <w:t>根据设定的绩效目标进行了绩效自评，指标设定完整，细化、量化程度较高，实际完成值数据填写规范。该项指标满分</w:t>
      </w:r>
      <w:r>
        <w:rPr>
          <w:rFonts w:ascii="仿宋_GB2312" w:hAnsi="Times New Roman" w:eastAsia="仿宋_GB2312" w:cs="Times New Roman"/>
          <w:sz w:val="24"/>
          <w:szCs w:val="24"/>
        </w:rPr>
        <w:t>5</w:t>
      </w:r>
      <w:r>
        <w:rPr>
          <w:rFonts w:hint="eastAsia" w:ascii="仿宋_GB2312" w:hAnsi="Times New Roman" w:eastAsia="仿宋_GB2312" w:cs="Times New Roman"/>
          <w:sz w:val="24"/>
          <w:szCs w:val="24"/>
        </w:rPr>
        <w:t>分，得5分，得分率100.00%。</w:t>
      </w:r>
    </w:p>
    <w:p w14:paraId="72078AD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6.绩效自评结论真实性</w:t>
      </w:r>
    </w:p>
    <w:p w14:paraId="575A8E5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指标解释：绩效自评结论是否与实际数据一致。</w:t>
      </w:r>
    </w:p>
    <w:p w14:paraId="22AF12F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评分情况：项目资金投入自评结论与实际数据一致，指标设置明确、规范，自评结论能真实准确反映项目实际完成情况。该项指标满分</w:t>
      </w:r>
      <w:r>
        <w:rPr>
          <w:rFonts w:ascii="仿宋_GB2312" w:hAnsi="Times New Roman" w:eastAsia="仿宋_GB2312" w:cs="Times New Roman"/>
          <w:sz w:val="24"/>
          <w:szCs w:val="24"/>
        </w:rPr>
        <w:t>5</w:t>
      </w:r>
      <w:r>
        <w:rPr>
          <w:rFonts w:hint="eastAsia" w:ascii="仿宋_GB2312" w:hAnsi="Times New Roman" w:eastAsia="仿宋_GB2312" w:cs="Times New Roman"/>
          <w:sz w:val="24"/>
          <w:szCs w:val="24"/>
        </w:rPr>
        <w:t>分，得</w:t>
      </w:r>
      <w:r>
        <w:rPr>
          <w:rFonts w:ascii="仿宋_GB2312" w:hAnsi="Times New Roman" w:eastAsia="仿宋_GB2312" w:cs="Times New Roman"/>
          <w:sz w:val="24"/>
          <w:szCs w:val="24"/>
        </w:rPr>
        <w:t>5</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.00%。</w:t>
      </w:r>
    </w:p>
    <w:p w14:paraId="2C64047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7.管理制度健全性</w:t>
      </w:r>
    </w:p>
    <w:p w14:paraId="659658C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14:paraId="13A5B060">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评分情况：管理制度健全，有完善的内控制度、收支业务管理制度、合同管理办法、预算管理制度。该项指标满分</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.00%。</w:t>
      </w:r>
    </w:p>
    <w:p w14:paraId="07F991C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8.制度执行有效性</w:t>
      </w:r>
    </w:p>
    <w:p w14:paraId="558D3F4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14:paraId="643F7EC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评分情况：所有的资金使用严格执行相关审批制度和财务制度，业务管理制度也得到有效执行。该项指标满分</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分，得分率100.00%。</w:t>
      </w:r>
    </w:p>
    <w:p w14:paraId="0CD38C88">
      <w:pPr>
        <w:spacing w:line="560" w:lineRule="exact"/>
        <w:ind w:firstLine="472" w:firstLineChars="200"/>
        <w:outlineLvl w:val="1"/>
        <w:rPr>
          <w:rFonts w:ascii="楷体_GB2312" w:hAnsi="Times New Roman" w:eastAsia="楷体_GB2312" w:cs="Times New Roman"/>
          <w:sz w:val="24"/>
          <w:szCs w:val="24"/>
        </w:rPr>
      </w:pPr>
      <w:bookmarkStart w:id="40" w:name="_Toc14450"/>
      <w:r>
        <w:rPr>
          <w:rFonts w:hint="eastAsia" w:ascii="楷体_GB2312" w:hAnsi="Times New Roman" w:eastAsia="楷体_GB2312" w:cs="Times New Roman"/>
          <w:sz w:val="24"/>
          <w:szCs w:val="24"/>
        </w:rPr>
        <w:t>（三）项目产出情况</w:t>
      </w:r>
      <w:bookmarkEnd w:id="40"/>
    </w:p>
    <w:p w14:paraId="440A7F7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项目产出的评价指标包括产出数量、产出质量、产出时效、产出成本四项二级指标，共涉及在押</w:t>
      </w:r>
      <w:r>
        <w:rPr>
          <w:rFonts w:ascii="仿宋_GB2312" w:hAnsi="Times New Roman" w:eastAsia="仿宋_GB2312" w:cs="Times New Roman"/>
          <w:sz w:val="24"/>
          <w:szCs w:val="24"/>
        </w:rPr>
        <w:t>人员月均押量、执行率、完成时间、</w:t>
      </w:r>
      <w:r>
        <w:rPr>
          <w:rFonts w:hint="eastAsia" w:ascii="仿宋_GB2312" w:hAnsi="Times New Roman" w:eastAsia="仿宋_GB2312" w:cs="Times New Roman"/>
          <w:sz w:val="24"/>
          <w:szCs w:val="24"/>
        </w:rPr>
        <w:t>预算控制</w:t>
      </w:r>
      <w:r>
        <w:rPr>
          <w:rFonts w:ascii="仿宋_GB2312" w:hAnsi="Times New Roman" w:eastAsia="仿宋_GB2312" w:cs="Times New Roman"/>
          <w:sz w:val="24"/>
          <w:szCs w:val="24"/>
        </w:rPr>
        <w:t>率</w:t>
      </w:r>
      <w:r>
        <w:rPr>
          <w:rFonts w:hint="eastAsia" w:ascii="仿宋_GB2312" w:hAnsi="Times New Roman" w:eastAsia="仿宋_GB2312" w:cs="Times New Roman"/>
          <w:sz w:val="24"/>
          <w:szCs w:val="24"/>
        </w:rPr>
        <w:t>4个三级指标。“项目产出”总分24分，得分2</w:t>
      </w:r>
      <w:r>
        <w:rPr>
          <w:rFonts w:ascii="仿宋_GB2312" w:hAnsi="Times New Roman" w:eastAsia="仿宋_GB2312" w:cs="Times New Roman"/>
          <w:sz w:val="24"/>
          <w:szCs w:val="24"/>
        </w:rPr>
        <w:t>3.77</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99.04</w:t>
      </w:r>
      <w:r>
        <w:rPr>
          <w:rFonts w:hint="eastAsia" w:ascii="仿宋_GB2312" w:hAnsi="Times New Roman" w:eastAsia="仿宋_GB2312" w:cs="Times New Roman"/>
          <w:sz w:val="24"/>
          <w:szCs w:val="24"/>
        </w:rPr>
        <w:t>%。</w:t>
      </w:r>
      <w:bookmarkStart w:id="41" w:name="_Hlk80115348"/>
      <w:r>
        <w:rPr>
          <w:rFonts w:hint="eastAsia" w:ascii="仿宋_GB2312" w:hAnsi="Times New Roman" w:eastAsia="仿宋_GB2312" w:cs="Times New Roman"/>
          <w:sz w:val="24"/>
          <w:szCs w:val="24"/>
        </w:rPr>
        <w:t>主要问题在</w:t>
      </w:r>
      <w:bookmarkEnd w:id="41"/>
      <w:r>
        <w:rPr>
          <w:rFonts w:hint="eastAsia" w:ascii="仿宋_GB2312" w:hAnsi="Times New Roman" w:eastAsia="仿宋_GB2312" w:cs="Times New Roman"/>
          <w:sz w:val="24"/>
          <w:szCs w:val="24"/>
        </w:rPr>
        <w:t>于产</w:t>
      </w:r>
      <w:r>
        <w:rPr>
          <w:rFonts w:ascii="仿宋_GB2312" w:hAnsi="Times New Roman" w:eastAsia="仿宋_GB2312" w:cs="Times New Roman"/>
          <w:sz w:val="24"/>
          <w:szCs w:val="24"/>
        </w:rPr>
        <w:t>出</w:t>
      </w:r>
      <w:r>
        <w:rPr>
          <w:rFonts w:hint="eastAsia" w:ascii="仿宋_GB2312" w:hAnsi="Times New Roman" w:eastAsia="仿宋_GB2312" w:cs="Times New Roman"/>
          <w:sz w:val="24"/>
          <w:szCs w:val="24"/>
        </w:rPr>
        <w:t>数量</w:t>
      </w:r>
      <w:r>
        <w:rPr>
          <w:rFonts w:ascii="仿宋_GB2312" w:hAnsi="Times New Roman" w:eastAsia="仿宋_GB2312" w:cs="Times New Roman"/>
          <w:sz w:val="24"/>
          <w:szCs w:val="24"/>
        </w:rPr>
        <w:t>指标：在押人员押量未达到月均</w:t>
      </w:r>
      <w:r>
        <w:rPr>
          <w:rFonts w:hint="eastAsia" w:ascii="仿宋_GB2312" w:hAnsi="Times New Roman" w:eastAsia="仿宋_GB2312" w:cs="Times New Roman"/>
          <w:sz w:val="24"/>
          <w:szCs w:val="24"/>
        </w:rPr>
        <w:t>350人</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实际</w:t>
      </w:r>
      <w:r>
        <w:rPr>
          <w:rFonts w:ascii="仿宋_GB2312" w:hAnsi="Times New Roman" w:eastAsia="仿宋_GB2312" w:cs="Times New Roman"/>
          <w:sz w:val="24"/>
          <w:szCs w:val="24"/>
        </w:rPr>
        <w:t>收押月均</w:t>
      </w:r>
      <w:r>
        <w:rPr>
          <w:rFonts w:hint="eastAsia" w:ascii="仿宋_GB2312" w:hAnsi="Times New Roman" w:eastAsia="仿宋_GB2312" w:cs="Times New Roman"/>
          <w:sz w:val="24"/>
          <w:szCs w:val="24"/>
        </w:rPr>
        <w:t>330人：</w:t>
      </w:r>
    </w:p>
    <w:p w14:paraId="3EFF7548">
      <w:pPr>
        <w:spacing w:line="560" w:lineRule="exact"/>
        <w:ind w:firstLine="2124" w:firstLineChars="900"/>
        <w:rPr>
          <w:rFonts w:ascii="仿宋_GB2312" w:hAnsi="Times New Roman" w:eastAsia="仿宋_GB2312" w:cs="Times New Roman"/>
          <w:color w:val="FF0000"/>
          <w:sz w:val="24"/>
          <w:szCs w:val="24"/>
        </w:rPr>
      </w:pPr>
      <w:r>
        <w:rPr>
          <w:rFonts w:hint="eastAsia" w:ascii="仿宋_GB2312" w:hAnsi="Times New Roman" w:eastAsia="仿宋_GB2312" w:cs="Times New Roman"/>
          <w:b/>
          <w:bCs/>
          <w:sz w:val="24"/>
          <w:szCs w:val="24"/>
        </w:rPr>
        <w:t>过程类指标评分情况</w:t>
      </w:r>
    </w:p>
    <w:tbl>
      <w:tblPr>
        <w:tblStyle w:val="17"/>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14:paraId="33BD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14:paraId="264BAC0D">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14:paraId="67A539A9">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14:paraId="79893DA1">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14:paraId="60B7B69F">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14:paraId="4E19A040">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59BBF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14:paraId="16B7AEDA">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402" w:type="dxa"/>
            <w:tcBorders>
              <w:top w:val="single" w:color="auto" w:sz="4" w:space="0"/>
            </w:tcBorders>
          </w:tcPr>
          <w:p w14:paraId="08B46EC1">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在押</w:t>
            </w:r>
            <w:r>
              <w:rPr>
                <w:rFonts w:ascii="Times New Roman" w:hAnsi="Times New Roman" w:eastAsia="宋体" w:cs="Times New Roman"/>
                <w:sz w:val="16"/>
                <w:szCs w:val="16"/>
              </w:rPr>
              <w:t>人员月均押量</w:t>
            </w:r>
          </w:p>
        </w:tc>
        <w:tc>
          <w:tcPr>
            <w:tcW w:w="1134" w:type="dxa"/>
            <w:tcBorders>
              <w:top w:val="single" w:color="auto" w:sz="4" w:space="0"/>
              <w:right w:val="nil"/>
            </w:tcBorders>
            <w:vAlign w:val="center"/>
          </w:tcPr>
          <w:p w14:paraId="27B7606D">
            <w:pPr>
              <w:spacing w:line="560" w:lineRule="exact"/>
              <w:ind w:firstLine="227" w:firstLineChars="145"/>
              <w:jc w:val="center"/>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75" w:type="dxa"/>
            <w:tcBorders>
              <w:top w:val="single" w:color="auto" w:sz="4" w:space="0"/>
              <w:right w:val="nil"/>
            </w:tcBorders>
            <w:vAlign w:val="center"/>
          </w:tcPr>
          <w:p w14:paraId="4E304BEE">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3.7</w:t>
            </w:r>
            <w:r>
              <w:rPr>
                <w:rFonts w:ascii="Times New Roman" w:hAnsi="Times New Roman" w:eastAsia="宋体" w:cs="Times New Roman"/>
                <w:sz w:val="16"/>
                <w:szCs w:val="16"/>
              </w:rPr>
              <w:t>7</w:t>
            </w:r>
          </w:p>
        </w:tc>
        <w:tc>
          <w:tcPr>
            <w:tcW w:w="1560" w:type="dxa"/>
            <w:tcBorders>
              <w:top w:val="single" w:color="auto" w:sz="4" w:space="0"/>
              <w:right w:val="nil"/>
            </w:tcBorders>
            <w:vAlign w:val="center"/>
          </w:tcPr>
          <w:p w14:paraId="26F3EE00">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9</w:t>
            </w:r>
            <w:r>
              <w:rPr>
                <w:rFonts w:ascii="Times New Roman" w:hAnsi="Times New Roman" w:eastAsia="宋体" w:cs="Times New Roman"/>
                <w:sz w:val="16"/>
                <w:szCs w:val="16"/>
              </w:rPr>
              <w:t>4.25%</w:t>
            </w:r>
          </w:p>
        </w:tc>
      </w:tr>
      <w:tr w14:paraId="2E86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5E3AB090">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402" w:type="dxa"/>
          </w:tcPr>
          <w:p w14:paraId="380BBA84">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执行率</w:t>
            </w:r>
          </w:p>
        </w:tc>
        <w:tc>
          <w:tcPr>
            <w:tcW w:w="1134" w:type="dxa"/>
            <w:tcBorders>
              <w:right w:val="nil"/>
            </w:tcBorders>
            <w:vAlign w:val="center"/>
          </w:tcPr>
          <w:p w14:paraId="54F51DD2">
            <w:pPr>
              <w:spacing w:line="560" w:lineRule="exact"/>
              <w:ind w:firstLine="227" w:firstLineChars="145"/>
              <w:jc w:val="center"/>
              <w:rPr>
                <w:rFonts w:ascii="Times New Roman" w:hAnsi="Times New Roman" w:eastAsia="宋体" w:cs="Times New Roman"/>
                <w:sz w:val="16"/>
                <w:szCs w:val="16"/>
              </w:rPr>
            </w:pPr>
            <w:r>
              <w:rPr>
                <w:rFonts w:ascii="Times New Roman" w:hAnsi="Times New Roman" w:eastAsia="宋体" w:cs="Times New Roman"/>
                <w:sz w:val="16"/>
                <w:szCs w:val="16"/>
              </w:rPr>
              <w:t>10</w:t>
            </w:r>
          </w:p>
        </w:tc>
        <w:tc>
          <w:tcPr>
            <w:tcW w:w="1275" w:type="dxa"/>
            <w:tcBorders>
              <w:right w:val="nil"/>
            </w:tcBorders>
            <w:vAlign w:val="center"/>
          </w:tcPr>
          <w:p w14:paraId="49EE59C0">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w:t>
            </w:r>
          </w:p>
        </w:tc>
        <w:tc>
          <w:tcPr>
            <w:tcW w:w="1560" w:type="dxa"/>
            <w:tcBorders>
              <w:right w:val="nil"/>
            </w:tcBorders>
            <w:vAlign w:val="center"/>
          </w:tcPr>
          <w:p w14:paraId="603D2585">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66A54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14:paraId="1B4900E5">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14:paraId="395CC237">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完成时间</w:t>
            </w:r>
          </w:p>
        </w:tc>
        <w:tc>
          <w:tcPr>
            <w:tcW w:w="1134" w:type="dxa"/>
            <w:tcBorders>
              <w:right w:val="nil"/>
            </w:tcBorders>
            <w:vAlign w:val="center"/>
          </w:tcPr>
          <w:p w14:paraId="35C195CF">
            <w:pPr>
              <w:spacing w:line="560" w:lineRule="exact"/>
              <w:ind w:firstLine="227" w:firstLineChars="145"/>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75" w:type="dxa"/>
            <w:tcBorders>
              <w:right w:val="nil"/>
            </w:tcBorders>
            <w:vAlign w:val="center"/>
          </w:tcPr>
          <w:p w14:paraId="78035EE8">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2</w:t>
            </w:r>
          </w:p>
        </w:tc>
        <w:tc>
          <w:tcPr>
            <w:tcW w:w="1560" w:type="dxa"/>
            <w:tcBorders>
              <w:right w:val="nil"/>
            </w:tcBorders>
            <w:vAlign w:val="center"/>
          </w:tcPr>
          <w:p w14:paraId="579A4229">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25DA6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7F2D98DB">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14:paraId="7DD01430">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预算控制</w:t>
            </w:r>
            <w:r>
              <w:rPr>
                <w:rFonts w:ascii="Times New Roman" w:hAnsi="Times New Roman" w:eastAsia="宋体" w:cs="Times New Roman"/>
                <w:sz w:val="16"/>
                <w:szCs w:val="16"/>
              </w:rPr>
              <w:t>率</w:t>
            </w:r>
          </w:p>
        </w:tc>
        <w:tc>
          <w:tcPr>
            <w:tcW w:w="1134" w:type="dxa"/>
            <w:tcBorders>
              <w:right w:val="nil"/>
            </w:tcBorders>
            <w:vAlign w:val="center"/>
          </w:tcPr>
          <w:p w14:paraId="24469CE8">
            <w:pPr>
              <w:spacing w:line="560" w:lineRule="exact"/>
              <w:ind w:firstLine="227" w:firstLineChars="145"/>
              <w:jc w:val="center"/>
              <w:rPr>
                <w:rFonts w:ascii="Times New Roman" w:hAnsi="Times New Roman" w:eastAsia="宋体" w:cs="Times New Roman"/>
                <w:sz w:val="16"/>
                <w:szCs w:val="16"/>
              </w:rPr>
            </w:pPr>
            <w:r>
              <w:rPr>
                <w:rFonts w:ascii="Times New Roman" w:hAnsi="Times New Roman" w:eastAsia="宋体" w:cs="Times New Roman"/>
                <w:sz w:val="16"/>
                <w:szCs w:val="16"/>
              </w:rPr>
              <w:t>8</w:t>
            </w:r>
          </w:p>
        </w:tc>
        <w:tc>
          <w:tcPr>
            <w:tcW w:w="1275" w:type="dxa"/>
            <w:tcBorders>
              <w:right w:val="nil"/>
            </w:tcBorders>
            <w:vAlign w:val="center"/>
          </w:tcPr>
          <w:p w14:paraId="5B7811C7">
            <w:pPr>
              <w:spacing w:line="560" w:lineRule="exact"/>
              <w:ind w:firstLine="178" w:firstLineChars="114"/>
              <w:jc w:val="center"/>
              <w:rPr>
                <w:rFonts w:ascii="Times New Roman" w:hAnsi="Times New Roman" w:eastAsia="宋体" w:cs="Times New Roman"/>
                <w:sz w:val="16"/>
                <w:szCs w:val="16"/>
              </w:rPr>
            </w:pPr>
            <w:r>
              <w:rPr>
                <w:rFonts w:ascii="Times New Roman" w:hAnsi="Times New Roman" w:eastAsia="宋体" w:cs="Times New Roman"/>
                <w:sz w:val="16"/>
                <w:szCs w:val="16"/>
              </w:rPr>
              <w:t>8</w:t>
            </w:r>
          </w:p>
        </w:tc>
        <w:tc>
          <w:tcPr>
            <w:tcW w:w="1560" w:type="dxa"/>
            <w:tcBorders>
              <w:right w:val="nil"/>
            </w:tcBorders>
            <w:vAlign w:val="center"/>
          </w:tcPr>
          <w:p w14:paraId="0FBCA06D">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w:t>
            </w:r>
            <w:r>
              <w:rPr>
                <w:rFonts w:ascii="Times New Roman" w:hAnsi="Times New Roman" w:eastAsia="宋体" w:cs="Times New Roman"/>
                <w:sz w:val="16"/>
                <w:szCs w:val="16"/>
              </w:rPr>
              <w:t>.00%</w:t>
            </w:r>
          </w:p>
        </w:tc>
      </w:tr>
      <w:tr w14:paraId="1629B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102C7EE4">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14:paraId="19175525">
            <w:pPr>
              <w:spacing w:line="560" w:lineRule="exact"/>
              <w:ind w:firstLine="225" w:firstLineChars="144"/>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2</w:t>
            </w:r>
            <w:r>
              <w:rPr>
                <w:rFonts w:ascii="Times New Roman" w:hAnsi="Times New Roman" w:eastAsia="宋体" w:cs="Times New Roman"/>
                <w:b/>
                <w:bCs/>
                <w:sz w:val="16"/>
                <w:szCs w:val="16"/>
              </w:rPr>
              <w:t>4</w:t>
            </w:r>
          </w:p>
        </w:tc>
        <w:tc>
          <w:tcPr>
            <w:tcW w:w="1275" w:type="dxa"/>
            <w:tcBorders>
              <w:bottom w:val="double" w:color="auto" w:sz="4" w:space="0"/>
              <w:right w:val="nil"/>
            </w:tcBorders>
            <w:vAlign w:val="center"/>
          </w:tcPr>
          <w:p w14:paraId="1F66F9D3">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23.77</w:t>
            </w:r>
          </w:p>
        </w:tc>
        <w:tc>
          <w:tcPr>
            <w:tcW w:w="1560" w:type="dxa"/>
            <w:tcBorders>
              <w:bottom w:val="double" w:color="auto" w:sz="4" w:space="0"/>
              <w:right w:val="nil"/>
            </w:tcBorders>
            <w:vAlign w:val="center"/>
          </w:tcPr>
          <w:p w14:paraId="04E62432">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99.04%</w:t>
            </w:r>
          </w:p>
        </w:tc>
      </w:tr>
    </w:tbl>
    <w:p w14:paraId="4876999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1.在押</w:t>
      </w:r>
      <w:r>
        <w:rPr>
          <w:rFonts w:ascii="仿宋_GB2312" w:hAnsi="Times New Roman" w:eastAsia="仿宋_GB2312" w:cs="Times New Roman"/>
          <w:sz w:val="24"/>
          <w:szCs w:val="24"/>
        </w:rPr>
        <w:t>人员月均押量</w:t>
      </w:r>
      <w:r>
        <w:rPr>
          <w:rFonts w:hint="eastAsia" w:ascii="仿宋_GB2312" w:hAnsi="Times New Roman" w:eastAsia="仿宋_GB2312" w:cs="Times New Roman"/>
          <w:sz w:val="24"/>
          <w:szCs w:val="24"/>
        </w:rPr>
        <w:t>。</w:t>
      </w:r>
    </w:p>
    <w:p w14:paraId="45860A1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指标解释：项目实施的实际产出数与计划产出数的比率，用以反映和考核项目产出数量目标的实现程度。</w:t>
      </w:r>
    </w:p>
    <w:p w14:paraId="6E15900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bookmarkStart w:id="42" w:name="OLE_LINK1"/>
      <w:r>
        <w:rPr>
          <w:rFonts w:hint="eastAsia" w:ascii="仿宋_GB2312" w:hAnsi="Times New Roman" w:eastAsia="仿宋_GB2312" w:cs="Times New Roman"/>
          <w:sz w:val="24"/>
          <w:szCs w:val="24"/>
        </w:rPr>
        <w:t>年</w:t>
      </w:r>
      <w:r>
        <w:rPr>
          <w:rFonts w:ascii="仿宋_GB2312" w:hAnsi="Times New Roman" w:eastAsia="仿宋_GB2312" w:cs="Times New Roman"/>
          <w:sz w:val="24"/>
          <w:szCs w:val="24"/>
        </w:rPr>
        <w:t>初设定完成在押人员月</w:t>
      </w:r>
      <w:r>
        <w:rPr>
          <w:rFonts w:hint="eastAsia" w:ascii="仿宋_GB2312" w:hAnsi="Times New Roman" w:eastAsia="仿宋_GB2312" w:cs="Times New Roman"/>
          <w:sz w:val="24"/>
          <w:szCs w:val="24"/>
        </w:rPr>
        <w:t>均</w:t>
      </w:r>
      <w:r>
        <w:rPr>
          <w:rFonts w:ascii="仿宋_GB2312" w:hAnsi="Times New Roman" w:eastAsia="仿宋_GB2312" w:cs="Times New Roman"/>
          <w:sz w:val="24"/>
          <w:szCs w:val="24"/>
        </w:rPr>
        <w:t>押量</w:t>
      </w:r>
      <w:r>
        <w:rPr>
          <w:rFonts w:hint="eastAsia" w:ascii="仿宋_GB2312" w:hAnsi="Times New Roman" w:eastAsia="仿宋_GB2312" w:cs="Times New Roman"/>
          <w:sz w:val="24"/>
          <w:szCs w:val="24"/>
        </w:rPr>
        <w:t>350人</w:t>
      </w:r>
      <w:r>
        <w:rPr>
          <w:rFonts w:ascii="仿宋_GB2312" w:hAnsi="Times New Roman" w:eastAsia="仿宋_GB2312" w:cs="Times New Roman"/>
          <w:sz w:val="24"/>
          <w:szCs w:val="24"/>
        </w:rPr>
        <w:t>，因先前疫情</w:t>
      </w:r>
      <w:r>
        <w:rPr>
          <w:rFonts w:hint="eastAsia" w:ascii="仿宋_GB2312" w:hAnsi="Times New Roman" w:eastAsia="仿宋_GB2312" w:cs="Times New Roman"/>
          <w:sz w:val="24"/>
          <w:szCs w:val="24"/>
        </w:rPr>
        <w:t>原因</w:t>
      </w:r>
      <w:r>
        <w:rPr>
          <w:rFonts w:ascii="仿宋_GB2312" w:hAnsi="Times New Roman" w:eastAsia="仿宋_GB2312" w:cs="Times New Roman"/>
          <w:sz w:val="24"/>
          <w:szCs w:val="24"/>
        </w:rPr>
        <w:t>，导致入所人员月</w:t>
      </w:r>
      <w:r>
        <w:rPr>
          <w:rFonts w:hint="eastAsia" w:ascii="仿宋_GB2312" w:hAnsi="Times New Roman" w:eastAsia="仿宋_GB2312" w:cs="Times New Roman"/>
          <w:sz w:val="24"/>
          <w:szCs w:val="24"/>
        </w:rPr>
        <w:t>均</w:t>
      </w:r>
      <w:r>
        <w:rPr>
          <w:rFonts w:ascii="仿宋_GB2312" w:hAnsi="Times New Roman" w:eastAsia="仿宋_GB2312" w:cs="Times New Roman"/>
          <w:sz w:val="24"/>
          <w:szCs w:val="24"/>
        </w:rPr>
        <w:t>押量</w:t>
      </w:r>
      <w:r>
        <w:rPr>
          <w:rFonts w:hint="eastAsia" w:ascii="仿宋_GB2312" w:hAnsi="Times New Roman" w:eastAsia="仿宋_GB2312" w:cs="Times New Roman"/>
          <w:sz w:val="24"/>
          <w:szCs w:val="24"/>
        </w:rPr>
        <w:t>330人</w:t>
      </w:r>
      <w:r>
        <w:rPr>
          <w:rFonts w:ascii="仿宋_GB2312" w:hAnsi="Times New Roman" w:eastAsia="仿宋_GB2312" w:cs="Times New Roman"/>
          <w:sz w:val="24"/>
          <w:szCs w:val="24"/>
        </w:rPr>
        <w:t>，未完成年初</w:t>
      </w:r>
      <w:r>
        <w:rPr>
          <w:rFonts w:hint="eastAsia" w:ascii="仿宋_GB2312" w:hAnsi="Times New Roman" w:eastAsia="仿宋_GB2312" w:cs="Times New Roman"/>
          <w:sz w:val="24"/>
          <w:szCs w:val="24"/>
        </w:rPr>
        <w:t>设定</w:t>
      </w:r>
      <w:r>
        <w:rPr>
          <w:rFonts w:ascii="仿宋_GB2312" w:hAnsi="Times New Roman" w:eastAsia="仿宋_GB2312" w:cs="Times New Roman"/>
          <w:sz w:val="24"/>
          <w:szCs w:val="24"/>
        </w:rPr>
        <w:t>值。</w:t>
      </w:r>
      <w:bookmarkEnd w:id="42"/>
      <w:r>
        <w:rPr>
          <w:rFonts w:hint="eastAsia" w:ascii="仿宋_GB2312" w:hAnsi="Times New Roman" w:eastAsia="仿宋_GB2312" w:cs="Times New Roman"/>
          <w:sz w:val="24"/>
          <w:szCs w:val="24"/>
        </w:rPr>
        <w:t>该项指标满分</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分，得3.7</w:t>
      </w:r>
      <w:r>
        <w:rPr>
          <w:rFonts w:ascii="仿宋_GB2312" w:hAnsi="Times New Roman" w:eastAsia="仿宋_GB2312" w:cs="Times New Roman"/>
          <w:sz w:val="24"/>
          <w:szCs w:val="24"/>
        </w:rPr>
        <w:t>7</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94.25</w:t>
      </w:r>
      <w:r>
        <w:rPr>
          <w:rFonts w:hint="eastAsia" w:ascii="仿宋_GB2312" w:hAnsi="Times New Roman" w:eastAsia="仿宋_GB2312" w:cs="Times New Roman"/>
          <w:sz w:val="24"/>
          <w:szCs w:val="24"/>
        </w:rPr>
        <w:t>%。</w:t>
      </w:r>
    </w:p>
    <w:p w14:paraId="3E4E0D8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bookmarkStart w:id="43" w:name="_Hlk79870035"/>
      <w:r>
        <w:rPr>
          <w:rFonts w:hint="eastAsia" w:ascii="仿宋_GB2312" w:hAnsi="Times New Roman" w:eastAsia="仿宋_GB2312" w:cs="Times New Roman"/>
          <w:sz w:val="24"/>
          <w:szCs w:val="24"/>
        </w:rPr>
        <w:t>质量执行率</w:t>
      </w:r>
    </w:p>
    <w:bookmarkEnd w:id="43"/>
    <w:p w14:paraId="32B13FA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14:paraId="3126C1D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评分情况：该项目严格按照省</w:t>
      </w:r>
      <w:r>
        <w:rPr>
          <w:rFonts w:ascii="仿宋_GB2312" w:hAnsi="Times New Roman" w:eastAsia="仿宋_GB2312" w:cs="Times New Roman"/>
          <w:sz w:val="24"/>
          <w:szCs w:val="24"/>
        </w:rPr>
        <w:t>厅</w:t>
      </w:r>
      <w:r>
        <w:rPr>
          <w:rFonts w:hint="eastAsia" w:ascii="仿宋_GB2312" w:hAnsi="Times New Roman" w:eastAsia="仿宋_GB2312" w:cs="Times New Roman"/>
          <w:sz w:val="24"/>
          <w:szCs w:val="24"/>
        </w:rPr>
        <w:t>对于</w:t>
      </w:r>
      <w:r>
        <w:rPr>
          <w:rFonts w:ascii="仿宋_GB2312" w:hAnsi="Times New Roman" w:eastAsia="仿宋_GB2312" w:cs="Times New Roman"/>
          <w:sz w:val="24"/>
          <w:szCs w:val="24"/>
        </w:rPr>
        <w:t>保障在押人员基本生活需求，保障在押人员吃</w:t>
      </w:r>
      <w:r>
        <w:rPr>
          <w:rFonts w:hint="eastAsia" w:ascii="仿宋_GB2312" w:hAnsi="Times New Roman" w:eastAsia="仿宋_GB2312" w:cs="Times New Roman"/>
          <w:sz w:val="24"/>
          <w:szCs w:val="24"/>
        </w:rPr>
        <w:t>饱</w:t>
      </w:r>
      <w:r>
        <w:rPr>
          <w:rFonts w:ascii="仿宋_GB2312" w:hAnsi="Times New Roman" w:eastAsia="仿宋_GB2312" w:cs="Times New Roman"/>
          <w:sz w:val="24"/>
          <w:szCs w:val="24"/>
        </w:rPr>
        <w:t>、吃熟，达到省厅要求的伙食费标准</w:t>
      </w:r>
      <w:r>
        <w:rPr>
          <w:rFonts w:hint="eastAsia" w:ascii="仿宋_GB2312" w:hAnsi="Times New Roman" w:eastAsia="仿宋_GB2312" w:cs="Times New Roman"/>
          <w:sz w:val="24"/>
          <w:szCs w:val="24"/>
        </w:rPr>
        <w:t>，达到预期目标。满分</w:t>
      </w:r>
      <w:r>
        <w:rPr>
          <w:rFonts w:ascii="仿宋_GB2312" w:hAnsi="Times New Roman" w:eastAsia="仿宋_GB2312" w:cs="Times New Roman"/>
          <w:sz w:val="24"/>
          <w:szCs w:val="24"/>
        </w:rPr>
        <w:t>10</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10</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.00%。</w:t>
      </w:r>
    </w:p>
    <w:p w14:paraId="2AD5A0D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3.完成时间</w:t>
      </w:r>
    </w:p>
    <w:p w14:paraId="6E1E0CA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14:paraId="67AC483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评分情况：各项任务均在</w:t>
      </w:r>
      <w:r>
        <w:rPr>
          <w:rFonts w:ascii="仿宋_GB2312" w:hAnsi="Times New Roman" w:eastAsia="仿宋_GB2312" w:cs="Times New Roman"/>
          <w:sz w:val="24"/>
          <w:szCs w:val="24"/>
        </w:rPr>
        <w:t>预计的时间内</w:t>
      </w:r>
      <w:r>
        <w:rPr>
          <w:rFonts w:hint="eastAsia" w:ascii="仿宋_GB2312" w:hAnsi="Times New Roman" w:eastAsia="仿宋_GB2312" w:cs="Times New Roman"/>
          <w:sz w:val="24"/>
          <w:szCs w:val="24"/>
        </w:rPr>
        <w:t>得到保质保量完成，及时有效。该项指标满分</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分，得2分，得分率100.00%。</w:t>
      </w:r>
    </w:p>
    <w:p w14:paraId="5970427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4.预算控制率</w:t>
      </w:r>
    </w:p>
    <w:p w14:paraId="530F73E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指标解释：完成项目计划工作目标的实际节约成本与计划成本的比率，用以反映和考核项目的成本节约程度。</w:t>
      </w:r>
    </w:p>
    <w:p w14:paraId="053BAB0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评分情况：项目支出预算为 </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 xml:space="preserve"> 万元，实际支付项目费用</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万元，预算执行</w:t>
      </w:r>
      <w:r>
        <w:rPr>
          <w:rFonts w:ascii="仿宋_GB2312" w:hAnsi="Times New Roman" w:eastAsia="仿宋_GB2312" w:cs="Times New Roman"/>
          <w:sz w:val="24"/>
          <w:szCs w:val="24"/>
        </w:rPr>
        <w:t>率</w:t>
      </w:r>
      <w:r>
        <w:rPr>
          <w:rFonts w:hint="eastAsia" w:ascii="仿宋_GB2312" w:hAnsi="Times New Roman" w:eastAsia="仿宋_GB2312" w:cs="Times New Roman"/>
          <w:sz w:val="24"/>
          <w:szCs w:val="24"/>
        </w:rPr>
        <w:t>100.00%。预算控制率=实际支付资金/实际到位资金*100%，实际完成值为</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%。该项指标满分</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分，得8分，得分率100.00%。</w:t>
      </w:r>
    </w:p>
    <w:p w14:paraId="7F23A5F7">
      <w:pPr>
        <w:spacing w:line="560" w:lineRule="exact"/>
        <w:ind w:firstLine="472" w:firstLineChars="200"/>
        <w:outlineLvl w:val="1"/>
        <w:rPr>
          <w:rFonts w:ascii="楷体_GB2312" w:hAnsi="Times New Roman" w:eastAsia="楷体_GB2312" w:cs="Times New Roman"/>
          <w:sz w:val="24"/>
          <w:szCs w:val="24"/>
        </w:rPr>
      </w:pPr>
      <w:bookmarkStart w:id="44" w:name="_Toc13789"/>
      <w:r>
        <w:rPr>
          <w:rFonts w:hint="eastAsia" w:ascii="楷体_GB2312" w:hAnsi="Times New Roman" w:eastAsia="楷体_GB2312" w:cs="Times New Roman"/>
          <w:sz w:val="24"/>
          <w:szCs w:val="24"/>
        </w:rPr>
        <w:t>（四）项目效益情况</w:t>
      </w:r>
      <w:bookmarkEnd w:id="44"/>
    </w:p>
    <w:p w14:paraId="5947353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项目效益的评价指标包括社会效益、可持续影响、满意度三项二级指标，共涉及保障在</w:t>
      </w:r>
      <w:r>
        <w:rPr>
          <w:rFonts w:ascii="仿宋_GB2312" w:hAnsi="Times New Roman" w:eastAsia="仿宋_GB2312" w:cs="Times New Roman"/>
          <w:sz w:val="24"/>
          <w:szCs w:val="24"/>
        </w:rPr>
        <w:t>押人员合法权益、逐渐改善在押人员伙食</w:t>
      </w:r>
      <w:r>
        <w:rPr>
          <w:rFonts w:hint="eastAsia" w:ascii="仿宋_GB2312" w:hAnsi="Times New Roman" w:eastAsia="仿宋_GB2312" w:cs="Times New Roman"/>
          <w:sz w:val="24"/>
          <w:szCs w:val="24"/>
        </w:rPr>
        <w:t>及监所</w:t>
      </w:r>
      <w:r>
        <w:rPr>
          <w:rFonts w:ascii="仿宋_GB2312" w:hAnsi="Times New Roman" w:eastAsia="仿宋_GB2312" w:cs="Times New Roman"/>
          <w:sz w:val="24"/>
          <w:szCs w:val="24"/>
        </w:rPr>
        <w:t>内外人员</w:t>
      </w:r>
      <w:r>
        <w:rPr>
          <w:rFonts w:hint="eastAsia" w:ascii="仿宋_GB2312" w:hAnsi="Times New Roman" w:eastAsia="仿宋_GB2312" w:cs="Times New Roman"/>
          <w:sz w:val="24"/>
          <w:szCs w:val="24"/>
        </w:rPr>
        <w:t>满意度</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个三级指标。“项目效益”总分36分，得分</w:t>
      </w:r>
      <w:r>
        <w:rPr>
          <w:rFonts w:ascii="仿宋_GB2312" w:hAnsi="Times New Roman" w:eastAsia="仿宋_GB2312" w:cs="Times New Roman"/>
          <w:sz w:val="24"/>
          <w:szCs w:val="24"/>
        </w:rPr>
        <w:t>35.4</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98.33</w:t>
      </w:r>
      <w:r>
        <w:rPr>
          <w:rFonts w:hint="eastAsia" w:ascii="仿宋_GB2312" w:hAnsi="Times New Roman" w:eastAsia="仿宋_GB2312" w:cs="Times New Roman"/>
          <w:sz w:val="24"/>
          <w:szCs w:val="24"/>
        </w:rPr>
        <w:t xml:space="preserve"> %。</w:t>
      </w:r>
    </w:p>
    <w:p w14:paraId="7A9B186F">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7"/>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4206"/>
        <w:gridCol w:w="1052"/>
        <w:gridCol w:w="952"/>
        <w:gridCol w:w="1149"/>
      </w:tblGrid>
      <w:tr w14:paraId="1B23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14:paraId="2B80EB6F">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14:paraId="16550EA3">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14:paraId="67A15677">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14:paraId="3BF38D54">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14:paraId="2C06FD44">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2775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355B5B59">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tcPr>
          <w:p w14:paraId="50757517">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保障在</w:t>
            </w:r>
            <w:r>
              <w:rPr>
                <w:rFonts w:ascii="Times New Roman" w:hAnsi="Times New Roman" w:eastAsia="宋体" w:cs="Times New Roman"/>
                <w:sz w:val="16"/>
                <w:szCs w:val="16"/>
              </w:rPr>
              <w:t>押人员合法</w:t>
            </w:r>
            <w:r>
              <w:rPr>
                <w:rFonts w:hint="eastAsia" w:ascii="Times New Roman" w:hAnsi="Times New Roman" w:eastAsia="宋体" w:cs="Times New Roman"/>
                <w:sz w:val="16"/>
                <w:szCs w:val="16"/>
              </w:rPr>
              <w:t>权益</w:t>
            </w:r>
          </w:p>
        </w:tc>
        <w:tc>
          <w:tcPr>
            <w:tcW w:w="1056" w:type="dxa"/>
            <w:tcBorders>
              <w:right w:val="nil"/>
            </w:tcBorders>
            <w:vAlign w:val="center"/>
          </w:tcPr>
          <w:p w14:paraId="269CFA5F">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r>
              <w:rPr>
                <w:rFonts w:ascii="Times New Roman" w:hAnsi="Times New Roman" w:eastAsia="宋体" w:cs="Times New Roman"/>
                <w:sz w:val="16"/>
                <w:szCs w:val="16"/>
              </w:rPr>
              <w:t>4</w:t>
            </w:r>
          </w:p>
        </w:tc>
        <w:tc>
          <w:tcPr>
            <w:tcW w:w="903" w:type="dxa"/>
            <w:tcBorders>
              <w:right w:val="nil"/>
            </w:tcBorders>
            <w:vAlign w:val="center"/>
          </w:tcPr>
          <w:p w14:paraId="71BB9C1C">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14</w:t>
            </w:r>
          </w:p>
        </w:tc>
        <w:tc>
          <w:tcPr>
            <w:tcW w:w="1149" w:type="dxa"/>
            <w:tcBorders>
              <w:right w:val="nil"/>
            </w:tcBorders>
            <w:vAlign w:val="center"/>
          </w:tcPr>
          <w:p w14:paraId="31127B2E">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w:t>
            </w:r>
            <w:r>
              <w:rPr>
                <w:rFonts w:hint="eastAsia" w:ascii="Times New Roman" w:hAnsi="Times New Roman" w:eastAsia="宋体" w:cs="Times New Roman"/>
                <w:sz w:val="16"/>
                <w:szCs w:val="16"/>
              </w:rPr>
              <w:t>00</w:t>
            </w:r>
            <w:r>
              <w:rPr>
                <w:rFonts w:ascii="Times New Roman" w:hAnsi="Times New Roman" w:eastAsia="宋体" w:cs="Times New Roman"/>
                <w:sz w:val="16"/>
                <w:szCs w:val="16"/>
              </w:rPr>
              <w:t>%</w:t>
            </w:r>
          </w:p>
        </w:tc>
      </w:tr>
      <w:tr w14:paraId="0435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704E7AA5">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tcPr>
          <w:p w14:paraId="71D633D7">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逐渐改善</w:t>
            </w:r>
            <w:r>
              <w:rPr>
                <w:rFonts w:ascii="Times New Roman" w:hAnsi="Times New Roman" w:eastAsia="宋体" w:cs="Times New Roman"/>
                <w:sz w:val="16"/>
                <w:szCs w:val="16"/>
              </w:rPr>
              <w:t>在押人员伙食</w:t>
            </w:r>
          </w:p>
        </w:tc>
        <w:tc>
          <w:tcPr>
            <w:tcW w:w="1056" w:type="dxa"/>
            <w:tcBorders>
              <w:right w:val="nil"/>
            </w:tcBorders>
            <w:vAlign w:val="center"/>
          </w:tcPr>
          <w:p w14:paraId="77B60D2B">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w:t>
            </w:r>
          </w:p>
        </w:tc>
        <w:tc>
          <w:tcPr>
            <w:tcW w:w="903" w:type="dxa"/>
            <w:tcBorders>
              <w:right w:val="nil"/>
            </w:tcBorders>
            <w:vAlign w:val="center"/>
          </w:tcPr>
          <w:p w14:paraId="3AEEF291">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w:t>
            </w:r>
          </w:p>
        </w:tc>
        <w:tc>
          <w:tcPr>
            <w:tcW w:w="1149" w:type="dxa"/>
            <w:tcBorders>
              <w:right w:val="nil"/>
            </w:tcBorders>
            <w:vAlign w:val="center"/>
          </w:tcPr>
          <w:p w14:paraId="67D0C959">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14:paraId="766D0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32E78974">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14:paraId="5BE1FCE0">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监所</w:t>
            </w:r>
            <w:r>
              <w:rPr>
                <w:rFonts w:ascii="Times New Roman" w:hAnsi="Times New Roman" w:eastAsia="宋体" w:cs="Times New Roman"/>
                <w:sz w:val="16"/>
                <w:szCs w:val="16"/>
              </w:rPr>
              <w:t>内外人员满意度</w:t>
            </w:r>
          </w:p>
        </w:tc>
        <w:tc>
          <w:tcPr>
            <w:tcW w:w="1056" w:type="dxa"/>
            <w:tcBorders>
              <w:right w:val="nil"/>
            </w:tcBorders>
            <w:vAlign w:val="center"/>
          </w:tcPr>
          <w:p w14:paraId="1C155069">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12</w:t>
            </w:r>
          </w:p>
        </w:tc>
        <w:tc>
          <w:tcPr>
            <w:tcW w:w="903" w:type="dxa"/>
            <w:tcBorders>
              <w:right w:val="nil"/>
            </w:tcBorders>
            <w:vAlign w:val="center"/>
          </w:tcPr>
          <w:p w14:paraId="213A8A80">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r>
              <w:rPr>
                <w:rFonts w:ascii="Times New Roman" w:hAnsi="Times New Roman" w:eastAsia="宋体" w:cs="Times New Roman"/>
                <w:sz w:val="16"/>
                <w:szCs w:val="16"/>
              </w:rPr>
              <w:t>1.4</w:t>
            </w:r>
          </w:p>
        </w:tc>
        <w:tc>
          <w:tcPr>
            <w:tcW w:w="1149" w:type="dxa"/>
            <w:tcBorders>
              <w:right w:val="nil"/>
            </w:tcBorders>
            <w:vAlign w:val="center"/>
          </w:tcPr>
          <w:p w14:paraId="470C5E01">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95%</w:t>
            </w:r>
          </w:p>
        </w:tc>
      </w:tr>
      <w:tr w14:paraId="129E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14:paraId="3A74C3A1">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14:paraId="1F6F33ED">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36</w:t>
            </w:r>
          </w:p>
        </w:tc>
        <w:tc>
          <w:tcPr>
            <w:tcW w:w="903" w:type="dxa"/>
            <w:tcBorders>
              <w:bottom w:val="double" w:color="auto" w:sz="4" w:space="0"/>
              <w:right w:val="nil"/>
            </w:tcBorders>
            <w:vAlign w:val="center"/>
          </w:tcPr>
          <w:p w14:paraId="6C6151C9">
            <w:pPr>
              <w:spacing w:line="560" w:lineRule="exact"/>
              <w:ind w:firstLine="227" w:firstLineChars="145"/>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3</w:t>
            </w:r>
            <w:r>
              <w:rPr>
                <w:rFonts w:ascii="Times New Roman" w:hAnsi="Times New Roman" w:eastAsia="宋体" w:cs="Times New Roman"/>
                <w:b/>
                <w:bCs/>
                <w:sz w:val="16"/>
                <w:szCs w:val="16"/>
              </w:rPr>
              <w:t>5.4</w:t>
            </w:r>
          </w:p>
        </w:tc>
        <w:tc>
          <w:tcPr>
            <w:tcW w:w="1149" w:type="dxa"/>
            <w:tcBorders>
              <w:bottom w:val="double" w:color="auto" w:sz="4" w:space="0"/>
              <w:right w:val="nil"/>
            </w:tcBorders>
            <w:vAlign w:val="center"/>
          </w:tcPr>
          <w:p w14:paraId="26FBA0CB">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98.33%</w:t>
            </w:r>
          </w:p>
        </w:tc>
      </w:tr>
    </w:tbl>
    <w:p w14:paraId="6496B27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1.保障在</w:t>
      </w:r>
      <w:r>
        <w:rPr>
          <w:rFonts w:ascii="仿宋_GB2312" w:hAnsi="Times New Roman" w:eastAsia="仿宋_GB2312" w:cs="Times New Roman"/>
          <w:sz w:val="24"/>
          <w:szCs w:val="24"/>
        </w:rPr>
        <w:t>押人员合法权益</w:t>
      </w:r>
    </w:p>
    <w:p w14:paraId="32D0206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指标解释：项目实施对社会发展所带来的直接或间接影响情况。</w:t>
      </w:r>
    </w:p>
    <w:p w14:paraId="153D2DD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年看</w:t>
      </w:r>
      <w:r>
        <w:rPr>
          <w:rFonts w:ascii="仿宋_GB2312" w:hAnsi="Times New Roman" w:eastAsia="仿宋_GB2312" w:cs="Times New Roman"/>
          <w:sz w:val="24"/>
          <w:szCs w:val="24"/>
        </w:rPr>
        <w:t>守所在押人员伙食费项目完成，基本保障了在押人员合法权益，</w:t>
      </w:r>
      <w:r>
        <w:rPr>
          <w:rFonts w:hint="eastAsia" w:ascii="仿宋_GB2312" w:hAnsi="Times New Roman" w:eastAsia="仿宋_GB2312" w:cs="Times New Roman"/>
          <w:sz w:val="24"/>
          <w:szCs w:val="24"/>
        </w:rPr>
        <w:t>确保</w:t>
      </w:r>
      <w:r>
        <w:rPr>
          <w:rFonts w:ascii="仿宋_GB2312" w:hAnsi="Times New Roman" w:eastAsia="仿宋_GB2312" w:cs="Times New Roman"/>
          <w:sz w:val="24"/>
          <w:szCs w:val="24"/>
        </w:rPr>
        <w:t>了</w:t>
      </w:r>
      <w:r>
        <w:rPr>
          <w:rFonts w:hint="eastAsia" w:ascii="仿宋_GB2312" w:hAnsi="Times New Roman" w:eastAsia="仿宋_GB2312" w:cs="Times New Roman"/>
          <w:sz w:val="24"/>
          <w:szCs w:val="24"/>
        </w:rPr>
        <w:t>监</w:t>
      </w:r>
      <w:r>
        <w:rPr>
          <w:rFonts w:ascii="仿宋_GB2312" w:hAnsi="Times New Roman" w:eastAsia="仿宋_GB2312" w:cs="Times New Roman"/>
          <w:sz w:val="24"/>
          <w:szCs w:val="24"/>
        </w:rPr>
        <w:t>所的安全稳定，完成</w:t>
      </w:r>
      <w:r>
        <w:rPr>
          <w:rFonts w:hint="eastAsia" w:ascii="仿宋_GB2312" w:hAnsi="Times New Roman" w:eastAsia="仿宋_GB2312" w:cs="Times New Roman"/>
          <w:sz w:val="24"/>
          <w:szCs w:val="24"/>
        </w:rPr>
        <w:t>预期</w:t>
      </w:r>
      <w:r>
        <w:rPr>
          <w:rFonts w:ascii="仿宋_GB2312" w:hAnsi="Times New Roman" w:eastAsia="仿宋_GB2312" w:cs="Times New Roman"/>
          <w:sz w:val="24"/>
          <w:szCs w:val="24"/>
        </w:rPr>
        <w:t>目标</w:t>
      </w:r>
      <w:r>
        <w:rPr>
          <w:rFonts w:hint="eastAsia" w:ascii="仿宋_GB2312" w:hAnsi="Times New Roman" w:eastAsia="仿宋_GB2312" w:cs="Times New Roman"/>
          <w:sz w:val="24"/>
          <w:szCs w:val="24"/>
        </w:rPr>
        <w:t>。该指标满分1</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分，得分14分，得分率100.00%。</w:t>
      </w:r>
    </w:p>
    <w:p w14:paraId="5E0B7B1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2.逐渐改善</w:t>
      </w:r>
      <w:r>
        <w:rPr>
          <w:rFonts w:ascii="仿宋_GB2312" w:hAnsi="Times New Roman" w:eastAsia="仿宋_GB2312" w:cs="Times New Roman"/>
          <w:sz w:val="24"/>
          <w:szCs w:val="24"/>
        </w:rPr>
        <w:t>在押人员伙食</w:t>
      </w:r>
    </w:p>
    <w:p w14:paraId="2145EF5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指标解释：项目实施发挥的持续性作用。</w:t>
      </w:r>
    </w:p>
    <w:p w14:paraId="2F829CF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评分情况：该项目为逐渐改善看</w:t>
      </w:r>
      <w:r>
        <w:rPr>
          <w:rFonts w:ascii="仿宋_GB2312" w:hAnsi="Times New Roman" w:eastAsia="仿宋_GB2312" w:cs="Times New Roman"/>
          <w:sz w:val="24"/>
          <w:szCs w:val="24"/>
        </w:rPr>
        <w:t>守所在押人员基本生活提供</w:t>
      </w:r>
      <w:r>
        <w:rPr>
          <w:rFonts w:hint="eastAsia" w:ascii="仿宋_GB2312" w:hAnsi="Times New Roman" w:eastAsia="仿宋_GB2312" w:cs="Times New Roman"/>
          <w:sz w:val="24"/>
          <w:szCs w:val="24"/>
        </w:rPr>
        <w:t>支持。该指标满分</w:t>
      </w:r>
      <w:r>
        <w:rPr>
          <w:rFonts w:ascii="仿宋_GB2312" w:hAnsi="Times New Roman" w:eastAsia="仿宋_GB2312" w:cs="Times New Roman"/>
          <w:sz w:val="24"/>
          <w:szCs w:val="24"/>
        </w:rPr>
        <w:t>10</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10</w:t>
      </w:r>
      <w:r>
        <w:rPr>
          <w:rFonts w:hint="eastAsia" w:ascii="仿宋_GB2312" w:hAnsi="Times New Roman" w:eastAsia="仿宋_GB2312" w:cs="Times New Roman"/>
          <w:sz w:val="24"/>
          <w:szCs w:val="24"/>
        </w:rPr>
        <w:t>分，得分率100.00%。</w:t>
      </w:r>
    </w:p>
    <w:p w14:paraId="0BB9A61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5.满意度</w:t>
      </w:r>
    </w:p>
    <w:p w14:paraId="58F469F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指标解释：监所</w:t>
      </w:r>
      <w:r>
        <w:rPr>
          <w:rFonts w:ascii="仿宋_GB2312" w:hAnsi="Times New Roman" w:eastAsia="仿宋_GB2312" w:cs="Times New Roman"/>
          <w:sz w:val="24"/>
          <w:szCs w:val="24"/>
        </w:rPr>
        <w:t>内外人员</w:t>
      </w:r>
      <w:r>
        <w:rPr>
          <w:rFonts w:hint="eastAsia" w:ascii="仿宋_GB2312" w:hAnsi="Times New Roman" w:eastAsia="仿宋_GB2312" w:cs="Times New Roman"/>
          <w:sz w:val="24"/>
          <w:szCs w:val="24"/>
        </w:rPr>
        <w:t>满意度。</w:t>
      </w:r>
    </w:p>
    <w:p w14:paraId="7B3D92D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评分情况：通过口头询问群众</w:t>
      </w:r>
      <w:r>
        <w:rPr>
          <w:rFonts w:ascii="仿宋_GB2312" w:hAnsi="Times New Roman" w:eastAsia="仿宋_GB2312" w:cs="Times New Roman"/>
          <w:sz w:val="24"/>
          <w:szCs w:val="24"/>
        </w:rPr>
        <w:t>、监所工作人员及在押人员</w:t>
      </w:r>
      <w:r>
        <w:rPr>
          <w:rFonts w:hint="eastAsia" w:ascii="仿宋_GB2312" w:hAnsi="Times New Roman" w:eastAsia="仿宋_GB2312" w:cs="Times New Roman"/>
          <w:sz w:val="24"/>
          <w:szCs w:val="24"/>
        </w:rPr>
        <w:t>，满意度为</w:t>
      </w:r>
      <w:r>
        <w:rPr>
          <w:rFonts w:ascii="仿宋_GB2312" w:hAnsi="Times New Roman" w:eastAsia="仿宋_GB2312" w:cs="Times New Roman"/>
          <w:sz w:val="24"/>
          <w:szCs w:val="24"/>
        </w:rPr>
        <w:t>95</w:t>
      </w:r>
      <w:r>
        <w:rPr>
          <w:rFonts w:hint="eastAsia" w:ascii="仿宋_GB2312" w:hAnsi="Times New Roman" w:eastAsia="仿宋_GB2312" w:cs="Times New Roman"/>
          <w:sz w:val="24"/>
          <w:szCs w:val="24"/>
        </w:rPr>
        <w:t>%。该指标满分</w:t>
      </w:r>
      <w:r>
        <w:rPr>
          <w:rFonts w:ascii="仿宋_GB2312" w:hAnsi="Times New Roman" w:eastAsia="仿宋_GB2312" w:cs="Times New Roman"/>
          <w:sz w:val="24"/>
          <w:szCs w:val="24"/>
        </w:rPr>
        <w:t>12</w:t>
      </w:r>
      <w:r>
        <w:rPr>
          <w:rFonts w:hint="eastAsia" w:ascii="仿宋_GB2312" w:hAnsi="Times New Roman" w:eastAsia="仿宋_GB2312" w:cs="Times New Roman"/>
          <w:sz w:val="24"/>
          <w:szCs w:val="24"/>
        </w:rPr>
        <w:t>分，得分</w:t>
      </w:r>
      <w:r>
        <w:rPr>
          <w:rFonts w:ascii="仿宋_GB2312" w:hAnsi="Times New Roman" w:eastAsia="仿宋_GB2312" w:cs="Times New Roman"/>
          <w:sz w:val="24"/>
          <w:szCs w:val="24"/>
        </w:rPr>
        <w:t>11.4</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98.33</w:t>
      </w:r>
      <w:r>
        <w:rPr>
          <w:rFonts w:hint="eastAsia" w:ascii="仿宋_GB2312" w:hAnsi="Times New Roman" w:eastAsia="仿宋_GB2312" w:cs="Times New Roman"/>
          <w:sz w:val="24"/>
          <w:szCs w:val="24"/>
        </w:rPr>
        <w:t>%。</w:t>
      </w:r>
    </w:p>
    <w:p w14:paraId="6373646F">
      <w:pPr>
        <w:numPr>
          <w:ilvl w:val="0"/>
          <w:numId w:val="2"/>
        </w:numPr>
        <w:spacing w:line="560" w:lineRule="exact"/>
        <w:ind w:firstLine="472" w:firstLineChars="200"/>
        <w:outlineLvl w:val="0"/>
        <w:rPr>
          <w:rFonts w:ascii="黑体" w:hAnsi="黑体" w:eastAsia="黑体" w:cs="Times New Roman"/>
          <w:b/>
          <w:bCs/>
          <w:sz w:val="24"/>
          <w:szCs w:val="24"/>
        </w:rPr>
      </w:pPr>
      <w:bookmarkStart w:id="45" w:name="_Toc18123"/>
      <w:r>
        <w:rPr>
          <w:rFonts w:hint="eastAsia" w:ascii="黑体" w:hAnsi="黑体" w:eastAsia="黑体" w:cs="Times New Roman"/>
          <w:b/>
          <w:bCs/>
          <w:sz w:val="24"/>
          <w:szCs w:val="24"/>
        </w:rPr>
        <w:t>主要经验及做法</w:t>
      </w:r>
      <w:bookmarkEnd w:id="45"/>
    </w:p>
    <w:p w14:paraId="1D3308A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（一）是进一步加大财政预算保障力度，实现财政预算资金的规范、高效、安全和廉洁使用；</w:t>
      </w:r>
    </w:p>
    <w:p w14:paraId="5D098CA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（二）是进一步加强绩效评价制度和流程的建设，深化完善绩效管理体系；</w:t>
      </w:r>
    </w:p>
    <w:p w14:paraId="791032C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（三）是进一步完善财务管理制度及内部控制制度，创新管理手段，规范财务核算，有效降低成本，提高财政资金使用效率。</w:t>
      </w:r>
    </w:p>
    <w:p w14:paraId="73F5F8CA">
      <w:pPr>
        <w:spacing w:line="560" w:lineRule="exact"/>
        <w:ind w:firstLine="472" w:firstLineChars="200"/>
        <w:outlineLvl w:val="0"/>
        <w:rPr>
          <w:rFonts w:ascii="黑体" w:hAnsi="黑体" w:eastAsia="黑体" w:cs="Times New Roman"/>
          <w:b/>
          <w:bCs/>
          <w:sz w:val="24"/>
          <w:szCs w:val="24"/>
        </w:rPr>
      </w:pPr>
      <w:bookmarkStart w:id="46" w:name="_Toc1758"/>
      <w:r>
        <w:rPr>
          <w:rFonts w:hint="eastAsia" w:ascii="黑体" w:hAnsi="黑体" w:eastAsia="黑体" w:cs="Times New Roman"/>
          <w:b/>
          <w:bCs/>
          <w:sz w:val="24"/>
          <w:szCs w:val="24"/>
        </w:rPr>
        <w:t>六、存在问题及原因分析</w:t>
      </w:r>
      <w:bookmarkEnd w:id="46"/>
    </w:p>
    <w:p w14:paraId="75A739C0">
      <w:pPr>
        <w:spacing w:line="560" w:lineRule="exact"/>
        <w:ind w:firstLine="472" w:firstLineChars="200"/>
        <w:outlineLvl w:val="0"/>
        <w:rPr>
          <w:rFonts w:ascii="仿宋_GB2312" w:hAnsi="Times New Roman" w:eastAsia="仿宋_GB2312" w:cs="Times New Roman"/>
          <w:sz w:val="24"/>
          <w:szCs w:val="24"/>
        </w:rPr>
      </w:pPr>
      <w:bookmarkStart w:id="47" w:name="_Toc703"/>
      <w:r>
        <w:rPr>
          <w:rFonts w:hint="eastAsia" w:ascii="仿宋_GB2312" w:hAnsi="Times New Roman" w:eastAsia="仿宋_GB2312" w:cs="Times New Roman"/>
          <w:sz w:val="24"/>
          <w:szCs w:val="24"/>
        </w:rPr>
        <w:t>（一）绩效指标体系个别项目绩效目标设置还</w:t>
      </w:r>
      <w:r>
        <w:rPr>
          <w:rFonts w:ascii="仿宋_GB2312" w:hAnsi="Times New Roman" w:eastAsia="仿宋_GB2312" w:cs="Times New Roman"/>
          <w:sz w:val="24"/>
          <w:szCs w:val="24"/>
        </w:rPr>
        <w:t>可经再</w:t>
      </w:r>
      <w:r>
        <w:rPr>
          <w:rFonts w:hint="eastAsia" w:ascii="仿宋_GB2312" w:hAnsi="Times New Roman" w:eastAsia="仿宋_GB2312" w:cs="Times New Roman"/>
          <w:sz w:val="24"/>
          <w:szCs w:val="24"/>
        </w:rPr>
        <w:t>细化。 如质量指标，说法过于笼统。</w:t>
      </w:r>
    </w:p>
    <w:p w14:paraId="2D6FDF90">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（二）绩效自评表不够细化、绩效自评报告过于简单，内容不够规范，不能完全精确体现实际效益。</w:t>
      </w:r>
    </w:p>
    <w:p w14:paraId="232F5E00">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（三）对绩效管理意识有待增强，尚未能全面深入认识理解绩效管理工作意义，绩效管理经验不足。</w:t>
      </w:r>
    </w:p>
    <w:p w14:paraId="7ED0408F">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七、有关建议</w:t>
      </w:r>
      <w:bookmarkEnd w:id="47"/>
    </w:p>
    <w:p w14:paraId="6D99A4A2">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（一）提高绩效目标编制规范性和完整性</w:t>
      </w:r>
    </w:p>
    <w:p w14:paraId="42DFB5CD">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以相关政策指导为目标将工作任务有效分解，加强学习，结合实际情况参考同类项目制定完整、合理的绩效指标。</w:t>
      </w:r>
    </w:p>
    <w:p w14:paraId="3866458A">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（二）加强财务管理与绩效评价体系建设</w:t>
      </w:r>
    </w:p>
    <w:p w14:paraId="427941DC">
      <w:pPr>
        <w:spacing w:line="560" w:lineRule="exact"/>
        <w:ind w:firstLine="472" w:firstLineChars="200"/>
        <w:outlineLvl w:val="0"/>
        <w:rPr>
          <w:rFonts w:ascii="仿宋_GB2312" w:hAnsi="Times New Roman" w:eastAsia="仿宋_GB2312" w:cs="Times New Roman"/>
          <w:sz w:val="24"/>
          <w:szCs w:val="24"/>
        </w:rPr>
      </w:pPr>
      <w:r>
        <w:rPr>
          <w:rFonts w:hint="eastAsia" w:ascii="仿宋_GB2312" w:hAnsi="Times New Roman" w:eastAsia="仿宋_GB2312" w:cs="Times New Roman"/>
          <w:sz w:val="24"/>
          <w:szCs w:val="24"/>
        </w:rPr>
        <w:t>加强财务管理，确保资金使用规范，提高资金使用效率，进一步加强绩效评价制度和流程的建设，深化完善绩效管理体系。</w:t>
      </w:r>
    </w:p>
    <w:p w14:paraId="75B41E8C">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八、其他需要说明的问题</w:t>
      </w:r>
    </w:p>
    <w:p w14:paraId="0CC89BC5">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无其他需要说明的问题。</w:t>
      </w:r>
    </w:p>
    <w:p w14:paraId="12A4D791">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14:paraId="1340A5D0">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1.202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年度怀远</w:t>
      </w:r>
      <w:r>
        <w:rPr>
          <w:rFonts w:ascii="仿宋_GB2312" w:hAnsi="Times New Roman" w:eastAsia="仿宋_GB2312" w:cs="Times New Roman"/>
          <w:sz w:val="24"/>
          <w:szCs w:val="24"/>
        </w:rPr>
        <w:t>县公安局看守所在押人员伙食费</w:t>
      </w:r>
      <w:r>
        <w:rPr>
          <w:rFonts w:hint="eastAsia" w:ascii="仿宋_GB2312" w:hAnsi="Times New Roman" w:eastAsia="仿宋_GB2312" w:cs="Times New Roman"/>
          <w:sz w:val="24"/>
          <w:szCs w:val="24"/>
        </w:rPr>
        <w:t>项目绩效评价报告附表</w:t>
      </w:r>
    </w:p>
    <w:p w14:paraId="4D6649F5">
      <w:pPr>
        <w:tabs>
          <w:tab w:val="left" w:pos="1276"/>
        </w:tabs>
        <w:spacing w:line="560" w:lineRule="exact"/>
        <w:ind w:firstLine="529" w:firstLineChars="224"/>
        <w:rPr>
          <w:rFonts w:ascii="仿宋_GB2312" w:eastAsia="仿宋_GB2312" w:cs="Times New Roman"/>
          <w:sz w:val="24"/>
          <w:szCs w:val="24"/>
        </w:rPr>
      </w:pPr>
      <w:r>
        <w:rPr>
          <w:rFonts w:hint="eastAsia" w:ascii="仿宋_GB2312" w:hAnsi="Times New Roman" w:eastAsia="仿宋_GB2312" w:cs="Times New Roman"/>
          <w:sz w:val="24"/>
          <w:szCs w:val="24"/>
        </w:rPr>
        <w:t>2.202</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年度怀远</w:t>
      </w:r>
      <w:r>
        <w:rPr>
          <w:rFonts w:ascii="仿宋_GB2312" w:hAnsi="Times New Roman" w:eastAsia="仿宋_GB2312" w:cs="Times New Roman"/>
          <w:sz w:val="24"/>
          <w:szCs w:val="24"/>
        </w:rPr>
        <w:t>县公安局看守所在押人员伙食费</w:t>
      </w:r>
      <w:r>
        <w:rPr>
          <w:rFonts w:hint="eastAsia" w:ascii="仿宋_GB2312" w:hAnsi="Times New Roman" w:eastAsia="仿宋_GB2312" w:cs="Times New Roman"/>
          <w:sz w:val="24"/>
          <w:szCs w:val="24"/>
        </w:rPr>
        <w:t>项目绩效评价-问卷调查统计分析表</w:t>
      </w:r>
    </w:p>
    <w:tbl>
      <w:tblPr>
        <w:tblStyle w:val="16"/>
        <w:tblW w:w="10320" w:type="dxa"/>
        <w:tblInd w:w="-717" w:type="dxa"/>
        <w:tblLayout w:type="fixed"/>
        <w:tblCellMar>
          <w:top w:w="0" w:type="dxa"/>
          <w:left w:w="0" w:type="dxa"/>
          <w:bottom w:w="0" w:type="dxa"/>
          <w:right w:w="0" w:type="dxa"/>
        </w:tblCellMar>
      </w:tblPr>
      <w:tblGrid>
        <w:gridCol w:w="10320"/>
      </w:tblGrid>
      <w:tr w14:paraId="6193BB0A">
        <w:tblPrEx>
          <w:tblCellMar>
            <w:top w:w="0" w:type="dxa"/>
            <w:left w:w="0" w:type="dxa"/>
            <w:bottom w:w="0" w:type="dxa"/>
            <w:right w:w="0" w:type="dxa"/>
          </w:tblCellMar>
        </w:tblPrEx>
        <w:trPr>
          <w:trHeight w:val="1193" w:hRule="atLeast"/>
        </w:trPr>
        <w:tc>
          <w:tcPr>
            <w:tcW w:w="10320" w:type="dxa"/>
            <w:noWrap/>
            <w:tcMar>
              <w:top w:w="0" w:type="dxa"/>
              <w:left w:w="108" w:type="dxa"/>
              <w:bottom w:w="0" w:type="dxa"/>
              <w:right w:w="108" w:type="dxa"/>
            </w:tcMar>
            <w:vAlign w:val="center"/>
          </w:tcPr>
          <w:p w14:paraId="384284D3">
            <w:pPr>
              <w:keepNext w:val="0"/>
              <w:keepLines w:val="0"/>
              <w:pageBreakBefore w:val="0"/>
              <w:widowControl/>
              <w:kinsoku/>
              <w:wordWrap/>
              <w:overflowPunct/>
              <w:topLinePunct w:val="0"/>
              <w:autoSpaceDE/>
              <w:autoSpaceDN/>
              <w:bidi w:val="0"/>
              <w:adjustRightInd/>
              <w:snapToGrid/>
              <w:spacing w:line="560" w:lineRule="exact"/>
              <w:rPr>
                <w:rFonts w:hint="eastAsia" w:ascii="仿宋_GB2312" w:hAnsi="仿宋_GB2312" w:eastAsia="仿宋_GB2312" w:cs="仿宋_GB2312"/>
                <w:kern w:val="0"/>
                <w:sz w:val="28"/>
                <w:szCs w:val="28"/>
              </w:rPr>
            </w:pPr>
          </w:p>
          <w:p w14:paraId="7A44B669">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（此页无</w:t>
            </w:r>
            <w:r>
              <w:rPr>
                <w:rFonts w:hint="eastAsia" w:ascii="仿宋_GB2312" w:hAnsi="仿宋_GB2312" w:eastAsia="仿宋_GB2312" w:cs="仿宋_GB2312"/>
                <w:kern w:val="0"/>
                <w:sz w:val="28"/>
                <w:szCs w:val="28"/>
                <w:lang w:val="en-US" w:eastAsia="zh-CN"/>
              </w:rPr>
              <w:t>正</w:t>
            </w:r>
            <w:r>
              <w:rPr>
                <w:rFonts w:hint="eastAsia" w:ascii="仿宋_GB2312" w:hAnsi="仿宋_GB2312" w:eastAsia="仿宋_GB2312" w:cs="仿宋_GB2312"/>
                <w:kern w:val="0"/>
                <w:sz w:val="28"/>
                <w:szCs w:val="28"/>
              </w:rPr>
              <w:t>文）</w:t>
            </w:r>
          </w:p>
        </w:tc>
      </w:tr>
      <w:tr w14:paraId="6C74604E">
        <w:tblPrEx>
          <w:tblCellMar>
            <w:top w:w="0" w:type="dxa"/>
            <w:left w:w="0" w:type="dxa"/>
            <w:bottom w:w="0" w:type="dxa"/>
            <w:right w:w="0" w:type="dxa"/>
          </w:tblCellMar>
        </w:tblPrEx>
        <w:trPr>
          <w:trHeight w:val="874" w:hRule="atLeast"/>
        </w:trPr>
        <w:tc>
          <w:tcPr>
            <w:tcW w:w="10320" w:type="dxa"/>
            <w:noWrap/>
            <w:tcMar>
              <w:top w:w="0" w:type="dxa"/>
              <w:left w:w="108" w:type="dxa"/>
              <w:bottom w:w="0" w:type="dxa"/>
              <w:right w:w="108" w:type="dxa"/>
            </w:tcMar>
            <w:vAlign w:val="center"/>
          </w:tcPr>
          <w:p w14:paraId="7511E0E9">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p>
        </w:tc>
      </w:tr>
    </w:tbl>
    <w:p w14:paraId="086DEE9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43D7DFB6">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788E45C2">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安徽乔峰信息科技有限公司</w:t>
      </w:r>
      <w:r>
        <w:rPr>
          <w:rFonts w:hint="eastAsia" w:ascii="仿宋_GB2312" w:hAnsi="仿宋_GB2312" w:eastAsia="仿宋_GB2312" w:cs="仿宋_GB2312"/>
          <w:sz w:val="28"/>
          <w:szCs w:val="28"/>
          <w:lang w:val="en-US" w:eastAsia="zh-CN"/>
        </w:rPr>
        <w:t xml:space="preserve">           主评人：</w:t>
      </w:r>
      <w:r>
        <w:rPr>
          <w:rFonts w:hint="eastAsia" w:ascii="仿宋_GB2312" w:hAnsi="仿宋_GB2312" w:eastAsia="仿宋_GB2312" w:cs="仿宋_GB2312"/>
          <w:sz w:val="28"/>
          <w:szCs w:val="28"/>
        </w:rPr>
        <w:t xml:space="preserve">  </w:t>
      </w:r>
    </w:p>
    <w:p w14:paraId="08EB62C3">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03702000">
      <w:pPr>
        <w:keepNext w:val="0"/>
        <w:keepLines w:val="0"/>
        <w:pageBreakBefore w:val="0"/>
        <w:kinsoku/>
        <w:wordWrap/>
        <w:overflowPunct/>
        <w:topLinePunct w:val="0"/>
        <w:autoSpaceDE/>
        <w:autoSpaceDN/>
        <w:bidi w:val="0"/>
        <w:adjustRightInd/>
        <w:snapToGrid/>
        <w:spacing w:line="560" w:lineRule="exact"/>
        <w:ind w:firstLine="1104" w:firstLineChars="4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主评人：</w:t>
      </w:r>
      <w:r>
        <w:rPr>
          <w:rFonts w:hint="eastAsia" w:ascii="仿宋_GB2312" w:hAnsi="仿宋_GB2312" w:eastAsia="仿宋_GB2312" w:cs="仿宋_GB2312"/>
          <w:sz w:val="28"/>
          <w:szCs w:val="28"/>
        </w:rPr>
        <w:t xml:space="preserve"> </w:t>
      </w:r>
    </w:p>
    <w:p w14:paraId="2AEB1694">
      <w:pPr>
        <w:keepNext w:val="0"/>
        <w:keepLines w:val="0"/>
        <w:pageBreakBefore w:val="0"/>
        <w:kinsoku/>
        <w:wordWrap/>
        <w:overflowPunct/>
        <w:topLinePunct w:val="0"/>
        <w:autoSpaceDE/>
        <w:autoSpaceDN/>
        <w:bidi w:val="0"/>
        <w:adjustRightInd/>
        <w:snapToGrid/>
        <w:spacing w:line="560" w:lineRule="exact"/>
        <w:ind w:firstLine="1104" w:firstLineChars="400"/>
        <w:jc w:val="right"/>
        <w:rPr>
          <w:rFonts w:hint="eastAsia" w:ascii="仿宋_GB2312" w:hAnsi="仿宋_GB2312" w:eastAsia="仿宋_GB2312" w:cs="仿宋_GB2312"/>
          <w:sz w:val="28"/>
          <w:szCs w:val="28"/>
        </w:rPr>
      </w:pPr>
    </w:p>
    <w:p w14:paraId="4EA72508">
      <w:pPr>
        <w:jc w:val="center"/>
        <w:rPr>
          <w:rFonts w:hint="eastAsia" w:ascii="仿宋_GB2312" w:hAnsi="Times New Roman" w:eastAsia="仿宋_GB2312" w:cs="Times New Roman"/>
          <w:sz w:val="24"/>
          <w:szCs w:val="24"/>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18</w:t>
      </w:r>
      <w:r>
        <w:rPr>
          <w:rFonts w:hint="eastAsia" w:ascii="仿宋_GB2312" w:hAnsi="仿宋_GB2312" w:eastAsia="仿宋_GB2312" w:cs="仿宋_GB2312"/>
          <w:sz w:val="28"/>
          <w:szCs w:val="28"/>
        </w:rPr>
        <w:t>日</w:t>
      </w:r>
    </w:p>
    <w:p w14:paraId="38388539">
      <w:pPr>
        <w:pStyle w:val="2"/>
        <w:ind w:firstLine="0" w:firstLineChars="0"/>
        <w:rPr>
          <w:rFonts w:ascii="仿宋_GB2312" w:eastAsia="仿宋_GB2312" w:cs="Times New Roman"/>
          <w:sz w:val="24"/>
          <w:szCs w:val="24"/>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A79B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14:paraId="5D00538A">
        <w:pPr>
          <w:pStyle w:val="10"/>
          <w:ind w:firstLine="4500" w:firstLineChars="2500"/>
        </w:pPr>
        <w:r>
          <w:fldChar w:fldCharType="begin"/>
        </w:r>
        <w:r>
          <w:instrText xml:space="preserve">PAGE   \* MERGEFORMAT</w:instrText>
        </w:r>
        <w:r>
          <w:fldChar w:fldCharType="separate"/>
        </w:r>
        <w:r>
          <w:rPr>
            <w:lang w:val="zh-CN"/>
          </w:rPr>
          <w:t>-</w:t>
        </w:r>
        <w:r>
          <w:t xml:space="preserve"> 19 -</w:t>
        </w:r>
        <w:r>
          <w:fldChar w:fldCharType="end"/>
        </w:r>
      </w:p>
    </w:sdtContent>
  </w:sdt>
  <w:p w14:paraId="1B64EFEE">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D6B62">
    <w:pPr>
      <w:pStyle w:val="11"/>
      <w:rPr>
        <w:rFonts w:ascii="仿宋_GB2312" w:hAnsi="仿宋" w:eastAsia="仿宋_GB2312"/>
        <w:b/>
        <w:bCs/>
      </w:rPr>
    </w:pPr>
    <w:r>
      <w:rPr>
        <w:rFonts w:hint="eastAsia" w:ascii="仿宋_GB2312" w:hAnsi="仿宋" w:eastAsia="仿宋_GB2312"/>
        <w:b/>
        <w:bCs/>
      </w:rPr>
      <w:t>202</w:t>
    </w:r>
    <w:r>
      <w:rPr>
        <w:rFonts w:ascii="仿宋_GB2312" w:hAnsi="仿宋" w:eastAsia="仿宋_GB2312"/>
        <w:b/>
        <w:bCs/>
      </w:rPr>
      <w:t>3</w:t>
    </w:r>
    <w:r>
      <w:rPr>
        <w:rFonts w:hint="eastAsia" w:ascii="仿宋_GB2312" w:hAnsi="仿宋" w:eastAsia="仿宋_GB2312"/>
        <w:b/>
        <w:bCs/>
      </w:rPr>
      <w:t>年度怀</w:t>
    </w:r>
    <w:r>
      <w:rPr>
        <w:rFonts w:ascii="仿宋_GB2312" w:hAnsi="仿宋" w:eastAsia="仿宋_GB2312"/>
        <w:b/>
        <w:bCs/>
      </w:rPr>
      <w:t>远县公安局看守所在押人员伙食费</w:t>
    </w:r>
    <w:r>
      <w:rPr>
        <w:rFonts w:hint="eastAsia" w:ascii="仿宋_GB2312" w:hAnsi="仿宋" w:eastAsia="仿宋_GB2312"/>
        <w:b/>
        <w:bCs/>
      </w:rPr>
      <w:t>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15DE7">
    <w:pPr>
      <w:pStyle w:val="11"/>
      <w:rPr>
        <w:rFonts w:ascii="仿宋_GB2312" w:hAnsi="仿宋" w:eastAsia="仿宋_GB2312"/>
        <w:b/>
        <w:bCs/>
      </w:rPr>
    </w:pPr>
    <w:r>
      <w:rPr>
        <w:rFonts w:hint="eastAsia" w:ascii="仿宋_GB2312" w:hAnsi="仿宋" w:eastAsia="仿宋_GB2312"/>
        <w:b/>
        <w:bCs/>
      </w:rPr>
      <w:t>202</w:t>
    </w:r>
    <w:r>
      <w:rPr>
        <w:rFonts w:ascii="仿宋_GB2312" w:hAnsi="仿宋" w:eastAsia="仿宋_GB2312"/>
        <w:b/>
        <w:bCs/>
      </w:rPr>
      <w:t>3</w:t>
    </w:r>
    <w:r>
      <w:rPr>
        <w:rFonts w:hint="eastAsia" w:ascii="仿宋_GB2312" w:hAnsi="仿宋" w:eastAsia="仿宋_GB2312"/>
        <w:b/>
        <w:bCs/>
      </w:rPr>
      <w:t>年度怀</w:t>
    </w:r>
    <w:r>
      <w:rPr>
        <w:rFonts w:ascii="仿宋_GB2312" w:hAnsi="仿宋" w:eastAsia="仿宋_GB2312"/>
        <w:b/>
        <w:bCs/>
      </w:rPr>
      <w:t>远县公安局看守所在押人员伙食费</w:t>
    </w:r>
    <w:r>
      <w:rPr>
        <w:rFonts w:hint="eastAsia" w:ascii="仿宋_GB2312" w:hAnsi="仿宋" w:eastAsia="仿宋_GB2312"/>
        <w:b/>
        <w:bCs/>
      </w:rPr>
      <w:t>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632"/>
  <w:drawingGridHorizontalSpacing w:val="158"/>
  <w:drawingGridVerticalSpacing w:val="28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JjMzQ4YzdkM2Q3YTA4MDQ0YzMwZGMxODU2ZTc0YzM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4E50"/>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0E0E"/>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531A"/>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5FF4"/>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64C"/>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4E6D"/>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711"/>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5C9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4567"/>
    <w:rsid w:val="00635A1C"/>
    <w:rsid w:val="006373D1"/>
    <w:rsid w:val="00641213"/>
    <w:rsid w:val="00641459"/>
    <w:rsid w:val="0064222F"/>
    <w:rsid w:val="00645A85"/>
    <w:rsid w:val="00647AB8"/>
    <w:rsid w:val="006507CA"/>
    <w:rsid w:val="00651FE8"/>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37DA"/>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2BB7"/>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1264"/>
    <w:rsid w:val="008821B5"/>
    <w:rsid w:val="00883124"/>
    <w:rsid w:val="00883EB4"/>
    <w:rsid w:val="0088443B"/>
    <w:rsid w:val="008846E5"/>
    <w:rsid w:val="008902B0"/>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2968"/>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0445"/>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503"/>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ED6"/>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43CD"/>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2B8"/>
    <w:rsid w:val="00C13C97"/>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4AA"/>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E91"/>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4B3"/>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012"/>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C96E7B"/>
    <w:rsid w:val="02F10AF5"/>
    <w:rsid w:val="03F7766B"/>
    <w:rsid w:val="074A532E"/>
    <w:rsid w:val="08270707"/>
    <w:rsid w:val="09C07BA3"/>
    <w:rsid w:val="09DC6DBB"/>
    <w:rsid w:val="0A09758D"/>
    <w:rsid w:val="0BF20BC7"/>
    <w:rsid w:val="16A91EF8"/>
    <w:rsid w:val="17D76CC1"/>
    <w:rsid w:val="18B90B18"/>
    <w:rsid w:val="1BAE4FBA"/>
    <w:rsid w:val="1DBB0BD4"/>
    <w:rsid w:val="1EC46CC7"/>
    <w:rsid w:val="22EE18BA"/>
    <w:rsid w:val="26DB2051"/>
    <w:rsid w:val="287E411F"/>
    <w:rsid w:val="29CA4207"/>
    <w:rsid w:val="2E580034"/>
    <w:rsid w:val="315A58A5"/>
    <w:rsid w:val="31842820"/>
    <w:rsid w:val="32AC30CB"/>
    <w:rsid w:val="3A1824A9"/>
    <w:rsid w:val="400A452A"/>
    <w:rsid w:val="43F0332E"/>
    <w:rsid w:val="449E34D8"/>
    <w:rsid w:val="4B307F16"/>
    <w:rsid w:val="564A5A5F"/>
    <w:rsid w:val="59BA30FE"/>
    <w:rsid w:val="619431E5"/>
    <w:rsid w:val="6C294EA0"/>
    <w:rsid w:val="6C5816AC"/>
    <w:rsid w:val="6C9C0113"/>
    <w:rsid w:val="6D8F2D6B"/>
    <w:rsid w:val="6FF32FBC"/>
    <w:rsid w:val="73E958DB"/>
    <w:rsid w:val="78564B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23"/>
    <w:qFormat/>
    <w:uiPriority w:val="9"/>
    <w:pPr>
      <w:keepNext/>
      <w:keepLines/>
      <w:spacing w:before="340" w:after="330" w:line="578" w:lineRule="auto"/>
      <w:outlineLvl w:val="0"/>
    </w:pPr>
    <w:rPr>
      <w:b/>
      <w:bCs/>
      <w:kern w:val="44"/>
      <w:sz w:val="44"/>
      <w:szCs w:val="4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4">
    <w:name w:val="Body Text"/>
    <w:basedOn w:val="1"/>
    <w:link w:val="22"/>
    <w:qFormat/>
    <w:uiPriority w:val="0"/>
    <w:pPr>
      <w:spacing w:after="120"/>
    </w:pPr>
    <w:rPr>
      <w:rFonts w:ascii="Times New Roman" w:hAnsi="Times New Roman" w:eastAsia="仿宋_GB2312" w:cs="Times New Roman"/>
      <w:sz w:val="30"/>
      <w:szCs w:val="24"/>
    </w:rPr>
  </w:style>
  <w:style w:type="paragraph" w:styleId="5">
    <w:name w:val="Body Text Indent"/>
    <w:basedOn w:val="1"/>
    <w:next w:val="6"/>
    <w:unhideWhenUsed/>
    <w:qFormat/>
    <w:uiPriority w:val="99"/>
    <w:pPr>
      <w:ind w:left="420" w:leftChars="200"/>
    </w:pPr>
  </w:style>
  <w:style w:type="paragraph" w:styleId="6">
    <w:name w:val="envelope return"/>
    <w:basedOn w:val="1"/>
    <w:qFormat/>
    <w:uiPriority w:val="0"/>
    <w:pPr>
      <w:snapToGrid w:val="0"/>
    </w:pPr>
    <w:rPr>
      <w:rFonts w:ascii="Arial" w:hAnsi="Arial" w:cs="Arial"/>
      <w:szCs w:val="24"/>
    </w:rPr>
  </w:style>
  <w:style w:type="paragraph" w:styleId="7">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8">
    <w:name w:val="Date"/>
    <w:basedOn w:val="1"/>
    <w:next w:val="1"/>
    <w:link w:val="19"/>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3">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4">
    <w:name w:val="Body Text First Indent"/>
    <w:basedOn w:val="4"/>
    <w:unhideWhenUsed/>
    <w:qFormat/>
    <w:uiPriority w:val="99"/>
    <w:pPr>
      <w:ind w:firstLine="420" w:firstLineChars="100"/>
    </w:pPr>
    <w:rPr>
      <w:rFonts w:eastAsia="宋体"/>
    </w:rPr>
  </w:style>
  <w:style w:type="paragraph" w:styleId="15">
    <w:name w:val="Body Text First Indent 2"/>
    <w:basedOn w:val="5"/>
    <w:next w:val="14"/>
    <w:unhideWhenUsed/>
    <w:qFormat/>
    <w:uiPriority w:val="99"/>
    <w:pPr>
      <w:ind w:firstLine="420" w:firstLineChars="2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日期 Char"/>
    <w:basedOn w:val="18"/>
    <w:link w:val="8"/>
    <w:semiHidden/>
    <w:qFormat/>
    <w:uiPriority w:val="99"/>
  </w:style>
  <w:style w:type="character" w:customStyle="1" w:styleId="20">
    <w:name w:val="页眉 Char"/>
    <w:basedOn w:val="18"/>
    <w:link w:val="11"/>
    <w:qFormat/>
    <w:uiPriority w:val="99"/>
    <w:rPr>
      <w:sz w:val="18"/>
      <w:szCs w:val="18"/>
    </w:rPr>
  </w:style>
  <w:style w:type="character" w:customStyle="1" w:styleId="21">
    <w:name w:val="页脚 Char"/>
    <w:basedOn w:val="18"/>
    <w:link w:val="10"/>
    <w:qFormat/>
    <w:uiPriority w:val="99"/>
    <w:rPr>
      <w:sz w:val="18"/>
      <w:szCs w:val="18"/>
    </w:rPr>
  </w:style>
  <w:style w:type="character" w:customStyle="1" w:styleId="22">
    <w:name w:val="正文文本 Char"/>
    <w:basedOn w:val="18"/>
    <w:link w:val="4"/>
    <w:qFormat/>
    <w:uiPriority w:val="0"/>
    <w:rPr>
      <w:rFonts w:ascii="Times New Roman" w:hAnsi="Times New Roman" w:eastAsia="仿宋_GB2312" w:cs="Times New Roman"/>
      <w:sz w:val="30"/>
      <w:szCs w:val="24"/>
    </w:rPr>
  </w:style>
  <w:style w:type="character" w:customStyle="1" w:styleId="23">
    <w:name w:val="标题 1 Char"/>
    <w:basedOn w:val="18"/>
    <w:link w:val="3"/>
    <w:autoRedefine/>
    <w:qFormat/>
    <w:uiPriority w:val="9"/>
    <w:rPr>
      <w:rFonts w:eastAsia="仿宋"/>
      <w:b/>
      <w:bCs/>
      <w:kern w:val="44"/>
      <w:sz w:val="44"/>
      <w:szCs w:val="44"/>
    </w:rPr>
  </w:style>
  <w:style w:type="paragraph" w:customStyle="1" w:styleId="24">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
    <w:name w:val="WPSOffice手动目录 1"/>
    <w:autoRedefine/>
    <w:qFormat/>
    <w:uiPriority w:val="0"/>
    <w:rPr>
      <w:rFonts w:ascii="Times New Roman" w:hAnsi="Times New Roman" w:eastAsia="宋体" w:cs="Times New Roman"/>
      <w:lang w:val="en-US" w:eastAsia="zh-CN" w:bidi="ar-SA"/>
    </w:rPr>
  </w:style>
  <w:style w:type="paragraph" w:customStyle="1" w:styleId="26">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7">
    <w:name w:val="批注框文本 Char"/>
    <w:basedOn w:val="18"/>
    <w:link w:val="9"/>
    <w:autoRedefine/>
    <w:semiHidden/>
    <w:qFormat/>
    <w:uiPriority w:val="99"/>
    <w:rPr>
      <w:rFonts w:eastAsia="仿宋" w:asciiTheme="minorHAnsi" w:hAnsiTheme="minorHAnsi" w:cstheme="minorBidi"/>
      <w:kern w:val="2"/>
      <w:sz w:val="18"/>
      <w:szCs w:val="18"/>
    </w:rPr>
  </w:style>
  <w:style w:type="paragraph"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39FC1-632D-48E0-A4C7-1204E94CEF11}">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5407</Words>
  <Characters>5705</Characters>
  <Lines>81</Lines>
  <Paragraphs>22</Paragraphs>
  <TotalTime>0</TotalTime>
  <ScaleCrop>false</ScaleCrop>
  <LinksUpToDate>false</LinksUpToDate>
  <CharactersWithSpaces>5821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2024-11-28T01:47:00Z</dcterms:created>
  <dc:creator>韩 军</dc:creator>
  <cp:lastModifiedBy>MOON</cp:lastModifiedBy>
  <cp:lastPrinted>2024-12-03T02:08:00Z</cp:lastPrinted>
  <dcterms:modified xsi:type="dcterms:W3CDTF">2025-01-15T00:39:21Z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067F82524A2648088F4672C553E317F7_13</vt:lpwstr>
  </property>
  <property fmtid="{D5CDD505-2E9C-101B-9397-08002B2CF9AE}" pid="4" name="KSOTemplateDocerSaveRecord">
    <vt:lpwstr>eyJoZGlkIjoiMGNlN2E2OTZmZDdkN2JiODViM2ZjNTZkNmJkNWI1MzUiLCJ1c2VySWQiOiIyNzE4NjE5NjIifQ==</vt:lpwstr>
  </property>
</Properties>
</file>