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70B8A">
      <w:pPr>
        <w:spacing w:line="360" w:lineRule="auto"/>
        <w:jc w:val="center"/>
        <w:outlineLvl w:val="0"/>
        <w:rPr>
          <w:rFonts w:hint="default" w:asciiTheme="minorEastAsia" w:hAnsiTheme="minorEastAsia"/>
          <w:b/>
          <w:color w:val="auto"/>
          <w:sz w:val="28"/>
          <w:highlight w:val="none"/>
        </w:rPr>
      </w:pPr>
      <w:bookmarkStart w:id="0" w:name="_Toc15197"/>
      <w:r>
        <w:rPr>
          <w:rFonts w:hint="default" w:asciiTheme="minorEastAsia" w:hAnsiTheme="minorEastAsia"/>
          <w:b/>
          <w:color w:val="auto"/>
          <w:sz w:val="28"/>
          <w:highlight w:val="none"/>
        </w:rPr>
        <w:t>2026年怀远职业技术学校实训室设备采购及安装项目</w:t>
      </w:r>
    </w:p>
    <w:p w14:paraId="418C2665">
      <w:pPr>
        <w:spacing w:line="360" w:lineRule="auto"/>
        <w:jc w:val="center"/>
        <w:outlineLvl w:val="0"/>
        <w:rPr>
          <w:rFonts w:hint="eastAsia" w:asciiTheme="minorEastAsia" w:hAnsiTheme="minorEastAsia" w:eastAsiaTheme="minorEastAsia"/>
          <w:b/>
          <w:color w:val="auto"/>
          <w:sz w:val="28"/>
          <w:highlight w:val="none"/>
        </w:rPr>
      </w:pPr>
      <w:r>
        <w:rPr>
          <w:rFonts w:hint="default" w:asciiTheme="minorEastAsia" w:hAnsiTheme="minorEastAsia"/>
          <w:b/>
          <w:color w:val="auto"/>
          <w:sz w:val="28"/>
          <w:highlight w:val="none"/>
        </w:rPr>
        <w:t>(人工智能技术与应用专业实训设备采购及安装)</w:t>
      </w:r>
      <w:r>
        <w:rPr>
          <w:rFonts w:hint="eastAsia" w:asciiTheme="minorEastAsia" w:hAnsiTheme="minorEastAsia" w:eastAsiaTheme="minorEastAsia"/>
          <w:b/>
          <w:color w:val="auto"/>
          <w:sz w:val="28"/>
          <w:highlight w:val="none"/>
        </w:rPr>
        <w:t>采购需求</w:t>
      </w:r>
      <w:bookmarkEnd w:id="0"/>
    </w:p>
    <w:p w14:paraId="5D0E4B44">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0335550">
      <w:pPr>
        <w:spacing w:line="360" w:lineRule="auto"/>
        <w:ind w:firstLine="480" w:firstLineChars="200"/>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w:t>
      </w:r>
      <w:r>
        <w:rPr>
          <w:rFonts w:hint="eastAsia" w:ascii="宋体" w:hAnsi="宋体" w:eastAsia="宋体"/>
          <w:color w:val="auto"/>
          <w:sz w:val="24"/>
          <w:szCs w:val="18"/>
          <w:highlight w:val="none"/>
          <w:lang w:eastAsia="zh-CN"/>
        </w:rPr>
        <w:t>招标文件</w:t>
      </w:r>
      <w:r>
        <w:rPr>
          <w:rFonts w:ascii="宋体" w:hAnsi="宋体" w:eastAsia="宋体"/>
          <w:color w:val="auto"/>
          <w:sz w:val="24"/>
          <w:szCs w:val="18"/>
          <w:highlight w:val="none"/>
        </w:rPr>
        <w:t>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2FD48794">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p>
    <w:p w14:paraId="30D315B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0CD78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05A0827">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189AF809">
      <w:pPr>
        <w:spacing w:line="360" w:lineRule="auto"/>
        <w:ind w:firstLine="437"/>
        <w:outlineLvl w:val="1"/>
        <w:rPr>
          <w:rFonts w:hint="eastAsia" w:ascii="宋体" w:hAnsi="宋体" w:eastAsia="宋体"/>
          <w:b/>
          <w:color w:val="auto"/>
          <w:sz w:val="24"/>
          <w:szCs w:val="18"/>
          <w:highlight w:val="none"/>
        </w:rPr>
      </w:pPr>
      <w:bookmarkStart w:id="1" w:name="_Toc26457"/>
      <w:bookmarkStart w:id="2" w:name="_Toc9631"/>
      <w:bookmarkStart w:id="3" w:name="_Toc20480"/>
      <w:r>
        <w:rPr>
          <w:rFonts w:hint="eastAsia" w:ascii="宋体" w:hAnsi="宋体" w:eastAsia="宋体"/>
          <w:b/>
          <w:color w:val="auto"/>
          <w:sz w:val="24"/>
          <w:szCs w:val="18"/>
          <w:highlight w:val="none"/>
        </w:rPr>
        <w:t>一、采购需求前附表</w:t>
      </w:r>
      <w:bookmarkEnd w:id="1"/>
      <w:bookmarkEnd w:id="2"/>
      <w:bookmarkEnd w:id="3"/>
    </w:p>
    <w:tbl>
      <w:tblPr>
        <w:tblStyle w:val="88"/>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0554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315DF37">
            <w:pPr>
              <w:pStyle w:val="92"/>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74" w:type="pct"/>
            <w:vAlign w:val="center"/>
          </w:tcPr>
          <w:p w14:paraId="5337B896">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43" w:type="pct"/>
            <w:vAlign w:val="center"/>
          </w:tcPr>
          <w:p w14:paraId="4447E341">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11C0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004967C">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74" w:type="pct"/>
            <w:vAlign w:val="center"/>
          </w:tcPr>
          <w:p w14:paraId="3A312C9B">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43" w:type="pct"/>
            <w:vAlign w:val="center"/>
          </w:tcPr>
          <w:p w14:paraId="20B2AFFA">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货到采购人指定地点安装调试完毕并经采购人委托蚌埠</w:t>
            </w:r>
            <w:r>
              <w:rPr>
                <w:rFonts w:hint="eastAsia" w:ascii="宋体" w:hAnsi="宋体" w:eastAsia="宋体"/>
                <w:b w:val="0"/>
                <w:color w:val="auto"/>
                <w:sz w:val="24"/>
                <w:highlight w:val="none"/>
                <w:u w:val="none"/>
                <w:lang w:val="en-US" w:eastAsia="zh-CN"/>
              </w:rPr>
              <w:t>市</w:t>
            </w:r>
            <w:r>
              <w:rPr>
                <w:rFonts w:hint="eastAsia" w:ascii="宋体" w:hAnsi="宋体" w:eastAsia="宋体"/>
                <w:b w:val="0"/>
                <w:color w:val="auto"/>
                <w:sz w:val="24"/>
                <w:highlight w:val="none"/>
                <w:u w:val="none"/>
              </w:rPr>
              <w:t>产品质量监督检验研究院验收合格后，在收到供应商发票后7个工作日内付至合同金额的100%。</w:t>
            </w:r>
          </w:p>
        </w:tc>
      </w:tr>
      <w:tr w14:paraId="15C4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33E35AA">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74" w:type="pct"/>
            <w:vAlign w:val="center"/>
          </w:tcPr>
          <w:p w14:paraId="12ABB8E3">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43" w:type="pct"/>
            <w:vAlign w:val="center"/>
          </w:tcPr>
          <w:p w14:paraId="565D1420">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采购人指定地点</w:t>
            </w:r>
          </w:p>
        </w:tc>
      </w:tr>
      <w:tr w14:paraId="4B6A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477A92F2">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74" w:type="pct"/>
            <w:vAlign w:val="center"/>
          </w:tcPr>
          <w:p w14:paraId="22C5B006">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43" w:type="pct"/>
            <w:vAlign w:val="center"/>
          </w:tcPr>
          <w:p w14:paraId="1AB664D0">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合同签订后并接到采购人供货通知后</w:t>
            </w:r>
            <w:r>
              <w:rPr>
                <w:rFonts w:hint="eastAsia" w:ascii="宋体" w:hAnsi="宋体" w:eastAsia="宋体"/>
                <w:b w:val="0"/>
                <w:color w:val="auto"/>
                <w:sz w:val="24"/>
                <w:highlight w:val="none"/>
                <w:u w:val="none"/>
                <w:lang w:val="en-US" w:eastAsia="zh-CN"/>
              </w:rPr>
              <w:t>30</w:t>
            </w:r>
            <w:r>
              <w:rPr>
                <w:rFonts w:hint="eastAsia" w:ascii="宋体" w:hAnsi="宋体" w:eastAsia="宋体"/>
                <w:b w:val="0"/>
                <w:color w:val="auto"/>
                <w:sz w:val="24"/>
                <w:highlight w:val="none"/>
                <w:u w:val="none"/>
              </w:rPr>
              <w:t>日内到货并安装调试完毕。</w:t>
            </w:r>
          </w:p>
        </w:tc>
      </w:tr>
      <w:tr w14:paraId="3943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9DB2703">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1174" w:type="pct"/>
            <w:vAlign w:val="center"/>
          </w:tcPr>
          <w:p w14:paraId="18EEEA1C">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43" w:type="pct"/>
            <w:vAlign w:val="center"/>
          </w:tcPr>
          <w:p w14:paraId="35881827">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 xml:space="preserve"> </w:t>
            </w:r>
            <w:r>
              <w:rPr>
                <w:rFonts w:hint="eastAsia" w:ascii="宋体" w:hAnsi="宋体" w:eastAsia="宋体"/>
                <w:b w:val="0"/>
                <w:color w:val="auto"/>
                <w:sz w:val="24"/>
                <w:highlight w:val="none"/>
                <w:u w:val="none"/>
                <w:lang w:val="en-US" w:eastAsia="zh-CN"/>
              </w:rPr>
              <w:t>3年</w:t>
            </w:r>
            <w:r>
              <w:rPr>
                <w:rFonts w:hint="eastAsia" w:ascii="宋体" w:hAnsi="宋体" w:eastAsia="宋体"/>
                <w:b w:val="0"/>
                <w:color w:val="auto"/>
                <w:sz w:val="24"/>
                <w:highlight w:val="none"/>
                <w:u w:val="none"/>
              </w:rPr>
              <w:t xml:space="preserve"> </w:t>
            </w:r>
          </w:p>
        </w:tc>
      </w:tr>
    </w:tbl>
    <w:p w14:paraId="78558745">
      <w:pPr>
        <w:numPr>
          <w:ilvl w:val="0"/>
          <w:numId w:val="0"/>
        </w:numPr>
        <w:spacing w:line="360" w:lineRule="auto"/>
        <w:outlineLvl w:val="1"/>
        <w:rPr>
          <w:rFonts w:hint="eastAsia" w:ascii="宋体" w:hAnsi="宋体" w:eastAsia="宋体"/>
          <w:b/>
          <w:bCs/>
          <w:color w:val="auto"/>
          <w:sz w:val="24"/>
          <w:szCs w:val="18"/>
          <w:highlight w:val="none"/>
        </w:rPr>
      </w:pPr>
      <w:bookmarkStart w:id="4" w:name="_Toc25805"/>
      <w:bookmarkStart w:id="5" w:name="_Toc23735"/>
      <w:bookmarkStart w:id="6" w:name="_Toc8981"/>
    </w:p>
    <w:p w14:paraId="2C190A24">
      <w:pPr>
        <w:numPr>
          <w:ilvl w:val="0"/>
          <w:numId w:val="11"/>
        </w:num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货物需求</w:t>
      </w:r>
      <w:bookmarkEnd w:id="4"/>
      <w:bookmarkEnd w:id="5"/>
      <w:bookmarkEnd w:id="6"/>
    </w:p>
    <w:tbl>
      <w:tblPr>
        <w:tblStyle w:val="88"/>
        <w:tblW w:w="6158" w:type="pct"/>
        <w:tblInd w:w="-10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108" w:type="dxa"/>
          <w:bottom w:w="0" w:type="dxa"/>
          <w:right w:w="108" w:type="dxa"/>
        </w:tblCellMar>
      </w:tblPr>
      <w:tblGrid>
        <w:gridCol w:w="550"/>
        <w:gridCol w:w="1154"/>
        <w:gridCol w:w="6180"/>
        <w:gridCol w:w="693"/>
        <w:gridCol w:w="779"/>
        <w:gridCol w:w="1140"/>
      </w:tblGrid>
      <w:tr w14:paraId="3D10F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860" w:hRule="atLeast"/>
        </w:trPr>
        <w:tc>
          <w:tcPr>
            <w:tcW w:w="262" w:type="pct"/>
            <w:tcBorders>
              <w:top w:val="single" w:color="auto" w:sz="4" w:space="0"/>
              <w:left w:val="single" w:color="auto" w:sz="4" w:space="0"/>
              <w:bottom w:val="single" w:color="auto" w:sz="4" w:space="0"/>
              <w:right w:val="single" w:color="auto" w:sz="4" w:space="0"/>
            </w:tcBorders>
            <w:shd w:val="clear" w:color="auto" w:fill="FFFFFF"/>
            <w:vAlign w:val="center"/>
          </w:tcPr>
          <w:p w14:paraId="2047C3BB">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序号</w:t>
            </w:r>
          </w:p>
        </w:tc>
        <w:tc>
          <w:tcPr>
            <w:tcW w:w="549" w:type="pct"/>
            <w:tcBorders>
              <w:top w:val="single" w:color="auto" w:sz="4" w:space="0"/>
              <w:left w:val="single" w:color="auto" w:sz="4" w:space="0"/>
              <w:bottom w:val="single" w:color="auto" w:sz="4" w:space="0"/>
              <w:right w:val="single" w:color="auto" w:sz="4" w:space="0"/>
            </w:tcBorders>
            <w:shd w:val="clear" w:color="auto" w:fill="FFFFFF"/>
            <w:vAlign w:val="center"/>
          </w:tcPr>
          <w:p w14:paraId="0883C546">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品名</w:t>
            </w:r>
          </w:p>
        </w:tc>
        <w:tc>
          <w:tcPr>
            <w:tcW w:w="2943" w:type="pct"/>
            <w:tcBorders>
              <w:top w:val="single" w:color="auto" w:sz="4" w:space="0"/>
              <w:left w:val="single" w:color="auto" w:sz="4" w:space="0"/>
              <w:bottom w:val="single" w:color="auto" w:sz="4" w:space="0"/>
              <w:right w:val="single" w:color="auto" w:sz="4" w:space="0"/>
            </w:tcBorders>
            <w:shd w:val="clear" w:color="auto" w:fill="FFFFFF"/>
            <w:vAlign w:val="center"/>
          </w:tcPr>
          <w:p w14:paraId="0B64CE9D">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技术规格及配置</w:t>
            </w:r>
          </w:p>
        </w:tc>
        <w:tc>
          <w:tcPr>
            <w:tcW w:w="330" w:type="pct"/>
            <w:tcBorders>
              <w:top w:val="single" w:color="auto" w:sz="4" w:space="0"/>
              <w:left w:val="single" w:color="auto" w:sz="4" w:space="0"/>
              <w:bottom w:val="single" w:color="auto" w:sz="4" w:space="0"/>
              <w:right w:val="single" w:color="auto" w:sz="4" w:space="0"/>
            </w:tcBorders>
            <w:shd w:val="clear" w:color="auto" w:fill="FFFFFF"/>
            <w:vAlign w:val="center"/>
          </w:tcPr>
          <w:p w14:paraId="57638779">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单位</w:t>
            </w:r>
          </w:p>
        </w:tc>
        <w:tc>
          <w:tcPr>
            <w:tcW w:w="371" w:type="pct"/>
            <w:tcBorders>
              <w:top w:val="single" w:color="auto" w:sz="4" w:space="0"/>
              <w:left w:val="single" w:color="auto" w:sz="4" w:space="0"/>
              <w:bottom w:val="single" w:color="auto" w:sz="4" w:space="0"/>
              <w:right w:val="single" w:color="auto" w:sz="4" w:space="0"/>
            </w:tcBorders>
            <w:shd w:val="clear" w:color="auto" w:fill="FFFFFF"/>
            <w:vAlign w:val="center"/>
          </w:tcPr>
          <w:p w14:paraId="6B03B1F8">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数量</w:t>
            </w:r>
          </w:p>
        </w:tc>
        <w:tc>
          <w:tcPr>
            <w:tcW w:w="543" w:type="pct"/>
            <w:tcBorders>
              <w:top w:val="single" w:color="auto" w:sz="4" w:space="0"/>
              <w:left w:val="single" w:color="auto" w:sz="4" w:space="0"/>
              <w:bottom w:val="single" w:color="auto" w:sz="4" w:space="0"/>
              <w:right w:val="single" w:color="auto" w:sz="4" w:space="0"/>
            </w:tcBorders>
            <w:shd w:val="clear" w:color="auto" w:fill="FFFFFF"/>
            <w:vAlign w:val="center"/>
          </w:tcPr>
          <w:p w14:paraId="48D7AB4B">
            <w:pPr>
              <w:keepNext w:val="0"/>
              <w:keepLines w:val="0"/>
              <w:widowControl/>
              <w:suppressLineNumbers w:val="0"/>
              <w:shd w:val="clear"/>
              <w:jc w:val="center"/>
              <w:textAlignment w:val="center"/>
              <w:rPr>
                <w:rFonts w:hint="default" w:ascii="新宋体" w:hAnsi="新宋体" w:eastAsia="新宋体" w:cs="新宋体"/>
                <w:b/>
                <w:bCs/>
                <w:i w:val="0"/>
                <w:iCs w:val="0"/>
                <w:color w:val="auto"/>
                <w:kern w:val="0"/>
                <w:sz w:val="21"/>
                <w:szCs w:val="21"/>
                <w:highlight w:val="none"/>
                <w:u w:val="none"/>
                <w:lang w:val="en-US" w:eastAsia="zh-CN" w:bidi="ar"/>
              </w:rPr>
            </w:pPr>
            <w:r>
              <w:rPr>
                <w:rFonts w:hint="eastAsia" w:ascii="新宋体" w:hAnsi="新宋体" w:eastAsia="新宋体" w:cs="新宋体"/>
                <w:b/>
                <w:bCs/>
                <w:i w:val="0"/>
                <w:iCs w:val="0"/>
                <w:color w:val="auto"/>
                <w:kern w:val="0"/>
                <w:sz w:val="21"/>
                <w:szCs w:val="21"/>
                <w:highlight w:val="none"/>
                <w:u w:val="none"/>
                <w:lang w:val="en-US" w:eastAsia="zh-CN" w:bidi="ar"/>
              </w:rPr>
              <w:t>所属行业</w:t>
            </w:r>
          </w:p>
        </w:tc>
      </w:tr>
      <w:tr w14:paraId="60CD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5000" w:type="pct"/>
            <w:gridSpan w:val="6"/>
            <w:tcBorders>
              <w:top w:val="single" w:color="auto" w:sz="4" w:space="0"/>
              <w:left w:val="single" w:color="000000" w:sz="4" w:space="0"/>
              <w:bottom w:val="single" w:color="000000" w:sz="4" w:space="0"/>
              <w:right w:val="single" w:color="000000" w:sz="4" w:space="0"/>
            </w:tcBorders>
            <w:shd w:val="clear" w:color="auto" w:fill="FFFFFF"/>
            <w:vAlign w:val="center"/>
          </w:tcPr>
          <w:p w14:paraId="1B7EF817">
            <w:pPr>
              <w:keepNext w:val="0"/>
              <w:keepLines w:val="0"/>
              <w:widowControl/>
              <w:suppressLineNumbers w:val="0"/>
              <w:shd w:val="clear"/>
              <w:jc w:val="center"/>
              <w:textAlignment w:val="center"/>
              <w:rPr>
                <w:rFonts w:hint="eastAsia" w:ascii="新宋体" w:hAnsi="新宋体" w:eastAsia="新宋体" w:cs="新宋体"/>
                <w:b/>
                <w:bCs/>
                <w:i w:val="0"/>
                <w:iCs w:val="0"/>
                <w:color w:val="auto"/>
                <w:kern w:val="0"/>
                <w:sz w:val="21"/>
                <w:szCs w:val="21"/>
                <w:highlight w:val="none"/>
                <w:u w:val="none"/>
                <w:lang w:val="en-US" w:eastAsia="zh-CN" w:bidi="ar"/>
              </w:rPr>
            </w:pPr>
            <w:r>
              <w:rPr>
                <w:rFonts w:hint="eastAsia" w:ascii="新宋体" w:hAnsi="新宋体" w:eastAsia="新宋体" w:cs="新宋体"/>
                <w:b/>
                <w:bCs/>
                <w:i w:val="0"/>
                <w:iCs w:val="0"/>
                <w:color w:val="auto"/>
                <w:kern w:val="0"/>
                <w:sz w:val="21"/>
                <w:szCs w:val="21"/>
                <w:highlight w:val="none"/>
                <w:u w:val="none"/>
                <w:lang w:val="en-US" w:eastAsia="zh-CN" w:bidi="ar"/>
              </w:rPr>
              <w:t>一、人工智能实训室</w:t>
            </w:r>
          </w:p>
        </w:tc>
      </w:tr>
      <w:tr w14:paraId="00C21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0D9BE92">
            <w:pPr>
              <w:keepNext w:val="0"/>
              <w:keepLines w:val="0"/>
              <w:widowControl/>
              <w:suppressLineNumbers w:val="0"/>
              <w:shd w:val="clear"/>
              <w:jc w:val="center"/>
              <w:textAlignment w:val="center"/>
              <w:rPr>
                <w:rFonts w:hint="eastAsia" w:ascii="新宋体" w:hAnsi="新宋体" w:eastAsia="新宋体" w:cs="新宋体"/>
                <w:b/>
                <w:bCs/>
                <w:i w:val="0"/>
                <w:iCs w:val="0"/>
                <w:color w:val="auto"/>
                <w:kern w:val="0"/>
                <w:sz w:val="21"/>
                <w:szCs w:val="21"/>
                <w:highlight w:val="none"/>
                <w:u w:val="none"/>
                <w:lang w:val="en-US" w:eastAsia="zh-CN" w:bidi="ar"/>
              </w:rPr>
            </w:pPr>
            <w:r>
              <w:rPr>
                <w:rFonts w:hint="eastAsia" w:ascii="新宋体" w:hAnsi="新宋体" w:eastAsia="新宋体" w:cs="新宋体"/>
                <w:b/>
                <w:bCs/>
                <w:i w:val="0"/>
                <w:iCs w:val="0"/>
                <w:color w:val="auto"/>
                <w:kern w:val="0"/>
                <w:sz w:val="21"/>
                <w:szCs w:val="21"/>
                <w:highlight w:val="none"/>
                <w:u w:val="none"/>
                <w:lang w:val="en-US" w:eastAsia="zh-CN" w:bidi="ar"/>
              </w:rPr>
              <w:t>（一）服务器管理节点</w:t>
            </w:r>
          </w:p>
        </w:tc>
      </w:tr>
      <w:tr w14:paraId="5C001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6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F9C20">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A057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主控节点服务器</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4C78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≥2U机架式服务器，非OEM；</w:t>
            </w:r>
          </w:p>
          <w:p w14:paraId="0F623ED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配置2颗英特尔至强4314(16核/2.1GHz）处理器；</w:t>
            </w:r>
          </w:p>
          <w:p w14:paraId="75A1AB1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配置≥256GB 3200MHz DDR4内存，支持≥32个内存插槽，支持内存容量不小于12TB；</w:t>
            </w:r>
          </w:p>
          <w:p w14:paraId="41D0F9C1">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支持≥41块硬盘插槽</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，配置≥8个2.5寸硬盘槽位，本次配置4块960GB SSD硬盘；</w:t>
            </w:r>
          </w:p>
          <w:p w14:paraId="28BBD9E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配置≥1个Raid阵列卡，支持RAID0/1/10/5/6/50/60，≥2GB缓存，支持缓存数据保护，配置掉电保护模块；</w:t>
            </w:r>
          </w:p>
          <w:p w14:paraId="04D0D59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支持≥14个PCIe4.0插槽，支持4块双宽GPU卡或14块单宽GPU卡,配置4个千兆电口；</w:t>
            </w:r>
          </w:p>
          <w:p w14:paraId="18AEE65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7</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配置2个≥550W电源，支持1+1冗余，满配风扇，配置机架式导轨；</w:t>
            </w:r>
          </w:p>
          <w:p w14:paraId="5868831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8</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支持3D温度海洋，在3D海洋图上显示服务器的温度传感器信息和温度告警</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p>
          <w:p w14:paraId="46789171">
            <w:pPr>
              <w:keepNext w:val="0"/>
              <w:keepLines w:val="0"/>
              <w:widowControl/>
              <w:suppressLineNumbers w:val="0"/>
              <w:shd w:val="clear"/>
              <w:jc w:val="left"/>
              <w:textAlignment w:val="center"/>
              <w:rPr>
                <w:rFonts w:hint="eastAsia" w:ascii="新宋体" w:hAnsi="新宋体" w:eastAsia="新宋体" w:cs="新宋体"/>
                <w:i w:val="0"/>
                <w:iCs w:val="0"/>
                <w:color w:val="FF0000"/>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9</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支持双因素认证功能，支持对登录管理平台的用户执行静态密码+一次性随机动态密码的双因素认证</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64E94">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F666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146DB">
            <w:pPr>
              <w:keepNext w:val="0"/>
              <w:keepLines w:val="0"/>
              <w:widowControl/>
              <w:suppressLineNumbers w:val="0"/>
              <w:shd w:val="clear"/>
              <w:jc w:val="center"/>
              <w:textAlignment w:val="center"/>
              <w:rPr>
                <w:rFonts w:hint="default"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1C540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38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AD980">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E1F20">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计算节点服务器</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8346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≥2U机架式服务器，非OEM；</w:t>
            </w:r>
          </w:p>
          <w:p w14:paraId="4209B0B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配置2颗英特尔至强4314(16核/2.1GHz）处理器；</w:t>
            </w:r>
          </w:p>
          <w:p w14:paraId="003CC20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配置≥256GB 3200MHz DDR4内存，支持≥32个内存插槽，支持内存容量不小于12TB；</w:t>
            </w:r>
          </w:p>
          <w:p w14:paraId="57A9E99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支持≥41块硬盘插槽，配置≥8个2.5寸硬盘槽位，本次配置4块960GB SSD硬盘；</w:t>
            </w:r>
          </w:p>
          <w:p w14:paraId="0FCD1F8C">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配置≥1个Raid阵列卡，支持RAID0/1/10/5/6/50/60，≥2GB缓存，支持缓存数据保护，配置掉电保护模块；</w:t>
            </w:r>
          </w:p>
          <w:p w14:paraId="5C804A5D">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支持≥14个PCIe4.0插槽，支持4块双宽GPU卡或14块单宽GPU卡,配置4个千兆电口</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p>
          <w:p w14:paraId="5D63C8E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7</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配置2个≥550W电源，支持1+1冗余，满配风扇，配置机架式导轨；</w:t>
            </w:r>
          </w:p>
          <w:p w14:paraId="360DB66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8</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支持3D温度海洋，在3D海洋图上显示服务器的温度传感器信息和温度告警；</w:t>
            </w:r>
          </w:p>
          <w:p w14:paraId="54424175">
            <w:pPr>
              <w:keepNext w:val="0"/>
              <w:keepLines w:val="0"/>
              <w:widowControl/>
              <w:suppressLineNumbers w:val="0"/>
              <w:shd w:val="clear"/>
              <w:jc w:val="left"/>
              <w:textAlignment w:val="center"/>
              <w:rPr>
                <w:rFonts w:hint="eastAsia" w:ascii="新宋体" w:hAnsi="新宋体" w:eastAsia="新宋体" w:cs="新宋体"/>
                <w:i w:val="0"/>
                <w:iCs w:val="0"/>
                <w:color w:val="FF0000"/>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9</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支持安全面板，HDM控制安全面板显示服务器健康状态和主机系统工作负载</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B274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DE87A">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B8D1F">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14A07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954B04B">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（二）人工智能一体化实践教学与管理平台</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FA9D6">
            <w:pPr>
              <w:keepNext w:val="0"/>
              <w:keepLines w:val="0"/>
              <w:widowControl/>
              <w:suppressLineNumbers w:val="0"/>
              <w:shd w:val="clear"/>
              <w:jc w:val="center"/>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0BA56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4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8F3D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3</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9562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实践教学平台管理端</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8CFD2">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可基于管理端进行课程资源管理、课程实训设置，题库管理、资源分发、用户管理，权限管理，安全设置等操作。可支撑教学管理，主要功能</w:t>
            </w:r>
            <w:r>
              <w:rPr>
                <w:rFonts w:hint="eastAsia" w:ascii="新宋体" w:hAnsi="新宋体" w:eastAsia="新宋体" w:cs="新宋体"/>
                <w:i w:val="0"/>
                <w:iCs w:val="0"/>
                <w:color w:val="auto"/>
                <w:sz w:val="21"/>
                <w:szCs w:val="21"/>
                <w:highlight w:val="none"/>
                <w:u w:val="none"/>
                <w:lang w:val="en-US" w:eastAsia="zh-CN"/>
              </w:rPr>
              <w:t>要求</w:t>
            </w:r>
            <w:r>
              <w:rPr>
                <w:rFonts w:hint="eastAsia" w:ascii="新宋体" w:hAnsi="新宋体" w:eastAsia="新宋体" w:cs="新宋体"/>
                <w:i w:val="0"/>
                <w:iCs w:val="0"/>
                <w:color w:val="auto"/>
                <w:sz w:val="21"/>
                <w:szCs w:val="21"/>
                <w:highlight w:val="none"/>
                <w:u w:val="none"/>
              </w:rPr>
              <w:t>如下:</w:t>
            </w:r>
          </w:p>
          <w:p w14:paraId="5D51993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1、统一账户管理：提供统一的账户管理功能，支持用户分类添加、修改、删除</w:t>
            </w:r>
          </w:p>
          <w:p w14:paraId="2282A40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2、课程资源管理：支持查看资源库内容，图形化展示不同类别课程的名称、内容数量和章节数量，支持查看课程详情包括查看视频内容、课件内容等，支持查看相关配套习题</w:t>
            </w:r>
          </w:p>
          <w:p w14:paraId="67D78BAC">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信息管理功能：学校教学管理人员可以对系统中的所有用户进行管理，包括新增、删除、导入用户信息。支持管理学期、院系、专业、年级、班级、学生等信息，管理员可以对学生和教师账号进行信息修改、密码重置等操作；</w:t>
            </w:r>
          </w:p>
          <w:p w14:paraId="7EBFC33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4、管理员可以查看不同学院、专业、年级、班级的学生对于不同课程的学习情况，至少包含班级测评提交人数、及格人数、及格率、平均分等信息；</w:t>
            </w:r>
          </w:p>
          <w:p w14:paraId="438445A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5、专业学习路径：系统提供专业工程师岗位学习路径，院校管理员可以根据目前的专业课程体系给予专业学习路径展现，每个岗位方向添加配置基础课程、专业课课程</w:t>
            </w:r>
          </w:p>
          <w:p w14:paraId="0EB3371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6、支持松散的组织结构教学，管理员可以创建、管理教学组，每个教学组可以选择开设的课程，每个教学组可以由任意院系，专业，班级，年级的学生进行学习，每个教学组可以由多个教师共同完成一门授课；</w:t>
            </w:r>
          </w:p>
          <w:p w14:paraId="7B29FF0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7、支持角色权限管理，角色权限根据实际需要自定义，每个账号可以关联角色，获得角色定义的权限。</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2F61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6AD9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E7B9C">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34E5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8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8453E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4</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5754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实践教学平台教师端</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13E2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lang w:val="en-US" w:eastAsia="zh-CN"/>
              </w:rPr>
              <w:t>可</w:t>
            </w:r>
            <w:r>
              <w:rPr>
                <w:rFonts w:hint="eastAsia" w:ascii="新宋体" w:hAnsi="新宋体" w:eastAsia="新宋体" w:cs="新宋体"/>
                <w:i w:val="0"/>
                <w:iCs w:val="0"/>
                <w:color w:val="auto"/>
                <w:sz w:val="21"/>
                <w:szCs w:val="21"/>
                <w:highlight w:val="none"/>
                <w:u w:val="none"/>
              </w:rPr>
              <w:t>与教学管理平台互通实现账户管理和资源同步，主要实现备课、课程计划编排、考试管理、成绩管理等功能，可支撑学生教学管理，主要功能</w:t>
            </w:r>
            <w:r>
              <w:rPr>
                <w:rFonts w:hint="eastAsia" w:ascii="新宋体" w:hAnsi="新宋体" w:eastAsia="新宋体" w:cs="新宋体"/>
                <w:i w:val="0"/>
                <w:iCs w:val="0"/>
                <w:color w:val="auto"/>
                <w:sz w:val="21"/>
                <w:szCs w:val="21"/>
                <w:highlight w:val="none"/>
                <w:u w:val="none"/>
                <w:lang w:val="en-US" w:eastAsia="zh-CN"/>
              </w:rPr>
              <w:t>要求</w:t>
            </w:r>
            <w:r>
              <w:rPr>
                <w:rFonts w:hint="eastAsia" w:ascii="新宋体" w:hAnsi="新宋体" w:eastAsia="新宋体" w:cs="新宋体"/>
                <w:i w:val="0"/>
                <w:iCs w:val="0"/>
                <w:color w:val="auto"/>
                <w:sz w:val="21"/>
                <w:szCs w:val="21"/>
                <w:highlight w:val="none"/>
                <w:u w:val="none"/>
              </w:rPr>
              <w:t>如下：</w:t>
            </w:r>
          </w:p>
          <w:p w14:paraId="4BBA0831">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1、独立的教学环境：不同教师拥有各自独立的操作界面；</w:t>
            </w:r>
          </w:p>
          <w:p w14:paraId="705A0AB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2、管理员配置的专业学习路径，教师可以清晰查看；</w:t>
            </w:r>
          </w:p>
          <w:p w14:paraId="0854FD4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3、教师备课功能：教师进入课程管理具体的课程内容，教师在同一界面查看实训课程的名称、课时、关联视频，支持章节内容配置</w:t>
            </w:r>
            <w:r>
              <w:rPr>
                <w:rFonts w:hint="eastAsia" w:ascii="新宋体" w:hAnsi="新宋体" w:eastAsia="新宋体" w:cs="新宋体"/>
                <w:i w:val="0"/>
                <w:iCs w:val="0"/>
                <w:color w:val="auto"/>
                <w:sz w:val="21"/>
                <w:szCs w:val="21"/>
                <w:highlight w:val="none"/>
                <w:u w:val="none"/>
                <w:lang w:eastAsia="zh-CN"/>
              </w:rPr>
              <w:t>。</w:t>
            </w:r>
          </w:p>
          <w:p w14:paraId="656FFD3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4、排课功能：</w:t>
            </w:r>
          </w:p>
          <w:p w14:paraId="38CC0ED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老师根据实际情况创建教学计划开课，自定义实现创建课程教学计划，教学计划需能关联教学计划的执行学期、相关学院、专业、年级、班级、教学课程等基础信息，自定义教学计划需能够自定义配置教学过程中的测评题目内容，实训内容在配置教学计划时可查看内容对应课时数并支持内容预览，测评题目需要关联相关测评题数量和分数等信息。</w:t>
            </w:r>
          </w:p>
          <w:p w14:paraId="5C0CBA5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（2）计划增加是否启用功能。启用后学生才可见；关闭学生不可见。</w:t>
            </w:r>
          </w:p>
          <w:p w14:paraId="20DB3AA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 测评备考功能：老师可以发布实训测评计划，学生根据测评计划要求完成考试； 支持客观题的自动评分，以及教师在线评分主观题，并自动统计成绩。</w:t>
            </w:r>
          </w:p>
          <w:p w14:paraId="0094B56D">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6、学情分析功能：支持教师查看班级整体概况、课程活跃度、章节数据。支持统计并展示实训、测评教学过程中的实训报告，学习进度，平均分，任务正确率，及格率，课程资源概况等。</w:t>
            </w:r>
          </w:p>
          <w:p w14:paraId="622B6F2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7、实训教学管理：支持老师查看教学计划学生每次实训和测评的提交结果信息（支持通过课程和章节搜索），学生测评结果系统自动给出参考得分</w:t>
            </w:r>
            <w:r>
              <w:rPr>
                <w:rFonts w:hint="eastAsia" w:ascii="新宋体" w:hAnsi="新宋体" w:eastAsia="新宋体" w:cs="新宋体"/>
                <w:i w:val="0"/>
                <w:iCs w:val="0"/>
                <w:color w:val="auto"/>
                <w:sz w:val="21"/>
                <w:szCs w:val="21"/>
                <w:highlight w:val="none"/>
                <w:u w:val="none"/>
                <w:lang w:eastAsia="zh-CN"/>
              </w:rPr>
              <w:t>。</w:t>
            </w:r>
          </w:p>
          <w:p w14:paraId="42BAE13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8、支持安全视频接入，防止常用软件工具非法盗链和下载教师发布的视频文件</w:t>
            </w:r>
            <w:r>
              <w:rPr>
                <w:rFonts w:hint="eastAsia" w:ascii="新宋体" w:hAnsi="新宋体" w:eastAsia="新宋体" w:cs="新宋体"/>
                <w:i w:val="0"/>
                <w:iCs w:val="0"/>
                <w:color w:val="auto"/>
                <w:sz w:val="21"/>
                <w:szCs w:val="21"/>
                <w:highlight w:val="none"/>
                <w:u w:val="none"/>
                <w:lang w:eastAsia="zh-CN"/>
              </w:rPr>
              <w:t>。</w:t>
            </w:r>
          </w:p>
          <w:p w14:paraId="1CEAF56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9、支持按学期统计并可视化展示实验课程数据、学期考试汇总数据，包含试卷提交率、考试通过率</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3296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757D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56126">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2E95A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8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25BF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5</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3E97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实践教学平台学生端</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10C3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实践教学平台学生端</w:t>
            </w:r>
            <w:r>
              <w:rPr>
                <w:rFonts w:hint="eastAsia" w:ascii="新宋体" w:hAnsi="新宋体" w:eastAsia="新宋体" w:cs="新宋体"/>
                <w:i w:val="0"/>
                <w:iCs w:val="0"/>
                <w:color w:val="auto"/>
                <w:sz w:val="21"/>
                <w:szCs w:val="21"/>
                <w:highlight w:val="none"/>
                <w:u w:val="none"/>
                <w:lang w:val="en-US" w:eastAsia="zh-CN"/>
              </w:rPr>
              <w:t>可</w:t>
            </w:r>
            <w:r>
              <w:rPr>
                <w:rFonts w:hint="eastAsia" w:ascii="新宋体" w:hAnsi="新宋体" w:eastAsia="新宋体" w:cs="新宋体"/>
                <w:i w:val="0"/>
                <w:iCs w:val="0"/>
                <w:color w:val="auto"/>
                <w:sz w:val="21"/>
                <w:szCs w:val="21"/>
                <w:highlight w:val="none"/>
                <w:u w:val="none"/>
              </w:rPr>
              <w:t>通过PC或云桌面浏览器访问学习环境。学生端提供精准的专业课程资源、实训资源、专业学习路径、及测评等功能模块。可支撑学生教学管理，主要功能</w:t>
            </w:r>
            <w:r>
              <w:rPr>
                <w:rFonts w:hint="eastAsia" w:ascii="新宋体" w:hAnsi="新宋体" w:eastAsia="新宋体" w:cs="新宋体"/>
                <w:i w:val="0"/>
                <w:iCs w:val="0"/>
                <w:color w:val="auto"/>
                <w:sz w:val="21"/>
                <w:szCs w:val="21"/>
                <w:highlight w:val="none"/>
                <w:u w:val="none"/>
                <w:lang w:val="en-US" w:eastAsia="zh-CN"/>
              </w:rPr>
              <w:t>要求</w:t>
            </w:r>
            <w:r>
              <w:rPr>
                <w:rFonts w:hint="eastAsia" w:ascii="新宋体" w:hAnsi="新宋体" w:eastAsia="新宋体" w:cs="新宋体"/>
                <w:i w:val="0"/>
                <w:iCs w:val="0"/>
                <w:color w:val="auto"/>
                <w:sz w:val="21"/>
                <w:szCs w:val="21"/>
                <w:highlight w:val="none"/>
                <w:u w:val="none"/>
              </w:rPr>
              <w:t>如下：</w:t>
            </w:r>
          </w:p>
          <w:p w14:paraId="4A0AFD8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1、自主学习功能：支持学生自主学习的相关知识，支持学生查看教师安排的教学计划课程，支持学生查看课程相关章节和课时总数，查看课程章节内容包括章节目录、章节详情、章节视频、章节完成进度等。</w:t>
            </w:r>
          </w:p>
          <w:p w14:paraId="3E20F9B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2、学生可查看岗位学习路径配置的基础课程、核心课程，通过课程进行系统学习</w:t>
            </w:r>
          </w:p>
          <w:p w14:paraId="024748B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测评功能：支持学生进入课程的测评实践，系统支持单选题、多选题、填空题、问答题、程序题和实操题，学生完成测评题目后可保存答案或一键提交结果。支持客观题的自动评分，教师批阅后可查看测评成绩。</w:t>
            </w:r>
          </w:p>
          <w:p w14:paraId="03CEA09D">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4、支持测评批阅后可查看试题及答案解析</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ACC8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852D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4283A">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01855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4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A2E0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6</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38F8D">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实践教学平台院长端</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A18EC">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lang w:val="en-US" w:eastAsia="zh-CN"/>
              </w:rPr>
              <w:t>实践</w:t>
            </w:r>
            <w:r>
              <w:rPr>
                <w:rFonts w:hint="eastAsia" w:ascii="新宋体" w:hAnsi="新宋体" w:eastAsia="新宋体" w:cs="新宋体"/>
                <w:i w:val="0"/>
                <w:iCs w:val="0"/>
                <w:color w:val="auto"/>
                <w:sz w:val="21"/>
                <w:szCs w:val="21"/>
                <w:highlight w:val="none"/>
                <w:u w:val="none"/>
              </w:rPr>
              <w:t>教学平台院长端</w:t>
            </w:r>
            <w:r>
              <w:rPr>
                <w:rFonts w:hint="eastAsia" w:ascii="新宋体" w:hAnsi="新宋体" w:eastAsia="新宋体" w:cs="新宋体"/>
                <w:i w:val="0"/>
                <w:iCs w:val="0"/>
                <w:color w:val="auto"/>
                <w:sz w:val="21"/>
                <w:szCs w:val="21"/>
                <w:highlight w:val="none"/>
                <w:u w:val="none"/>
                <w:lang w:val="en-US" w:eastAsia="zh-CN"/>
              </w:rPr>
              <w:t>可</w:t>
            </w:r>
            <w:r>
              <w:rPr>
                <w:rFonts w:hint="eastAsia" w:ascii="新宋体" w:hAnsi="新宋体" w:eastAsia="新宋体" w:cs="新宋体"/>
                <w:i w:val="0"/>
                <w:iCs w:val="0"/>
                <w:color w:val="auto"/>
                <w:sz w:val="21"/>
                <w:szCs w:val="21"/>
                <w:highlight w:val="none"/>
                <w:u w:val="none"/>
              </w:rPr>
              <w:t>通过平台查看整个平台教师、学生的活跃情况，可以统计并查看每日开课、资源情况、师生活跃度、平台使用和成绩数据等。</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878DD">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81DB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7FCDE">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78E43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6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A195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7</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981DF">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考试系统</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F7D52">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1、教师端</w:t>
            </w:r>
          </w:p>
          <w:p w14:paraId="643DCF1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（1）老师可以发布考试计划，学生根据考试计划要求完成考试；</w:t>
            </w:r>
          </w:p>
          <w:p w14:paraId="41DE46F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（2）支持创建试题库，出卷模式支持手动组卷、自动组卷二种方式，方便教师节省出卷时间。支持客观题的自动评分，以及教师在线评分主观题，并自动统计成绩；</w:t>
            </w:r>
          </w:p>
          <w:p w14:paraId="344B208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（3）可开启和关闭实时考试评分，支持后台评分与发布评分；</w:t>
            </w:r>
          </w:p>
          <w:p w14:paraId="6683856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（4）支持下载上传答题卡答题，答题卡可以教师定义模板；</w:t>
            </w:r>
          </w:p>
          <w:p w14:paraId="2276F25C">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（5）支持附件上传答题；</w:t>
            </w:r>
          </w:p>
          <w:p w14:paraId="6AA6E1D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（6）支持查看学生考试统计和分析，包括个人统计分析，可以细化到每个人得分详情。</w:t>
            </w:r>
          </w:p>
          <w:p w14:paraId="54A071ED">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（7）考试试卷支持防作弊功能，至少包含题目乱序、禁用复制、切屏限制，支持成绩展示方式，包含按分值、按等级，学生根据展示方式查看对应成绩</w:t>
            </w:r>
          </w:p>
          <w:p w14:paraId="443024B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（8）支持考试分析，可以查看考试对象整体考试情况，包含最高分、最低分、考试提交率、及格率、优秀人数等</w:t>
            </w:r>
          </w:p>
          <w:p w14:paraId="330C7B2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（9）支持按学生查看每个学生的做答情况详情。</w:t>
            </w:r>
          </w:p>
          <w:p w14:paraId="184A680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（10）支持根据题目做答情况，智能分析各选项占比，支持以饼图、柱状图进行展示。</w:t>
            </w:r>
          </w:p>
          <w:p w14:paraId="50070CD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（11）支持考试一健评分，包含客观题、实操题，自动给出考试分数，实操题可以查看得分详情。</w:t>
            </w:r>
          </w:p>
          <w:p w14:paraId="640865C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（12）支持是否公布考试成绩，支持导出学生考试成绩</w:t>
            </w:r>
          </w:p>
          <w:p w14:paraId="244AA3A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2、学生端</w:t>
            </w:r>
          </w:p>
          <w:p w14:paraId="1FD6578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（1）学生端可通过教师发布的试卷进行通过我的考试，进入系统进行考试，考试题型包括单项选择、多项选择、填空、操作题等，学生在规定考试时间内完成考试后，可保存答案或一键提交考试结果。</w:t>
            </w:r>
          </w:p>
          <w:p w14:paraId="17554A1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（2）学生可以通过学生端查看试题成绩及答案解析</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2050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9CE43">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870DB">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3C60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8605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8</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A7A2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教学实验平台镜像仓库</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824E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支撑实践教学云平台中各个实训集群的镜像资源，实训</w:t>
            </w:r>
            <w:r>
              <w:rPr>
                <w:rFonts w:hint="eastAsia" w:ascii="新宋体" w:hAnsi="新宋体" w:eastAsia="新宋体" w:cs="新宋体"/>
                <w:i w:val="0"/>
                <w:iCs w:val="0"/>
                <w:color w:val="auto"/>
                <w:sz w:val="21"/>
                <w:szCs w:val="21"/>
                <w:highlight w:val="none"/>
                <w:u w:val="none"/>
                <w:lang w:val="en-US" w:eastAsia="zh-CN"/>
              </w:rPr>
              <w:t>时</w:t>
            </w:r>
            <w:r>
              <w:rPr>
                <w:rFonts w:hint="eastAsia" w:ascii="新宋体" w:hAnsi="新宋体" w:eastAsia="新宋体" w:cs="新宋体"/>
                <w:i w:val="0"/>
                <w:iCs w:val="0"/>
                <w:color w:val="auto"/>
                <w:sz w:val="21"/>
                <w:szCs w:val="21"/>
                <w:highlight w:val="none"/>
                <w:u w:val="none"/>
              </w:rPr>
              <w:t>需要为用户虚拟一套虚拟机集群环境或单机环境，根据实训内容配置实训相应的依赖库、组件包并形成相应镜像文件；功能</w:t>
            </w:r>
            <w:r>
              <w:rPr>
                <w:rFonts w:hint="eastAsia" w:ascii="新宋体" w:hAnsi="新宋体" w:eastAsia="新宋体" w:cs="新宋体"/>
                <w:i w:val="0"/>
                <w:iCs w:val="0"/>
                <w:color w:val="auto"/>
                <w:sz w:val="21"/>
                <w:szCs w:val="21"/>
                <w:highlight w:val="none"/>
                <w:u w:val="none"/>
                <w:lang w:val="en-US" w:eastAsia="zh-CN"/>
              </w:rPr>
              <w:t>要求</w:t>
            </w:r>
            <w:r>
              <w:rPr>
                <w:rFonts w:hint="eastAsia" w:ascii="新宋体" w:hAnsi="新宋体" w:eastAsia="新宋体" w:cs="新宋体"/>
                <w:i w:val="0"/>
                <w:iCs w:val="0"/>
                <w:color w:val="auto"/>
                <w:sz w:val="21"/>
                <w:szCs w:val="21"/>
                <w:highlight w:val="none"/>
                <w:u w:val="none"/>
              </w:rPr>
              <w:t>如下：</w:t>
            </w:r>
          </w:p>
          <w:p w14:paraId="1F8A3BD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1、官方镜像：要求提供镜像资源，包括不少于Hadoop、Hive 、Spark、Python 2.7、Python 3.0等不同的应用组件；</w:t>
            </w:r>
          </w:p>
          <w:p w14:paraId="5D105C9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2、自定义镜像：可以完成教师自定义实训镜像，对镜像仓库里面的实训环境进行修改。</w:t>
            </w:r>
          </w:p>
          <w:p w14:paraId="21E646B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3、信创镜像：提供信创主流镜像资源，包信麒麟、统信镜像</w:t>
            </w:r>
            <w:r>
              <w:rPr>
                <w:rFonts w:hint="eastAsia" w:ascii="新宋体" w:hAnsi="新宋体" w:eastAsia="新宋体" w:cs="新宋体"/>
                <w:i w:val="0"/>
                <w:iCs w:val="0"/>
                <w:color w:val="auto"/>
                <w:sz w:val="21"/>
                <w:szCs w:val="21"/>
                <w:highlight w:val="none"/>
                <w:u w:val="none"/>
                <w:lang w:eastAsia="zh-CN"/>
              </w:rPr>
              <w:t>。</w:t>
            </w:r>
          </w:p>
          <w:p w14:paraId="181C8DA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4、允许用户教师端可以通过工具菜单，上传本地文件到实训虚拟机环境，也可以利用工具菜单，搜索实训虚拟机环境中的文件系统任意目录文件，从实训虚拟机环境中直接下载文件到本地。</w:t>
            </w:r>
          </w:p>
          <w:p w14:paraId="46581A8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实训环境系统支持windows系列虚拟机、Linux虚拟机；且支持教师实训linux虚拟机可以独立用微软远程协助mstsc单独访问。(须提供相应证明材料包括但不限于第三方有权机构出具的带有CMA或CNAS标识的检测报告或官网和功能截图或产品白皮书等)</w:t>
            </w:r>
          </w:p>
          <w:p w14:paraId="657076A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实训虚拟机环境管理：支持一键开启关闭教学与授课计划云虚拟机环境；支持一键开启和关闭考试中心/竞赛云虚拟机环境；支持查看系统硬件当前运行状态和详情；支持定时回收云实训虚拟机，可申请延长，支持云虚拟机绑定网卡名称可以自定义名称。</w:t>
            </w:r>
          </w:p>
          <w:p w14:paraId="77F8763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★7、客户端实训环境支持本地客户端模式访问，支持实训窗口随意放大、缩小和全屏展示，支持实训操作环境的键盘热键快捷操作，系统支持提供操作环境的配置详情。</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1D0D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B432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D8740">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36AB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2451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9</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ED86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在线编程组件</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3DAD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1、平台架构支持非虚拟机模式在线实训环境：</w:t>
            </w:r>
          </w:p>
          <w:p w14:paraId="69A53A82">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（1）支持基于Docker构建构建在线编程实训环境（可构建C、C++、Python、HTML、JAVA、MySQL、PHP在线实训环境等）；</w:t>
            </w:r>
          </w:p>
          <w:p w14:paraId="04720DE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（2）支持在 线运行实验环境，并可在环境中编辑代码运行实验结果，环境 包含图形化终端、字符终端、VScode 、JupyterLab。</w:t>
            </w:r>
          </w:p>
          <w:p w14:paraId="774E88F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（3）系统支持教师配置实验时有实验预热功能，提前为学生准备 好实验环境，方便学生开始实验室能够快速开始实验。</w:t>
            </w:r>
          </w:p>
          <w:p w14:paraId="1D8EB98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2、支持网络设备基础属性的增、删、改操作，并可配置管理IP、端口、账号、密码等扩展信息。</w:t>
            </w:r>
          </w:p>
          <w:p w14:paraId="38C923B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支持对敏感命令进行启用/禁用控制，开启后可自动拦截高危命令的执行，提升操作安全性。(须提供相应证明材料包括但不限于第三方有权机构出具的带有CMA或CNAS标识的检测报告或官网和功能截图或产品白皮书等)</w:t>
            </w:r>
          </w:p>
          <w:p w14:paraId="791C218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4、可扩展支持通过串口服务器对利旧的网络设备进行增、删、改操作。</w:t>
            </w:r>
          </w:p>
          <w:p w14:paraId="23A5B9A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5、支持机架层级管理，单个机架可挂载多台网络设备，便于集中维护。</w:t>
            </w:r>
          </w:p>
          <w:p w14:paraId="540E6C6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6、支持为各类设备单独分配管理权限，可指定专属授课教师负责设备维护工作。</w:t>
            </w:r>
          </w:p>
          <w:p w14:paraId="6CFBF80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7、支持机架差异化访问控制，提供不限制、指定用户、指定分组三种访问模式，满足不同教学场景下的访问管控需求。</w:t>
            </w:r>
          </w:p>
          <w:p w14:paraId="6FEA1A81">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8、支持全局分组机制，可基于班级、教学组创建分组，实现批量权限分配与统一管控。</w:t>
            </w:r>
          </w:p>
          <w:p w14:paraId="4495EDD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9、支持设备独占实训机制，单台设备同一时间仅允许一名用户操控，其余用户仅可只读旁观，保障实训操作互不干扰。</w:t>
            </w:r>
          </w:p>
          <w:p w14:paraId="2E9E944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10、支持教师或管理员强制夺取设备控制权，确保教学管理灵活可控。</w:t>
            </w:r>
          </w:p>
          <w:p w14:paraId="4F207A1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11、支持设备控制者开启免打扰模式，并可自定义时效，期间自动拒绝所有控制申请。</w:t>
            </w:r>
          </w:p>
          <w:p w14:paraId="107B9A3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12、支持设备控制权合法转移，接收用户申请后可完成操作权限的交接。</w:t>
            </w:r>
          </w:p>
          <w:p w14:paraId="7E4F46FC">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13、支持一键清理设备配置命令，快速重置实训配置与操作状态。</w:t>
            </w:r>
          </w:p>
          <w:p w14:paraId="2024AB9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14、支持教师或管理员批量初始化设备，快速恢复实训初始环境。</w:t>
            </w:r>
          </w:p>
          <w:p w14:paraId="667DA3F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15 、支持用户完成设备配置存档后，系统自动触发测评任务，实现实操结果自动评判。</w:t>
            </w:r>
          </w:p>
          <w:p w14:paraId="0BD62AF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★16</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支持教师查看所有学生的设备实操存档记录，并可基于存档数据重新发起测评考核。</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5A76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C6022">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94E9F">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27D4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C21E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10</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2FC0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实验过程智能监控</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DCC7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1、可以分章节实时跟踪每个学生实训任务的完成情况，包含实验任务详情（实训配任务时展示）、测评详情、视频详情。</w:t>
            </w:r>
          </w:p>
          <w:p w14:paraId="3B3D255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2、支持查看学生实训任务汇总视图、任务分解视图，可以查看实训任务的完成情况，包含已完成、进行中、未开始数据统计</w:t>
            </w:r>
            <w:r>
              <w:rPr>
                <w:rFonts w:hint="eastAsia" w:ascii="新宋体" w:hAnsi="新宋体" w:eastAsia="新宋体" w:cs="新宋体"/>
                <w:i w:val="0"/>
                <w:iCs w:val="0"/>
                <w:color w:val="auto"/>
                <w:sz w:val="21"/>
                <w:szCs w:val="21"/>
                <w:highlight w:val="none"/>
                <w:u w:val="none"/>
                <w:lang w:eastAsia="zh-CN"/>
              </w:rPr>
              <w:t>。</w:t>
            </w:r>
          </w:p>
          <w:p w14:paraId="217291A1">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3、教师可以远程控制学生的实训环境，指导学生解决实训过程中遇到的问题</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C8A6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8746CD">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27DD7">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526FF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7208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11</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8E60F">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任务助手</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5E1B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1、支持实训过程中自动评分，学生完成某项操作或任务后，系统自动测评，标识实验任务为完成状态，并给出参考得分</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（实训的课程内容需支持任务）</w:t>
            </w:r>
          </w:p>
          <w:p w14:paraId="32EC414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2、支持可拓展的自动测评机制，实训任务可以定义规则、任务帮助及分值</w:t>
            </w:r>
            <w:r>
              <w:rPr>
                <w:rFonts w:hint="eastAsia" w:ascii="新宋体" w:hAnsi="新宋体" w:eastAsia="新宋体" w:cs="新宋体"/>
                <w:i w:val="0"/>
                <w:iCs w:val="0"/>
                <w:color w:val="auto"/>
                <w:sz w:val="21"/>
                <w:szCs w:val="21"/>
                <w:highlight w:val="none"/>
                <w:u w:val="none"/>
                <w:lang w:eastAsia="zh-CN"/>
              </w:rPr>
              <w:t>。</w:t>
            </w:r>
          </w:p>
          <w:p w14:paraId="6CD9FBE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3、配置的任务项支持自动检测及手动检测功能，学生完成任务后可随时验证任务完成状态</w:t>
            </w:r>
            <w:r>
              <w:rPr>
                <w:rFonts w:hint="eastAsia" w:ascii="新宋体" w:hAnsi="新宋体" w:eastAsia="新宋体" w:cs="新宋体"/>
                <w:i w:val="0"/>
                <w:iCs w:val="0"/>
                <w:color w:val="auto"/>
                <w:sz w:val="21"/>
                <w:szCs w:val="21"/>
                <w:highlight w:val="none"/>
                <w:u w:val="none"/>
                <w:lang w:eastAsia="zh-CN"/>
              </w:rPr>
              <w:t>。</w:t>
            </w:r>
          </w:p>
          <w:p w14:paraId="1E915C8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4、任务助手可应用于考试、测评、支持考试、测评中的实操题自动评分</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64D6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3446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99237">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23C1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0163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12</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3B06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问卷调查组件</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8B30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1、提供互动性的在线投票、问卷功能，投票问卷支持单选、多选、填定、多行填空、文本题等题型。</w:t>
            </w:r>
          </w:p>
          <w:p w14:paraId="5211ACC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2、支持通过文本识别、题库方式新增问券问题，题库可通过问券题库进行自定义。</w:t>
            </w:r>
          </w:p>
          <w:p w14:paraId="754709E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3、支持通过班级或教学组发布问卷，发布问卷时可配置问卷问题跳转逻辑</w:t>
            </w:r>
            <w:r>
              <w:rPr>
                <w:rFonts w:hint="eastAsia" w:ascii="新宋体" w:hAnsi="新宋体" w:eastAsia="新宋体" w:cs="新宋体"/>
                <w:i w:val="0"/>
                <w:iCs w:val="0"/>
                <w:color w:val="auto"/>
                <w:sz w:val="21"/>
                <w:szCs w:val="21"/>
                <w:highlight w:val="none"/>
                <w:u w:val="none"/>
                <w:lang w:eastAsia="zh-CN"/>
              </w:rPr>
              <w:t>。</w:t>
            </w:r>
          </w:p>
          <w:p w14:paraId="76E1AC8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4、问卷统计支持多种样式的统计数据显示，包含饼图、柱状图、环形图</w:t>
            </w:r>
            <w:r>
              <w:rPr>
                <w:rFonts w:hint="eastAsia" w:ascii="新宋体" w:hAnsi="新宋体" w:eastAsia="新宋体" w:cs="新宋体"/>
                <w:i w:val="0"/>
                <w:iCs w:val="0"/>
                <w:color w:val="auto"/>
                <w:sz w:val="21"/>
                <w:szCs w:val="21"/>
                <w:highlight w:val="none"/>
                <w:u w:val="none"/>
                <w:lang w:eastAsia="zh-CN"/>
              </w:rPr>
              <w:t>。</w:t>
            </w:r>
          </w:p>
          <w:p w14:paraId="38ACB77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5、可根据IP限制投票次数、一个ID每天投票上限方式，可有效防止重复投票、刷票行为</w:t>
            </w:r>
            <w:r>
              <w:rPr>
                <w:rFonts w:hint="eastAsia" w:ascii="新宋体" w:hAnsi="新宋体" w:eastAsia="新宋体" w:cs="新宋体"/>
                <w:i w:val="0"/>
                <w:iCs w:val="0"/>
                <w:color w:val="auto"/>
                <w:sz w:val="21"/>
                <w:szCs w:val="21"/>
                <w:highlight w:val="none"/>
                <w:u w:val="none"/>
                <w:lang w:eastAsia="zh-CN"/>
              </w:rPr>
              <w: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2E062">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9F503">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98854">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68A06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FD05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13</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B9EF04">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大数据学情看板</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7256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提供学校学习平台</w:t>
            </w:r>
            <w:r>
              <w:rPr>
                <w:rFonts w:hint="eastAsia" w:ascii="新宋体" w:hAnsi="新宋体" w:eastAsia="新宋体" w:cs="新宋体"/>
                <w:i w:val="0"/>
                <w:iCs w:val="0"/>
                <w:color w:val="auto"/>
                <w:sz w:val="21"/>
                <w:szCs w:val="21"/>
                <w:highlight w:val="none"/>
                <w:u w:val="none"/>
                <w:lang w:val="en-US" w:eastAsia="zh-CN"/>
              </w:rPr>
              <w:t>按照</w:t>
            </w:r>
            <w:r>
              <w:rPr>
                <w:rFonts w:hint="eastAsia" w:ascii="新宋体" w:hAnsi="新宋体" w:eastAsia="新宋体" w:cs="新宋体"/>
                <w:i w:val="0"/>
                <w:iCs w:val="0"/>
                <w:color w:val="auto"/>
                <w:sz w:val="21"/>
                <w:szCs w:val="21"/>
                <w:highlight w:val="none"/>
                <w:u w:val="none"/>
              </w:rPr>
              <w:t>实时、七天、学期的</w:t>
            </w:r>
            <w:r>
              <w:rPr>
                <w:rFonts w:hint="eastAsia" w:ascii="新宋体" w:hAnsi="新宋体" w:eastAsia="新宋体" w:cs="新宋体"/>
                <w:i w:val="0"/>
                <w:iCs w:val="0"/>
                <w:color w:val="auto"/>
                <w:sz w:val="21"/>
                <w:szCs w:val="21"/>
                <w:highlight w:val="none"/>
                <w:u w:val="none"/>
                <w:lang w:val="en-US" w:eastAsia="zh-CN"/>
              </w:rPr>
              <w:t>不同时间段</w:t>
            </w:r>
            <w:r>
              <w:rPr>
                <w:rFonts w:hint="eastAsia" w:ascii="新宋体" w:hAnsi="新宋体" w:eastAsia="新宋体" w:cs="新宋体"/>
                <w:i w:val="0"/>
                <w:iCs w:val="0"/>
                <w:color w:val="auto"/>
                <w:sz w:val="21"/>
                <w:szCs w:val="21"/>
                <w:highlight w:val="none"/>
                <w:u w:val="none"/>
              </w:rPr>
              <w:t>使用情况数据统计展示：</w:t>
            </w:r>
          </w:p>
          <w:p w14:paraId="5F1E87C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1、展示教师活跃数、学生活跃数、课程活跃数、班级活跃数，支持按时间维度筛选查看</w:t>
            </w:r>
          </w:p>
          <w:p w14:paraId="123F159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2、依据平台活跃次数，自动生成并展示教师活跃榜、学生活跃榜、课程活跃榜</w:t>
            </w:r>
          </w:p>
          <w:p w14:paraId="24D3694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3、提供教师、学生整体活跃趋势图表，直观呈现活跃度变化规律</w:t>
            </w:r>
          </w:p>
          <w:p w14:paraId="6040DCCD">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4、学习情况</w:t>
            </w:r>
          </w:p>
          <w:p w14:paraId="04062A3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（1）活跃课程数（个）</w:t>
            </w:r>
          </w:p>
          <w:p w14:paraId="0662306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（2）访问时长（个）</w:t>
            </w:r>
          </w:p>
          <w:p w14:paraId="4D5A5CF1">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（3）访问量（次）</w:t>
            </w:r>
          </w:p>
          <w:p w14:paraId="0D48E21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5、课堂签到</w:t>
            </w:r>
          </w:p>
          <w:p w14:paraId="132C73C1">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（1）提供课程签到率排行展示</w:t>
            </w:r>
          </w:p>
          <w:p w14:paraId="1A1C1DBC">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（2）提供近七日班级签到率排行展示</w:t>
            </w:r>
          </w:p>
          <w:p w14:paraId="79CA5171">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6、可按学院、班级查看活跃趋势与对应数据视图</w:t>
            </w:r>
          </w:p>
          <w:p w14:paraId="1FF49EA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7、教学统计</w:t>
            </w:r>
          </w:p>
          <w:p w14:paraId="48FC5FB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（1）教学计划数量统计</w:t>
            </w:r>
          </w:p>
          <w:p w14:paraId="5426F1C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（2）实验报告、测评、考试的已提交数量与已批阅数量统计</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51AB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8853A">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2F42E">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3805F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866E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14</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33E13">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岗位认证中心</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5DC6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1、提供新IT人才岗位看板，展示当下人才的社会招聘岗位需求、薪资待遇和发展职业规划方向，以及要掌握的课程知识图谱架构。</w:t>
            </w:r>
          </w:p>
          <w:p w14:paraId="2F6DCA72">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2、提供人才岗位认证中心</w:t>
            </w:r>
          </w:p>
          <w:p w14:paraId="4E5CBC87">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（1）提供人才岗位测评样板考试资源包；</w:t>
            </w:r>
          </w:p>
          <w:p w14:paraId="1AD889C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（2）老师可以发布岗位考纲和考试计划，学生根据考试计划要求完成考试；</w:t>
            </w:r>
          </w:p>
          <w:p w14:paraId="25246C35">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（3）支持理论题库考试和上机题库考试；</w:t>
            </w:r>
          </w:p>
          <w:p w14:paraId="67B75A5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（4）支持校本岗位证书生成，老师可以针对学生的岗位测评成绩，生成校本电子岗位证书。</w:t>
            </w:r>
          </w:p>
          <w:p w14:paraId="31C33BC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（5）支持看板展示、查询、下载岗位认证中心学生的成绩和证书。</w:t>
            </w:r>
          </w:p>
          <w:p w14:paraId="2B5B30E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3、岗位能力画像</w:t>
            </w:r>
          </w:p>
          <w:p w14:paraId="418542C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（1）学生勤奋的画像：系统根据工程师岗位学习路径，分析出学生各个岗位的勤奋度画像，给予排名，还有勤奋度说明。</w:t>
            </w:r>
          </w:p>
          <w:p w14:paraId="03A34852">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（2）学生天赋画像：系统根据工程师岗位学习路径，分析出学生各个岗位的天赋能力画像，给予排名，还有天赋能力说明。</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B3D7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CC21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297AD">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53766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44CDB9">
            <w:pPr>
              <w:keepNext w:val="0"/>
              <w:keepLines w:val="0"/>
              <w:widowControl/>
              <w:suppressLineNumbers w:val="0"/>
              <w:shd w:val="clear"/>
              <w:jc w:val="left"/>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（三）人工智能课程资源</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7A8EA">
            <w:pPr>
              <w:keepNext w:val="0"/>
              <w:keepLines w:val="0"/>
              <w:widowControl/>
              <w:suppressLineNumbers w:val="0"/>
              <w:shd w:val="clear"/>
              <w:jc w:val="left"/>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39F63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0961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15</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DB0C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Python程序设计</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E3CDD">
            <w:pPr>
              <w:keepNext w:val="0"/>
              <w:keepLines w:val="0"/>
              <w:widowControl/>
              <w:suppressLineNumbers w:val="0"/>
              <w:shd w:val="clear"/>
              <w:jc w:val="left"/>
              <w:textAlignment w:val="center"/>
              <w:rPr>
                <w:rFonts w:hint="default"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1、需为一体化实践教学与管理平台原生承载、内置集成并可在平台内直接调用和统一管理的配套资源，非独立电子课程资源包。</w:t>
            </w:r>
          </w:p>
          <w:p w14:paraId="7DDB37D2">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2、提供不少于64课时、不少于54个视频、不少于20个PPT，视频总时长不少于700分钟。</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3、包括但不限于以下内容：</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（1）语言基础模块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任务1：华氏温度转摄氏温度</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任务2：输入圆的半径计算计算周长和面积</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（2）运算符和优先级模块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任务1：输入年份判断是不是闰年</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任务2：个人所得税计算器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（3）列表和元组模块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任务1：列表排序</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（4）字典模块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任务1：安全系统登陆 - 任务文档</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（5）程序的控制结构模块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任务1：求最大公约数和最小公倍数</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任务2：打印三角形图案</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（6）函数模块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任务1：存款计算器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（7）类和对象模块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任务1：工资结算系统</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任务2：数字时钟</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（8）熟练操作字符串模块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任务1：次数最多的字符变成大写</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任务2：跑马灯文字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（9）异常模块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任务1：正常数与异常数</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任务2：读写JSON文件</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（10）日期和时间模块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任务1：食堂用餐登记</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（11）正则表达式模块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任务1：验证用户名和QQ号</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 xml:space="preserve">任务2：文字中提取手机号 </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 xml:space="preserve">任务3：替换字符串中的不良内容 </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（12）装饰器、生成器、迭代器模块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任务1：日志记录</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（13）文件系统模块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任务1：读取文本文件</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任务2：食堂点餐</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（14）线程和进程模块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任务一：多线程查看主机是否存活</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（15）电影网站模块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页面框架制作（HTTP编程）</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数据库（MySQL数据库）</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豆瓣数据获取（网络爬虫）</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Ajax渲染页面（异步网络）</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登录/注册状态控制（Session会话）</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在线聊天室（Websocket）</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CC6D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1064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718E8">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0DF56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CBB9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16</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CD75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数据采集和处理</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B6A75">
            <w:pPr>
              <w:keepNext w:val="0"/>
              <w:keepLines w:val="0"/>
              <w:widowControl/>
              <w:suppressLineNumbers w:val="0"/>
              <w:shd w:val="clear"/>
              <w:jc w:val="left"/>
              <w:textAlignment w:val="center"/>
              <w:rPr>
                <w:rFonts w:hint="default"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1、须为一体化实践教学与管理平台原生承载、内置集成并可在平台内直接调用和统一管理的配套资源，非独立电子课程资源包。</w:t>
            </w:r>
          </w:p>
          <w:p w14:paraId="63FDE917">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2、提供不少于8份PPT课件、不少于16个课程视频、不少于16份课程文档，课程总时长不少于60分钟。</w:t>
            </w:r>
          </w:p>
          <w:p w14:paraId="0E5528F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3、包括但不限于以下内容：</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（1）业务数据采集模块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任务1：文本数据采集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任务2：图片数据采集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任务3：视频数据采集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任务4：语音数据采集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任务5：日志数据采集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任务6：数据库数据采集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（2）业务处理模块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任务1：业务数据整理和归类</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任务2：业务数据汇总</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399FA">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BB04D">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0F7AC">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3C17E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D4E4A">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17</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A8C0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数据标注</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48944">
            <w:pPr>
              <w:keepNext w:val="0"/>
              <w:keepLines w:val="0"/>
              <w:widowControl/>
              <w:suppressLineNumbers w:val="0"/>
              <w:shd w:val="clear"/>
              <w:jc w:val="left"/>
              <w:textAlignment w:val="center"/>
              <w:rPr>
                <w:rFonts w:hint="default"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1、须为一体化实践教学与管理平台原生承载、内置集成并可在平台内直接调用和统一管理的配套资源，非独立电子课程资源包。</w:t>
            </w:r>
          </w:p>
          <w:p w14:paraId="34D9BAA8">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2、提供不少于13份PPT课件、不少于24个课程视频、不少于26份课程文档，视频总时长不少于120分钟。</w:t>
            </w:r>
          </w:p>
          <w:p w14:paraId="4A6E50B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3、包括但不限于以下内容：</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（1）数据清洗模块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任务1：文本数据清洗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任务2：图像数据清洗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（2）数据标注模块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任务1：文本数据标注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任务2：图像数据标注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任务3：语音数据标注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任务4：视频数据标注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（3）数据分类与统计模块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任务1：使用Excel进行分类统计</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任务2：使用SPSS进行频数统计分析</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（4）数据归类和定义模块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任务1：聚类分析应用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任务2：相关分析应用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任务3：关联分析应用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任务4：回归分析应用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（5）标注数据审核模块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任务1：数据质量检验</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3EBA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DD51A">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E86FE1">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69B85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15F5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18</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7BBA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计算机视觉</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D4E19">
            <w:pPr>
              <w:keepNext w:val="0"/>
              <w:keepLines w:val="0"/>
              <w:widowControl/>
              <w:suppressLineNumbers w:val="0"/>
              <w:shd w:val="clear"/>
              <w:jc w:val="left"/>
              <w:textAlignment w:val="center"/>
              <w:rPr>
                <w:rFonts w:hint="default"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1、须为一体化实践教学与管理平台原生承载、内置集成并可在平台内直接调用和统一管理的配套资源，非独立电子课程资源包。</w:t>
            </w:r>
          </w:p>
          <w:p w14:paraId="2FC1181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2、提供不少于8个章节，不少于48课时，实验指导手册不少于48个，视频个数不少于10个。视频总时长不少于120分钟。</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3、包括但不限于以下内容：</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（1）Numpy和Matplotlib基础</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Numpy的多维数组对象、利用数组进行数据处理、Matplotlib的应用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（2）openCV基础</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在Linux上安装OpenCV、图像读与写文件、视频读与写文件、使用OpenCV画图</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（3）OpenCV核心操作</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访问图像数据、图像基本操作、图像上的数学运算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（4）图像处理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改变颜色空间、图像的几何变换、图像阈值化、图像平滑处理、图像形态变换、图像直方图、边缘检测、图像金字塔、模板匹配、直线检测、圆形检测、傅里叶变换、前景抽取、图像降噪、图像修补</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（5）特征检测与描述</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特征概念、Harris算法及应用、Shi-Tomasi算法及应用、FAST算法及应用、SIFT算法及应用、SURF算法及应用、BRIEF算法及应用、ORB算法及应用、HOG算法及应用、特征匹配</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（6）视频分析</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目标跟踪、光流方法、背景消除</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（7）机器学习</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KNN算法及应用、SVM算法及应用、K-means算法及应用、人工神经网络、PyTorch框架、卷积神经网络和手写数字识别、数据增强和CIFAR-10图像分类</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（8）目标检测与识别</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人脸检测、汽车检测</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1B05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8CC3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3938C">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59159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8D009E4">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（四）人工智能案例资源</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A633B">
            <w:pPr>
              <w:keepNext w:val="0"/>
              <w:keepLines w:val="0"/>
              <w:widowControl/>
              <w:suppressLineNumbers w:val="0"/>
              <w:shd w:val="clear"/>
              <w:jc w:val="center"/>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710D9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B869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19</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C5170">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宋体" w:hAnsi="宋体" w:eastAsia="宋体" w:cs="宋体"/>
                <w:color w:val="auto"/>
                <w:kern w:val="2"/>
                <w:sz w:val="21"/>
                <w:szCs w:val="21"/>
                <w:highlight w:val="none"/>
                <w:lang w:val="en-US" w:bidi="ar-SA"/>
              </w:rPr>
              <w:t>机器人开发中的视觉感知实训课程</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59D7C">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1、课程整体要求</w:t>
            </w:r>
          </w:p>
          <w:p w14:paraId="696CFAC2">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（1）课程需以机器人视觉智能感知与自主导航系统纯软件项目为核心载体，采用理论结合实践的教学模式。</w:t>
            </w:r>
          </w:p>
          <w:p w14:paraId="60A18F82">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（2）课程教学内容需涵盖计算机视觉基础、机器人感知与环境理解、目标检测与跟踪技术、深度学习技术、机器人导航与路径规划等核心知识点。</w:t>
            </w:r>
          </w:p>
          <w:p w14:paraId="2FFDE9CB">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2、课程核心教学内容及能力要求</w:t>
            </w:r>
          </w:p>
          <w:p w14:paraId="5D8BBDA9">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（1）需具有相机图像采集、图像矩阵、色彩空间、ROI区域处理、视频流处理等计算机视觉底层基础知识；</w:t>
            </w:r>
          </w:p>
          <w:p w14:paraId="56BD57AD">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（2）需依托传统视觉算法，实现棋盘格标定、镜头畸变校正、HSV颜色分割、轮廓提取、霍夫变换、ArUco标签及QR码识别等目标检测实操教学；</w:t>
            </w:r>
          </w:p>
          <w:p w14:paraId="1717EC60">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（3）需能完成深度学习目标检测算法原理讲解、模型落地应用以及目标跟踪技术教学；</w:t>
            </w:r>
          </w:p>
          <w:p w14:paraId="46AAFF6D">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（4）需依托专业仿真软件，完成机器人视觉导航模拟实训教学。</w:t>
            </w:r>
          </w:p>
          <w:p w14:paraId="7B2A1FC4">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3、课程模块化设置要求</w:t>
            </w:r>
          </w:p>
          <w:p w14:paraId="2CDEFB32">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课程需至少具有机器人视觉与图像处理入门、相机标定与ArUco标签识别、深度学习目标检测与跟踪技术、机器人仿真模拟等教学模块。</w:t>
            </w:r>
          </w:p>
          <w:p w14:paraId="7F085847">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240" w:lineRule="auto"/>
              <w:jc w:val="left"/>
              <w:outlineLvl w:val="1"/>
              <w:rPr>
                <w:rFonts w:hint="eastAsia" w:ascii="新宋体" w:hAnsi="新宋体" w:eastAsia="新宋体" w:cs="新宋体"/>
                <w:b w:val="0"/>
                <w:i w:val="0"/>
                <w:iCs w:val="0"/>
                <w:color w:val="auto"/>
                <w:kern w:val="0"/>
                <w:sz w:val="21"/>
                <w:szCs w:val="21"/>
                <w:highlight w:val="none"/>
                <w:u w:val="none"/>
                <w:lang w:val="en-US" w:eastAsia="zh-CN" w:bidi="ar"/>
              </w:rPr>
            </w:pPr>
            <w:r>
              <w:rPr>
                <w:rFonts w:hint="eastAsia" w:ascii="新宋体" w:hAnsi="新宋体" w:eastAsia="新宋体" w:cs="新宋体"/>
                <w:b w:val="0"/>
                <w:i w:val="0"/>
                <w:iCs w:val="0"/>
                <w:color w:val="auto"/>
                <w:kern w:val="0"/>
                <w:sz w:val="21"/>
                <w:szCs w:val="21"/>
                <w:highlight w:val="none"/>
                <w:u w:val="none"/>
                <w:lang w:val="en-US" w:eastAsia="zh-CN" w:bidi="ar"/>
              </w:rPr>
              <w:t>4、实训视频资源配置要求</w:t>
            </w:r>
          </w:p>
          <w:p w14:paraId="416C7F75">
            <w:pPr>
              <w:keepNext w:val="0"/>
              <w:keepLines w:val="0"/>
              <w:pageBreakBefore w:val="0"/>
              <w:widowControl/>
              <w:suppressLineNumbers w:val="0"/>
              <w:kinsoku/>
              <w:wordWrap/>
              <w:overflowPunct/>
              <w:topLinePunct w:val="0"/>
              <w:autoSpaceDE/>
              <w:autoSpaceDN/>
              <w:bidi w:val="0"/>
              <w:adjustRightInd/>
              <w:snapToGrid/>
              <w:spacing w:line="240" w:lineRule="auto"/>
              <w:jc w:val="left"/>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b w:val="0"/>
                <w:i w:val="0"/>
                <w:iCs w:val="0"/>
                <w:color w:val="auto"/>
                <w:kern w:val="0"/>
                <w:sz w:val="21"/>
                <w:szCs w:val="21"/>
                <w:highlight w:val="none"/>
                <w:u w:val="none"/>
                <w:lang w:val="en-US" w:eastAsia="zh-CN" w:bidi="ar"/>
              </w:rPr>
              <w:t>需配套专属实训教学视频资源，配套实训视频数量不少于6个，所有视频累计总时长不低于120分钟，视频内容匹配各模块实训内容，可支撑课程实操教学使用。</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72680">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5DBD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80B29A">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34651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19954">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20</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D695F">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自动驾驶中的视觉感知实训课程</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18E7D">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1、课程需围绕智能驾驶感知链路开展教学，依托编程语言Python与计算机视觉库OpenCV工具链，组织从环境搭建到系统集成的全流程实训实践。</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2、具有自动驾驶与视觉感知入门实训单元，支持开发环境部署教学，完成开发环境搭建与系统检查；开展计算机视觉底层基础教学，涵盖：图像矩阵、色彩空间、视频流处理等内容。</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3、具有车道线检测基础实训单元，支持基于传统视觉算法的车道线检测教学，包含：Sobel 梯度特征、HLS 色彩空间、透视变换与滑动窗口算法；支持计算车道曲率与车辆偏移量（偏离车道中心距离）等几何量化指标。</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4、具有交通标志或车辆检测实训单元，支持深度学习目标检测教学：借助OpenCV-DNN视觉库的深度学习推理模块部署单阶段YOLO目标检测模型，实现道路车辆、行人识别；须支持非极大值抑制 NMS 算法，过滤冗余检测框。</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5、具有视觉驾驶助手实训单元，支持多算法集成实训：将车道线检测与目标检测算法集成，实现 LDW 车道偏离预警、FCW 前向碰撞预警；支持基于Flask搭建 Web 可视化中控台，完成视频流推流与远程控制。</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6、实训须兼顾传统视觉与深度学习两条技术路线，重视性能调优与故障排查教学。</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7、需配套实训教学视频资源：视频总时长不少于 200 分钟；视频个数不少于 6 个。</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8、配套课程资源需至少包含以下4 个模块：</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（1）自动驾驶与视觉感知入门；</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（2）车道线检测基础；</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（3）交通标志或车辆检测；</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（4）视觉驾驶助手。</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FF67A">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346C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748EF">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1947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76DB72C">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（五）人工智能硬件实训套件</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8EEB6">
            <w:pPr>
              <w:keepNext w:val="0"/>
              <w:keepLines w:val="0"/>
              <w:widowControl/>
              <w:suppressLineNumbers w:val="0"/>
              <w:shd w:val="clear"/>
              <w:jc w:val="center"/>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5108D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F2E7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21</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8777E">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边缘智能小车</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4B025">
            <w:pPr>
              <w:keepNext w:val="0"/>
              <w:keepLines w:val="0"/>
              <w:pageBreakBefore w:val="0"/>
              <w:widowControl/>
              <w:suppressLineNumbers w:val="0"/>
              <w:shd w:val="clear"/>
              <w:kinsoku/>
              <w:wordWrap/>
              <w:overflowPunct/>
              <w:topLinePunct w:val="0"/>
              <w:autoSpaceDE/>
              <w:autoSpaceDN/>
              <w:bidi w:val="0"/>
              <w:adjustRightInd/>
              <w:snapToGrid/>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一、硬件参数要求：</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1、本机尺寸：≥长200mm*宽170mm*高140mm</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2、供电方式：≥2000mAh锂电池</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3、续航时间：≥60min</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4、机身材质：轻硬铝合金材料</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5、控制方式：PC端软件控制、手机APP控制、手柄控制</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6、控制系统：控制板+开源控制器</w:t>
            </w:r>
            <w:r>
              <w:rPr>
                <w:rFonts w:hint="eastAsia" w:ascii="新宋体" w:hAnsi="新宋体" w:eastAsia="新宋体" w:cs="新宋体"/>
                <w:i w:val="0"/>
                <w:iCs w:val="0"/>
                <w:color w:val="FF0000"/>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6.1.控制板参数要求：</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(1)CPU：64位，≥2.4GHz，≥四核</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(2)GPU：≥800 MHz</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(3)内存频率：≥4G，LPDDR4</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(4)USB接口：同时具备≥2个USB2.0和≥2个USB3.0（支持5Gbps同步运行）</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(5)蓝牙：≥5.0</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(6)Wi-Fi网络：支持802.11n 无线，2.4GHz/5GHz 双频Wi-Fi</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6.2.开源控制器参数要求：</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(1)电机驱动芯片：具有过流保护</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(2)IMU姿态传感器：3轴加速度/3轴陀螺仪</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(3)拓展接口：具备≥4路编码电机接口、≥4路PWM舵机接口、≥2路总线舵机接口、≥1路IIC接口</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(4)输入：≥2个可编程按键、≥2个复位按键</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(5)输出：内置蜂鸣器、≥2个RGB灯可作为信号指示</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(6)开关：板载独立开关电源</w:t>
            </w:r>
          </w:p>
          <w:p w14:paraId="75CEA22A">
            <w:pPr>
              <w:keepNext w:val="0"/>
              <w:keepLines w:val="0"/>
              <w:pageBreakBefore w:val="0"/>
              <w:widowControl/>
              <w:suppressLineNumbers w:val="0"/>
              <w:shd w:val="clear"/>
              <w:kinsoku/>
              <w:wordWrap/>
              <w:overflowPunct/>
              <w:topLinePunct w:val="0"/>
              <w:autoSpaceDE/>
              <w:autoSpaceDN/>
              <w:bidi w:val="0"/>
              <w:adjustRightInd/>
              <w:snapToGrid/>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7、金属齿轮减速电机参数要求：</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(1)电机额定电压：≥7V</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(2)齿轮组减速比：1:20</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(3)堵转扭矩：≥1.0kg.cm</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(4)额定扭矩：≥0.4kg.cm</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(5)额定功率：≥4.8W</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(6)编码器供电电压：3.3V~5V</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8、深度相机参数要求：</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（1）工作范围：0.2m~4m</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（2）深度图分辨率：≥640x480</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（3）传输接口：Type C USB 2.0</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9、激光雷达参数：</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（1）扫描角度：360°</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（2）扫描频率：≥10Hz</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二、功能参数：</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1、可通过开发框架实现指尖轨迹识别、骨架识别、手部跟随、人脸检测识别等功能。</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2、可实现高精度的建图导航、路径规划顶点导航、动态避障；可模拟实现自动驾驶核心业务场景。</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3、提供自动驾驶、深度学习等内容的学习和二次开发功能，并配套了完备的课程与实训案例。</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D6DB7">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32C84">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3</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627FA">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5F00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38BB9E7">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二、网络</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6622A">
            <w:pPr>
              <w:keepNext w:val="0"/>
              <w:keepLines w:val="0"/>
              <w:widowControl/>
              <w:suppressLineNumbers w:val="0"/>
              <w:shd w:val="clear"/>
              <w:jc w:val="center"/>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375B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EC62D">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22</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8EEF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交换机</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E4F59">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1. 性能：整机交换容量 ≥6.7Tbps；转发性能 ≥333Mpps；</w:t>
            </w:r>
          </w:p>
          <w:p w14:paraId="1D93AD42">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2. 端口：≥48个千兆电，≥4个千兆SFP ；</w:t>
            </w:r>
          </w:p>
          <w:p w14:paraId="52BAC2DC">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3. MAC地址表≥16K，IPv4路由表容量≥512，ARP≥1K；</w:t>
            </w:r>
          </w:p>
          <w:p w14:paraId="210BD195">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4.支持IPv4/IPv6静态路由、支持RIP/RIPng，OSPFV2/V3；</w:t>
            </w:r>
          </w:p>
          <w:p w14:paraId="0A2C5969">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5.交换机支持最大堆叠台数≥9；</w:t>
            </w:r>
          </w:p>
          <w:p w14:paraId="063DCFF3">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6.支持G.8032以太网环保护协议ERPS，切换时间≤50ms，可兼容其他支持该协议的产品；支持RRPP；</w:t>
            </w:r>
          </w:p>
          <w:p w14:paraId="6CFA2F93">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7.实现CPU保护功能，能限制非法报文对CPU的攻击，保护交换机在各种环境下稳定工作；</w:t>
            </w:r>
          </w:p>
          <w:p w14:paraId="2656A831">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8.支持≥10KV业务端口防雷能力；</w:t>
            </w:r>
          </w:p>
          <w:p w14:paraId="5DD67CCC">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9.实配图形化管理中心的被管理设备，实现对网络的统一运维及管理，实现轻松维护。</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AE130">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E92B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3439C">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6997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B7AF47A">
            <w:pPr>
              <w:keepNext w:val="0"/>
              <w:keepLines w:val="0"/>
              <w:widowControl/>
              <w:suppressLineNumbers w:val="0"/>
              <w:shd w:val="clear"/>
              <w:jc w:val="center"/>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三、显示设备</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289AE">
            <w:pPr>
              <w:keepNext w:val="0"/>
              <w:keepLines w:val="0"/>
              <w:widowControl/>
              <w:suppressLineNumbers w:val="0"/>
              <w:shd w:val="clear"/>
              <w:jc w:val="center"/>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17EF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D5AD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23</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49AE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86寸智慧黑板</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8C662">
            <w:pPr>
              <w:shd w:val="clear"/>
              <w:jc w:val="left"/>
              <w:rPr>
                <w:rFonts w:ascii="宋体" w:hAnsi="宋体" w:eastAsia="宋体" w:cs="Times New Roman"/>
                <w:b/>
                <w:bCs/>
                <w:color w:val="auto"/>
                <w:szCs w:val="21"/>
                <w:highlight w:val="none"/>
              </w:rPr>
            </w:pPr>
            <w:r>
              <w:rPr>
                <w:rFonts w:hint="eastAsia" w:ascii="新宋体" w:hAnsi="新宋体" w:eastAsia="新宋体" w:cs="新宋体"/>
                <w:color w:val="auto"/>
                <w:szCs w:val="21"/>
                <w:highlight w:val="none"/>
                <w:u w:val="none"/>
                <w:lang w:val="en-US" w:eastAsia="zh-CN" w:bidi="ar"/>
              </w:rPr>
              <w:t>（一）智慧黑板</w:t>
            </w:r>
            <w:r>
              <w:rPr>
                <w:rFonts w:hint="eastAsia" w:ascii="新宋体" w:hAnsi="新宋体" w:eastAsia="新宋体" w:cs="新宋体"/>
                <w:color w:val="auto"/>
                <w:szCs w:val="21"/>
                <w:highlight w:val="none"/>
                <w:u w:val="none"/>
                <w:lang w:val="en-US" w:eastAsia="zh-CN" w:bidi="ar"/>
              </w:rPr>
              <w:br w:type="textWrapping"/>
            </w:r>
            <w:r>
              <w:rPr>
                <w:rFonts w:hint="eastAsia" w:ascii="宋体" w:hAnsi="宋体" w:eastAsia="宋体" w:cs="Times New Roman"/>
                <w:b/>
                <w:bCs/>
                <w:color w:val="auto"/>
                <w:szCs w:val="21"/>
                <w:highlight w:val="none"/>
              </w:rPr>
              <w:t>一．智慧黑板</w:t>
            </w:r>
          </w:p>
          <w:p w14:paraId="3289A716">
            <w:pPr>
              <w:shd w:val="clear"/>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1.整机需采用一体化拼接设计，外部无任何可见内部功能模块的连接线。</w:t>
            </w:r>
          </w:p>
          <w:p w14:paraId="4831D0CF">
            <w:pPr>
              <w:shd w:val="clear"/>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2.副板需支持磁性教学器材吸附，需支持普通粉笔、无尘粉笔、水溶性粉笔、水笔直接书写。</w:t>
            </w:r>
          </w:p>
          <w:p w14:paraId="3F47B296">
            <w:pPr>
              <w:shd w:val="clear"/>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3.</w:t>
            </w:r>
            <w:r>
              <w:rPr>
                <w:rFonts w:ascii="宋体" w:hAnsi="宋体" w:eastAsia="宋体" w:cs="Times New Roman"/>
                <w:bCs/>
                <w:color w:val="auto"/>
                <w:szCs w:val="21"/>
                <w:highlight w:val="none"/>
              </w:rPr>
              <w:t>整机外观尺寸宽度不小于4200mm，高度不小于1200mm。</w:t>
            </w:r>
          </w:p>
          <w:p w14:paraId="5B090D38">
            <w:pPr>
              <w:shd w:val="clear"/>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4.采用电容触控技术，整机支持≥20点触控。</w:t>
            </w:r>
          </w:p>
          <w:p w14:paraId="0D96F733">
            <w:pPr>
              <w:shd w:val="clear"/>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5.屏幕尺寸不小于86英寸，屏幕显示分辨率最高可支持4K（3840*2160），屏幕刷新率可达60Hz画面无闪烁。</w:t>
            </w:r>
          </w:p>
          <w:p w14:paraId="09DE8877">
            <w:pPr>
              <w:shd w:val="clear"/>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6.液晶屏幕对比度不小于4000:1，亮度不小于350cd/㎡；屏幕表面采用厚度≤4mm钢化玻璃，具有防眩光功能。</w:t>
            </w:r>
          </w:p>
          <w:p w14:paraId="4FBC0615">
            <w:pPr>
              <w:shd w:val="clear"/>
              <w:jc w:val="left"/>
              <w:rPr>
                <w:rFonts w:hint="eastAsia" w:ascii="宋体" w:hAnsi="宋体" w:eastAsia="宋体" w:cs="Times New Roman"/>
                <w:b/>
                <w:color w:val="auto"/>
                <w:szCs w:val="21"/>
                <w:highlight w:val="none"/>
              </w:rPr>
            </w:pPr>
            <w:r>
              <w:rPr>
                <w:rFonts w:hint="eastAsia" w:ascii="宋体" w:hAnsi="宋体" w:eastAsia="宋体" w:cs="Times New Roman"/>
                <w:bCs/>
                <w:color w:val="auto"/>
                <w:szCs w:val="21"/>
                <w:highlight w:val="none"/>
              </w:rPr>
              <w:t>7.为方便老师教学操作及避免误操作，支持</w:t>
            </w:r>
            <w:r>
              <w:rPr>
                <w:rFonts w:hint="eastAsia" w:ascii="宋体" w:hAnsi="宋体" w:eastAsia="宋体" w:cs="Times New Roman"/>
                <w:bCs/>
                <w:color w:val="auto"/>
                <w:szCs w:val="21"/>
                <w:highlight w:val="none"/>
                <w:lang w:val="en-US" w:eastAsia="zh-CN"/>
              </w:rPr>
              <w:t>多个</w:t>
            </w:r>
            <w:r>
              <w:rPr>
                <w:rFonts w:hint="eastAsia" w:ascii="宋体" w:hAnsi="宋体" w:eastAsia="宋体" w:cs="Times New Roman"/>
                <w:bCs/>
                <w:color w:val="auto"/>
                <w:szCs w:val="21"/>
                <w:highlight w:val="none"/>
              </w:rPr>
              <w:t>实体按键，功能至少包括开关、主页、音量+、音量-、菜单、信号源、返回等。按键支持复用，支持通过长按、短按实现多种功能。</w:t>
            </w:r>
          </w:p>
          <w:p w14:paraId="24CAA92C">
            <w:pPr>
              <w:shd w:val="clear"/>
              <w:jc w:val="left"/>
              <w:rPr>
                <w:rFonts w:hint="eastAsia" w:ascii="宋体" w:hAnsi="宋体" w:eastAsia="宋体" w:cs="Times New Roman"/>
                <w:b/>
                <w:color w:val="auto"/>
                <w:szCs w:val="21"/>
                <w:highlight w:val="none"/>
              </w:rPr>
            </w:pPr>
            <w:r>
              <w:rPr>
                <w:rFonts w:hint="eastAsia" w:ascii="宋体" w:hAnsi="宋体" w:eastAsia="宋体" w:cs="Times New Roman"/>
                <w:bCs/>
                <w:color w:val="auto"/>
                <w:szCs w:val="21"/>
                <w:highlight w:val="none"/>
              </w:rPr>
              <w:t>8.设备具备三合一电源按键，同一电源物理按键可实现Android系统和Windows系统的开/关机、节能的操作；关机状态下轻按按键可开机；开机状态下轻按按键可熄屏/唤醒，长按按键可关机。</w:t>
            </w:r>
          </w:p>
          <w:p w14:paraId="65299E94">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9.整机前置2个≥20W音箱，额定总功率≥</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0W，支持单独听功能。</w:t>
            </w:r>
          </w:p>
          <w:p w14:paraId="3041618A">
            <w:pPr>
              <w:shd w:val="clear"/>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设备在任意信号下，需支持通过多指按压屏幕实现对屏幕的开关，多指实现黑板背光的关闭与开启，触控功能与传统书写功能瞬间切换，切换响应速度≤2s。需支持物理按键、虚拟按键实现节能熄屏/唤醒，并可与多指熄屏功能互通互用。</w:t>
            </w:r>
          </w:p>
          <w:p w14:paraId="108BD1F7">
            <w:pPr>
              <w:shd w:val="clear"/>
              <w:jc w:val="left"/>
              <w:rPr>
                <w:rFonts w:ascii="宋体" w:hAnsi="宋体" w:eastAsia="宋体" w:cs="Times New Roman"/>
                <w:bCs/>
                <w:color w:val="auto"/>
                <w:szCs w:val="21"/>
                <w:highlight w:val="none"/>
              </w:rPr>
            </w:pPr>
            <w:r>
              <w:rPr>
                <w:rFonts w:ascii="宋体" w:hAnsi="宋体" w:eastAsia="宋体" w:cs="Times New Roman"/>
                <w:bCs/>
                <w:color w:val="auto"/>
                <w:szCs w:val="21"/>
                <w:highlight w:val="none"/>
              </w:rPr>
              <w:t>1</w:t>
            </w:r>
            <w:r>
              <w:rPr>
                <w:rFonts w:hint="eastAsia" w:ascii="宋体" w:hAnsi="宋体" w:eastAsia="宋体" w:cs="Times New Roman"/>
                <w:bCs/>
                <w:color w:val="auto"/>
                <w:szCs w:val="21"/>
                <w:highlight w:val="none"/>
              </w:rPr>
              <w:t>1</w:t>
            </w:r>
            <w:r>
              <w:rPr>
                <w:rFonts w:ascii="宋体" w:hAnsi="宋体" w:eastAsia="宋体" w:cs="Times New Roman"/>
                <w:bCs/>
                <w:color w:val="auto"/>
                <w:szCs w:val="21"/>
                <w:highlight w:val="none"/>
              </w:rPr>
              <w:t>.</w:t>
            </w:r>
            <w:r>
              <w:rPr>
                <w:rFonts w:hint="eastAsia" w:ascii="宋体" w:hAnsi="宋体" w:eastAsia="宋体" w:cs="Times New Roman"/>
                <w:bCs/>
                <w:color w:val="auto"/>
                <w:szCs w:val="21"/>
                <w:highlight w:val="none"/>
              </w:rPr>
              <w:t>具有触摸悬浮菜单，支持三指罗盘跟随功能，可通过三指调用此触摸悬浮菜单到屏幕任意位置。</w:t>
            </w:r>
            <w:r>
              <w:rPr>
                <w:rFonts w:ascii="宋体" w:hAnsi="宋体" w:eastAsia="宋体" w:cs="Times New Roman"/>
                <w:bCs/>
                <w:color w:val="auto"/>
                <w:szCs w:val="21"/>
                <w:highlight w:val="none"/>
              </w:rPr>
              <w:t xml:space="preserve"> </w:t>
            </w:r>
          </w:p>
          <w:p w14:paraId="5A190EAC">
            <w:pPr>
              <w:shd w:val="clear"/>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12.为了方便教师教学使用，要求设备具有丰富的扩展接口：前置≥1路HDMI接口（非转接）、≥1路Type-C，≥2路USB输入接口（支持双通道），≥1路触摸接口。侧置≥2路USB接口，≥</w:t>
            </w:r>
            <w:r>
              <w:rPr>
                <w:rFonts w:hint="eastAsia" w:ascii="宋体" w:hAnsi="宋体" w:eastAsia="宋体" w:cs="Times New Roman"/>
                <w:bCs/>
                <w:color w:val="auto"/>
                <w:szCs w:val="21"/>
                <w:highlight w:val="none"/>
                <w:lang w:val="en-US" w:eastAsia="zh-CN"/>
              </w:rPr>
              <w:t>1</w:t>
            </w:r>
            <w:r>
              <w:rPr>
                <w:rFonts w:hint="eastAsia" w:ascii="宋体" w:hAnsi="宋体" w:eastAsia="宋体" w:cs="Times New Roman"/>
                <w:bCs/>
                <w:color w:val="auto"/>
                <w:szCs w:val="21"/>
                <w:highlight w:val="none"/>
              </w:rPr>
              <w:t>路HDMI输入接口。</w:t>
            </w:r>
          </w:p>
          <w:p w14:paraId="74EC679B">
            <w:pPr>
              <w:shd w:val="clear"/>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13.支持蓝牙5.</w:t>
            </w:r>
            <w:r>
              <w:rPr>
                <w:rFonts w:hint="eastAsia" w:ascii="宋体" w:hAnsi="宋体" w:eastAsia="宋体" w:cs="Times New Roman"/>
                <w:bCs/>
                <w:color w:val="auto"/>
                <w:szCs w:val="21"/>
                <w:highlight w:val="none"/>
                <w:lang w:val="en-US" w:eastAsia="zh-CN"/>
              </w:rPr>
              <w:t>4</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支持</w:t>
            </w:r>
            <w:r>
              <w:rPr>
                <w:rFonts w:hint="eastAsia" w:ascii="宋体" w:hAnsi="宋体" w:eastAsia="宋体" w:cs="Times New Roman"/>
                <w:bCs/>
                <w:color w:val="auto"/>
                <w:szCs w:val="21"/>
                <w:highlight w:val="none"/>
                <w:lang w:val="en-US" w:eastAsia="zh-CN"/>
              </w:rPr>
              <w:t>通过</w:t>
            </w:r>
            <w:r>
              <w:rPr>
                <w:rFonts w:hint="eastAsia" w:ascii="宋体" w:hAnsi="宋体" w:eastAsia="宋体" w:cs="Times New Roman"/>
                <w:bCs/>
                <w:color w:val="auto"/>
                <w:szCs w:val="21"/>
                <w:highlight w:val="none"/>
              </w:rPr>
              <w:t>蓝牙</w:t>
            </w:r>
            <w:r>
              <w:rPr>
                <w:rFonts w:hint="eastAsia" w:ascii="宋体" w:hAnsi="宋体" w:eastAsia="宋体" w:cs="Times New Roman"/>
                <w:bCs/>
                <w:color w:val="auto"/>
                <w:szCs w:val="21"/>
                <w:highlight w:val="none"/>
                <w:lang w:val="en-US" w:eastAsia="zh-CN"/>
              </w:rPr>
              <w:t>进行</w:t>
            </w:r>
            <w:r>
              <w:rPr>
                <w:rFonts w:hint="eastAsia" w:ascii="宋体" w:hAnsi="宋体" w:eastAsia="宋体" w:cs="Times New Roman"/>
                <w:bCs/>
                <w:color w:val="auto"/>
                <w:szCs w:val="21"/>
                <w:highlight w:val="none"/>
              </w:rPr>
              <w:t>设备连接，实现数据传输。</w:t>
            </w:r>
          </w:p>
          <w:p w14:paraId="70CCF259">
            <w:pPr>
              <w:shd w:val="clear"/>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val="en-US" w:eastAsia="zh-CN"/>
              </w:rPr>
              <w:t>4</w:t>
            </w:r>
            <w:r>
              <w:rPr>
                <w:rFonts w:hint="eastAsia" w:ascii="宋体" w:hAnsi="宋体" w:eastAsia="宋体" w:cs="Times New Roman"/>
                <w:bCs/>
                <w:color w:val="auto"/>
                <w:szCs w:val="21"/>
                <w:highlight w:val="none"/>
              </w:rPr>
              <w:t>.在关机状态下，设备支持外接信号输入时自动唤醒设备功能；在开机状态下，设备支持接入信号源时自动跳转至接入的信号源，设备支持设备在无信号的情况下，自动跳转至其他通道。</w:t>
            </w:r>
          </w:p>
          <w:p w14:paraId="75A8FD1E">
            <w:pPr>
              <w:shd w:val="clear"/>
              <w:jc w:val="left"/>
              <w:rPr>
                <w:rFonts w:ascii="宋体" w:hAnsi="宋体" w:eastAsia="宋体" w:cs="Times New Roman"/>
                <w:bCs/>
                <w:color w:val="auto"/>
                <w:szCs w:val="21"/>
                <w:highlight w:val="none"/>
              </w:rPr>
            </w:pPr>
            <w:r>
              <w:rPr>
                <w:rFonts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val="en-US" w:eastAsia="zh-CN"/>
              </w:rPr>
              <w:t>5</w:t>
            </w:r>
            <w:r>
              <w:rPr>
                <w:rFonts w:ascii="宋体" w:hAnsi="宋体" w:eastAsia="宋体" w:cs="Times New Roman"/>
                <w:bCs/>
                <w:color w:val="auto"/>
                <w:szCs w:val="21"/>
                <w:highlight w:val="none"/>
              </w:rPr>
              <w:t>.整机可以兼容第三方中控系统，通过RS232控制接口实现远程开关机功能</w:t>
            </w:r>
            <w:r>
              <w:rPr>
                <w:rFonts w:hint="eastAsia" w:ascii="宋体" w:hAnsi="宋体" w:eastAsia="宋体" w:cs="Times New Roman"/>
                <w:bCs/>
                <w:color w:val="auto"/>
                <w:szCs w:val="21"/>
                <w:highlight w:val="none"/>
                <w:lang w:val="en-US" w:eastAsia="zh-CN"/>
              </w:rPr>
              <w:t>,支持WIFI6</w:t>
            </w:r>
            <w:r>
              <w:rPr>
                <w:rFonts w:ascii="宋体" w:hAnsi="宋体" w:eastAsia="宋体" w:cs="Times New Roman"/>
                <w:bCs/>
                <w:color w:val="auto"/>
                <w:szCs w:val="21"/>
                <w:highlight w:val="none"/>
              </w:rPr>
              <w:t>。</w:t>
            </w:r>
          </w:p>
          <w:p w14:paraId="6CAC7BF6">
            <w:pPr>
              <w:shd w:val="clear"/>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val="en-US" w:eastAsia="zh-CN"/>
              </w:rPr>
              <w:t>6</w:t>
            </w:r>
            <w:r>
              <w:rPr>
                <w:rFonts w:ascii="宋体" w:hAnsi="宋体" w:eastAsia="宋体" w:cs="Times New Roman"/>
                <w:bCs/>
                <w:color w:val="auto"/>
                <w:szCs w:val="21"/>
                <w:highlight w:val="none"/>
              </w:rPr>
              <w:t>.产品需内置安卓教学辅助系统，安卓系统版本不低于14.0，CPU不少于8核，RAM不低于4G,ROM不低于</w:t>
            </w:r>
            <w:r>
              <w:rPr>
                <w:rFonts w:hint="eastAsia" w:ascii="宋体" w:hAnsi="宋体" w:eastAsia="宋体" w:cs="Times New Roman"/>
                <w:bCs/>
                <w:color w:val="auto"/>
                <w:szCs w:val="21"/>
                <w:highlight w:val="none"/>
                <w:lang w:val="en-US" w:eastAsia="zh-CN"/>
              </w:rPr>
              <w:t>64</w:t>
            </w:r>
            <w:r>
              <w:rPr>
                <w:rFonts w:ascii="宋体" w:hAnsi="宋体" w:eastAsia="宋体" w:cs="Times New Roman"/>
                <w:bCs/>
                <w:color w:val="auto"/>
                <w:szCs w:val="21"/>
                <w:highlight w:val="none"/>
              </w:rPr>
              <w:t>G。</w:t>
            </w:r>
          </w:p>
          <w:p w14:paraId="1EBCCAF5">
            <w:pPr>
              <w:shd w:val="clear"/>
              <w:jc w:val="left"/>
              <w:rPr>
                <w:rFonts w:hint="eastAsia" w:ascii="宋体" w:hAnsi="宋体" w:eastAsia="宋体" w:cs="Times New Roman"/>
                <w:b/>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val="en-US" w:eastAsia="zh-CN"/>
              </w:rPr>
              <w:t>7</w:t>
            </w:r>
            <w:r>
              <w:rPr>
                <w:rFonts w:ascii="宋体" w:hAnsi="宋体" w:eastAsia="宋体" w:cs="Times New Roman"/>
                <w:bCs/>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bCs/>
                <w:color w:val="auto"/>
                <w:szCs w:val="21"/>
                <w:highlight w:val="none"/>
              </w:rPr>
              <w:t>外接电脑设备连接整机且触摸信号连通时，外接电脑设备支持直接读取整机前置USB接口的移动存储设备数据；连接前置USB接口的翻页笔、无线键鼠可直接使用于外接电脑</w:t>
            </w:r>
            <w:r>
              <w:rPr>
                <w:rFonts w:hint="eastAsia" w:ascii="宋体" w:hAnsi="宋体" w:eastAsia="宋体" w:cs="Times New Roman"/>
                <w:b/>
                <w:color w:val="auto"/>
                <w:szCs w:val="21"/>
                <w:highlight w:val="none"/>
              </w:rPr>
              <w:t>。</w:t>
            </w:r>
          </w:p>
          <w:p w14:paraId="64C917A2">
            <w:pPr>
              <w:shd w:val="clear"/>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lang w:val="en-US" w:eastAsia="zh-CN"/>
              </w:rPr>
              <w:t>18</w:t>
            </w:r>
            <w:r>
              <w:rPr>
                <w:rFonts w:ascii="宋体" w:hAnsi="宋体" w:eastAsia="宋体" w:cs="Times New Roman"/>
                <w:bCs/>
                <w:color w:val="auto"/>
                <w:szCs w:val="21"/>
                <w:highlight w:val="none"/>
              </w:rPr>
              <w:t>.设备</w:t>
            </w:r>
            <w:r>
              <w:rPr>
                <w:rFonts w:hint="eastAsia" w:ascii="宋体" w:hAnsi="宋体" w:eastAsia="宋体" w:cs="Times New Roman"/>
                <w:bCs/>
                <w:color w:val="auto"/>
                <w:szCs w:val="21"/>
                <w:highlight w:val="none"/>
              </w:rPr>
              <w:t>内置的OPS</w:t>
            </w:r>
            <w:r>
              <w:rPr>
                <w:rFonts w:ascii="宋体" w:hAnsi="宋体" w:eastAsia="宋体" w:cs="Times New Roman"/>
                <w:bCs/>
                <w:color w:val="auto"/>
                <w:szCs w:val="21"/>
                <w:highlight w:val="none"/>
              </w:rPr>
              <w:t>支持一键还原功能，具备前置针孔还原按键。</w:t>
            </w:r>
          </w:p>
          <w:p w14:paraId="0DB98387">
            <w:pPr>
              <w:shd w:val="clear"/>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19</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OPS</w:t>
            </w:r>
            <w:r>
              <w:rPr>
                <w:rFonts w:hint="eastAsia" w:ascii="宋体" w:hAnsi="宋体" w:eastAsia="宋体" w:cs="Times New Roman"/>
                <w:color w:val="auto"/>
                <w:szCs w:val="21"/>
                <w:highlight w:val="none"/>
              </w:rPr>
              <w:t>插拔</w:t>
            </w:r>
            <w:r>
              <w:rPr>
                <w:rFonts w:ascii="宋体" w:hAnsi="宋体" w:eastAsia="宋体" w:cs="Times New Roman"/>
                <w:color w:val="auto"/>
                <w:szCs w:val="21"/>
                <w:highlight w:val="none"/>
              </w:rPr>
              <w:t>式电脑：</w:t>
            </w:r>
            <w:r>
              <w:rPr>
                <w:rFonts w:hint="eastAsia" w:ascii="宋体" w:hAnsi="宋体" w:eastAsia="宋体" w:cs="Times New Roman"/>
                <w:color w:val="auto"/>
                <w:szCs w:val="21"/>
                <w:highlight w:val="none"/>
              </w:rPr>
              <w:t>采用插拔式电脑模块架构，针脚数≥80pin，屏体与插拔式电脑无单独接线</w:t>
            </w:r>
            <w:r>
              <w:rPr>
                <w:rFonts w:ascii="宋体" w:hAnsi="宋体" w:eastAsia="宋体" w:cs="Times New Roman"/>
                <w:color w:val="auto"/>
                <w:szCs w:val="21"/>
                <w:highlight w:val="none"/>
              </w:rPr>
              <w:t>；处理器配置Intel Core i5处理器，不低于8G内存，不低于256G-SSD固态硬盘；具有独立非外扩展接口：支持HDMI out</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1、Mic in</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1、LINE-out</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1、USB口</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6，Rj45</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1；内置有线网卡和无线网卡。</w:t>
            </w:r>
          </w:p>
          <w:p w14:paraId="0BFB0751">
            <w:pPr>
              <w:shd w:val="clear"/>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二、白板软件</w:t>
            </w:r>
          </w:p>
          <w:p w14:paraId="48353ECF">
            <w:pPr>
              <w:shd w:val="clear"/>
              <w:jc w:val="left"/>
              <w:rPr>
                <w:rFonts w:ascii="宋体" w:hAnsi="宋体" w:eastAsia="宋体" w:cs="Times New Roman"/>
                <w:b/>
                <w:color w:val="auto"/>
                <w:szCs w:val="21"/>
                <w:highlight w:val="none"/>
              </w:rPr>
            </w:pPr>
            <w:r>
              <w:rPr>
                <w:rFonts w:ascii="宋体" w:hAnsi="宋体" w:eastAsia="宋体" w:cs="Times New Roman"/>
                <w:b/>
                <w:color w:val="auto"/>
                <w:szCs w:val="21"/>
                <w:highlight w:val="none"/>
              </w:rPr>
              <w:t>备课</w:t>
            </w:r>
          </w:p>
          <w:p w14:paraId="649645D1">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支持插入本地的PPT文件到课程中，并确保插入后的PPT保持其原始格式不变，所有的动态效果和动画都将被完整保留。支持在PPT上进行批注，添加笔记和标记，支持批注保存。</w:t>
            </w:r>
          </w:p>
          <w:p w14:paraId="41112038">
            <w:pPr>
              <w:shd w:val="clear"/>
              <w:jc w:val="left"/>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对课件执行多项管理操作，包括但不限于分享、下载、重命名、移动及删除。在分享课件时，可以选择通过手机号码或生成链接的方式进行。链接形式分享支持设置文件的有效期，选项包括7天有效期、30天有效期、永久有效期等。</w:t>
            </w:r>
          </w:p>
          <w:p w14:paraId="0DF0B4DB">
            <w:pPr>
              <w:shd w:val="clear"/>
              <w:jc w:val="left"/>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3</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支持课件自动上传到云存储，支持自动保存时间设置，可选择在1分钟、3分钟、5分钟、10分钟或30分钟等多个时间间隔后，课件将被自动保存至云端。</w:t>
            </w:r>
          </w:p>
          <w:p w14:paraId="3EEC2378">
            <w:pPr>
              <w:shd w:val="clear"/>
              <w:jc w:val="left"/>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4</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新建课件可选择学科主题、创意主题，在编辑课件过程中支持修改主题。</w:t>
            </w:r>
          </w:p>
          <w:p w14:paraId="2AF61CD9">
            <w:pPr>
              <w:shd w:val="clear"/>
              <w:jc w:val="left"/>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5</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支持同时打开多个课件窗口，支持新建课件页面；支持课件页面切换不少于7种形式的特效，包含淡入、推入、旋转、分割、交换、圆形、揭开等；支持顺序调整，支持应用到全部。</w:t>
            </w:r>
          </w:p>
          <w:p w14:paraId="6B58601D">
            <w:pPr>
              <w:shd w:val="clear"/>
              <w:jc w:val="left"/>
              <w:rPr>
                <w:rFonts w:ascii="宋体" w:hAnsi="宋体" w:eastAsia="宋体" w:cs="Times New Roman"/>
                <w:color w:val="auto"/>
                <w:szCs w:val="21"/>
                <w:highlight w:val="none"/>
              </w:rPr>
            </w:pPr>
            <w:r>
              <w:rPr>
                <w:rFonts w:hint="eastAsia" w:ascii="宋体" w:hAnsi="宋体" w:eastAsia="宋体" w:cs="Times New Roman"/>
                <w:b/>
                <w:bCs/>
                <w:color w:val="auto"/>
                <w:szCs w:val="21"/>
                <w:highlight w:val="none"/>
              </w:rPr>
              <w:t>授课</w:t>
            </w:r>
          </w:p>
          <w:p w14:paraId="46C737AE">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通过一键操作从备课模式切换到授课模式，并且可以回到备课模式。支持交换底部索引栏的功能，教师可以根据自己授课时所站立的位置，选择将一侧的按钮与另一侧的按钮互换，支持软件最小化功能，可以将正在使用的软件缩小到状态栏，以便在需要时快速恢复窗口。云课件支持导出分享功能，支持生成二维码分享，可使用微信扫码可预览、保存课件</w:t>
            </w:r>
            <w:r>
              <w:rPr>
                <w:rFonts w:hint="eastAsia" w:ascii="宋体" w:hAnsi="宋体" w:eastAsia="宋体" w:cs="Times New Roman"/>
                <w:b/>
                <w:bCs/>
                <w:color w:val="auto"/>
                <w:szCs w:val="21"/>
                <w:highlight w:val="none"/>
              </w:rPr>
              <w:t>。</w:t>
            </w:r>
          </w:p>
          <w:p w14:paraId="3ED14C95">
            <w:pPr>
              <w:shd w:val="clear"/>
              <w:jc w:val="left"/>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工具栏包括菜单、选择、笔、橡皮、工具、学科等功能；。</w:t>
            </w:r>
          </w:p>
          <w:p w14:paraId="0A4F8179">
            <w:pPr>
              <w:shd w:val="clear"/>
              <w:jc w:val="left"/>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3</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支持对象选择功能，选中的对象可进行形状、角度的调整，可进行置顶、克隆、删除等操作；支持书写功能，可设置硬笔、荧光笔、图章笔、纹理笔，可改变笔迹的粗细和颜色，支持最多十指同时书写。</w:t>
            </w:r>
          </w:p>
          <w:p w14:paraId="5BFE9C7A">
            <w:pPr>
              <w:shd w:val="clear"/>
              <w:jc w:val="left"/>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4</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支持橡皮功能，可擦除书写的笔迹，可设置擦除的面积，可一键清空笔迹。</w:t>
            </w:r>
          </w:p>
          <w:p w14:paraId="7482752E">
            <w:pPr>
              <w:shd w:val="clear"/>
              <w:jc w:val="left"/>
              <w:rPr>
                <w:rFonts w:hint="eastAsia" w:ascii="宋体" w:hAnsi="宋体" w:eastAsia="宋体" w:cs="Times New Roman"/>
                <w:b/>
                <w:bCs/>
                <w:color w:val="auto"/>
                <w:szCs w:val="21"/>
                <w:highlight w:val="none"/>
              </w:rPr>
            </w:pPr>
            <w:r>
              <w:rPr>
                <w:rFonts w:ascii="宋体" w:hAnsi="宋体" w:eastAsia="宋体" w:cs="Times New Roman"/>
                <w:color w:val="auto"/>
                <w:szCs w:val="21"/>
                <w:highlight w:val="none"/>
              </w:rPr>
              <w:t>5</w:t>
            </w:r>
            <w:r>
              <w:rPr>
                <w:rFonts w:hint="eastAsia"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提供形状、思维导图、分屏、小黑板、截图、录屏、撤销、还原、放大镜、计时器、幕布、漫游等通用工具。</w:t>
            </w:r>
          </w:p>
          <w:p w14:paraId="00AF5C4E">
            <w:pPr>
              <w:shd w:val="clear"/>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三、投屏软件</w:t>
            </w:r>
          </w:p>
          <w:p w14:paraId="52F13331">
            <w:pPr>
              <w:widowControl/>
              <w:shd w:val="clear"/>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1.支持手机、笔记本电脑等移动端通过自动搜索接收端设备和六位识别码两种方式无线连接到智慧黑板。</w:t>
            </w:r>
          </w:p>
          <w:p w14:paraId="4083C1BD">
            <w:pPr>
              <w:widowControl/>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支持在智慧黑板上可以反向控制操作笔记本电脑上的内容,支持单击、双击、右键控制，支持至少6个画面同时显示，方便对比教学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通过两个手指对同步到移动端的智慧黑板桌面进行放大、缩小和漫游操作。</w:t>
            </w:r>
          </w:p>
          <w:p w14:paraId="27F995F6">
            <w:pPr>
              <w:widowControl/>
              <w:shd w:val="clear"/>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支持对移动端、电脑端设备推送至智慧黑板的音视频文件 ,进行播放和调节音量。</w:t>
            </w:r>
          </w:p>
          <w:p w14:paraId="32BC9690">
            <w:pPr>
              <w:widowControl/>
              <w:shd w:val="clear"/>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4.</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支持模拟鼠标左键、右键、上下滚轮滑动、触摸板操控等功能，支持遥控器功能。</w:t>
            </w:r>
          </w:p>
          <w:p w14:paraId="1AE65852">
            <w:pPr>
              <w:widowControl/>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5</w:t>
            </w:r>
            <w:r>
              <w:rPr>
                <w:rFonts w:ascii="宋体" w:hAnsi="宋体" w:eastAsia="宋体" w:cs="Times New Roman"/>
                <w:color w:val="auto"/>
                <w:szCs w:val="21"/>
                <w:highlight w:val="none"/>
              </w:rPr>
              <w:t>.</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电脑端投屏至少支持桌面同步、镜像投屏和拓展投屏功能，支持对应控制页面点击切换；支持调节投屏清晰度，至少支持超清、高清等标准。</w:t>
            </w:r>
          </w:p>
          <w:p w14:paraId="1E9B0CAA">
            <w:pPr>
              <w:shd w:val="clear"/>
              <w:jc w:val="left"/>
              <w:rPr>
                <w:rFonts w:ascii="宋体" w:hAnsi="宋体" w:eastAsia="宋体" w:cs="Times New Roman"/>
                <w:b/>
                <w:bCs/>
                <w:color w:val="auto"/>
                <w:szCs w:val="21"/>
                <w:highlight w:val="none"/>
              </w:rPr>
            </w:pPr>
            <w:r>
              <w:rPr>
                <w:rFonts w:ascii="宋体" w:hAnsi="宋体" w:eastAsia="宋体" w:cs="Times New Roman"/>
                <w:b/>
                <w:bCs/>
                <w:color w:val="auto"/>
                <w:szCs w:val="21"/>
                <w:highlight w:val="none"/>
              </w:rPr>
              <w:t>四、微课软件</w:t>
            </w:r>
          </w:p>
          <w:p w14:paraId="17400045">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支持仅系统、仅麦克风、系统与麦克风对录制音源设置；支持分辨率、录制区域进行设置</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持对录制完成的视频进行后期编辑，包括合并多个视频文件、剪切视频片段以及预览编辑后的视频效果；支持在视频中加入不少于24个文字水印。在添加水印时，可以选择字体大小、字体颜色、透明度等设置，可以自由设定水印在视频中的显示位置。</w:t>
            </w:r>
          </w:p>
          <w:p w14:paraId="1087BEBF">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Calibri" w:hAnsi="Calibri" w:eastAsia="宋体" w:cs="Times New Roman"/>
                <w:color w:val="auto"/>
                <w:highlight w:val="none"/>
              </w:rPr>
              <w:t xml:space="preserve"> </w:t>
            </w:r>
            <w:r>
              <w:rPr>
                <w:rFonts w:hint="eastAsia" w:ascii="宋体" w:hAnsi="宋体" w:eastAsia="宋体" w:cs="Times New Roman"/>
                <w:color w:val="auto"/>
                <w:szCs w:val="21"/>
                <w:highlight w:val="none"/>
              </w:rPr>
              <w:t>支持打开录课列表窗口，查看文件列表，快速搜索文件或文件夹，支持预览播放录课列表中的视频文件。</w:t>
            </w:r>
          </w:p>
          <w:p w14:paraId="7DA35F85">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3.支持倒计时功能，开始录制倒计时3S后开始录制；支持录制过程中，录制工具条不影响录制画面。</w:t>
            </w:r>
          </w:p>
          <w:p w14:paraId="45CDE023">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4.录制结束后，支持弹出视频预览画面，展示用户录制的整个视频，可任意拖动进度条查看内容，调整音量大小，全屏播放</w:t>
            </w:r>
          </w:p>
          <w:p w14:paraId="38832F3B">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5.支持将录制的视频内容保存至本地硬盘；并可将本地的录制文件上传到个人云端，数据存储更方便、更安全。</w:t>
            </w:r>
          </w:p>
          <w:p w14:paraId="0265B51F">
            <w:pPr>
              <w:shd w:val="clea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.支持打开录课列表窗口，查看文件列表，在录课列表的任意目录下对文件或文件夹进行移动、删除、重命名等操作，可新建文件夹，快速搜索文件或文件夹。</w:t>
            </w:r>
          </w:p>
          <w:p w14:paraId="2E59AE54">
            <w:pPr>
              <w:shd w:val="clear"/>
              <w:jc w:val="left"/>
              <w:rPr>
                <w:rFonts w:hint="eastAsia" w:ascii="宋体" w:hAnsi="宋体" w:eastAsia="宋体" w:cs="Times New Roman"/>
                <w:b/>
                <w:bCs/>
                <w:color w:val="auto"/>
                <w:szCs w:val="21"/>
                <w:highlight w:val="none"/>
              </w:rPr>
            </w:pPr>
            <w:r>
              <w:rPr>
                <w:rFonts w:ascii="宋体" w:hAnsi="宋体" w:eastAsia="宋体" w:cs="Times New Roman"/>
                <w:b/>
                <w:bCs/>
                <w:color w:val="auto"/>
                <w:szCs w:val="21"/>
                <w:highlight w:val="none"/>
              </w:rPr>
              <w:t>五、</w:t>
            </w:r>
            <w:r>
              <w:rPr>
                <w:rFonts w:hint="eastAsia" w:ascii="宋体" w:hAnsi="宋体" w:eastAsia="宋体" w:cs="Times New Roman"/>
                <w:b/>
                <w:bCs/>
                <w:color w:val="auto"/>
                <w:szCs w:val="21"/>
                <w:highlight w:val="none"/>
              </w:rPr>
              <w:t>智慧教学桌面</w:t>
            </w:r>
          </w:p>
          <w:p w14:paraId="15310ED7">
            <w:pPr>
              <w:widowControl/>
              <w:shd w:val="clear"/>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支持组件及应用，包含课表、日历、时钟、我的云盘、资源中心、我的电脑、回收站、文件快传、白板、传屏、展台。可任意添加或移除组件，已添加到桌面上的组件可任意拖动改变位置；支持将任意路径下的文件一键发送至教学桌面。</w:t>
            </w:r>
          </w:p>
          <w:p w14:paraId="1343713B">
            <w:pPr>
              <w:widowControl/>
              <w:shd w:val="clear"/>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支持打开、查看资源中心及个人云盘；不少于50G个人云存储空间，支持查看、上传、下载。</w:t>
            </w:r>
          </w:p>
          <w:p w14:paraId="1467C67E">
            <w:pPr>
              <w:widowControl/>
              <w:shd w:val="clear"/>
              <w:jc w:val="left"/>
              <w:rPr>
                <w:rFonts w:hint="eastAsia" w:ascii="宋体" w:hAnsi="宋体" w:eastAsia="宋体" w:cs="宋体"/>
                <w:color w:val="auto"/>
                <w:kern w:val="0"/>
                <w:szCs w:val="21"/>
                <w:highlight w:val="none"/>
              </w:rPr>
            </w:pPr>
            <w:r>
              <w:rPr>
                <w:rFonts w:hint="eastAsia" w:ascii="宋体" w:hAnsi="宋体" w:eastAsia="宋体" w:cs="Times New Roman"/>
                <w:color w:val="auto"/>
                <w:szCs w:val="21"/>
                <w:highlight w:val="none"/>
              </w:rPr>
              <w:t>3.</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支持以日历的形式呈现常规课程、互动课程、直播课程等列表；可直接切换点击日期查看对应的课程数量及列表。</w:t>
            </w:r>
          </w:p>
          <w:p w14:paraId="17811A2E">
            <w:pPr>
              <w:widowControl/>
              <w:shd w:val="clear"/>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常规课程：支持新建和设置课程名称、上课日期、时间，选择班级、关联课件，设置课件自动打开时间。</w:t>
            </w:r>
          </w:p>
          <w:p w14:paraId="6C242514">
            <w:pPr>
              <w:widowControl/>
              <w:shd w:val="clear"/>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远程互动课程：支持新建和设置课程主题、开课日期、时间，设置成员加入课程自动上台、设置成员加入课程自动静音、设置课程密码、设置课程模式。</w:t>
            </w:r>
          </w:p>
          <w:p w14:paraId="21DA847A">
            <w:pPr>
              <w:shd w:val="clear"/>
              <w:jc w:val="left"/>
              <w:rPr>
                <w:rFonts w:hint="eastAsia" w:ascii="宋体" w:hAnsi="宋体" w:eastAsia="宋体" w:cs="宋体"/>
                <w:color w:val="auto"/>
                <w:kern w:val="0"/>
                <w:szCs w:val="21"/>
                <w:highlight w:val="none"/>
              </w:rPr>
            </w:pPr>
            <w:r>
              <w:rPr>
                <w:rFonts w:hint="eastAsia" w:ascii="新宋体" w:hAnsi="新宋体" w:eastAsia="新宋体" w:cs="新宋体"/>
                <w:color w:val="auto"/>
                <w:szCs w:val="21"/>
                <w:highlight w:val="none"/>
                <w:u w:val="none"/>
                <w:lang w:val="en-US" w:eastAsia="zh-CN" w:bidi="ar"/>
              </w:rPr>
              <w:t>★</w:t>
            </w:r>
            <w:r>
              <w:rPr>
                <w:rFonts w:hint="eastAsia" w:ascii="宋体" w:hAnsi="宋体" w:eastAsia="宋体" w:cs="宋体"/>
                <w:color w:val="auto"/>
                <w:kern w:val="0"/>
                <w:szCs w:val="21"/>
                <w:highlight w:val="none"/>
              </w:rPr>
              <w:t>6.</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文件快传功能：支持移动端和大屏端之间的文件互传，支持通过扫码来选择上传文件。支持在大屏端选择要下发的文件，可以通过扫码将文件带走，实现文件共享。</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p>
          <w:p w14:paraId="24A8AC70">
            <w:pPr>
              <w:shd w:val="clear"/>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桌面应用：支持查看多个桌面列表，可任意增加、删除桌面，并对桌面进行命名，点击桌面可快速定位到桌面。</w:t>
            </w:r>
          </w:p>
          <w:p w14:paraId="025F5696">
            <w:pPr>
              <w:widowControl/>
              <w:shd w:val="clea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r>
              <w:rPr>
                <w:rFonts w:hint="eastAsia" w:ascii="Calibri" w:hAnsi="Calibri" w:eastAsia="宋体" w:cs="Times New Roman"/>
                <w:color w:val="auto"/>
                <w:highlight w:val="none"/>
              </w:rPr>
              <w:t xml:space="preserve"> </w:t>
            </w:r>
            <w:r>
              <w:rPr>
                <w:rFonts w:hint="eastAsia" w:ascii="宋体" w:hAnsi="宋体" w:eastAsia="宋体" w:cs="宋体"/>
                <w:color w:val="auto"/>
                <w:kern w:val="0"/>
                <w:szCs w:val="21"/>
                <w:highlight w:val="none"/>
              </w:rPr>
              <w:t>个性化设置：支持设置欢迎语，可设置文本内容、颜色、字体、字号、下划线、加粗、斜体等。支持设置在开机时自动启动教学桌面，设备开机将直接加载教学桌面界面；关闭后，开机后不会自动加载教学桌面，可通过点击相应的图标手动打开教学桌面。</w:t>
            </w:r>
          </w:p>
          <w:p w14:paraId="6F156011">
            <w:pPr>
              <w:widowControl/>
              <w:shd w:val="clea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六、教学系统</w:t>
            </w:r>
          </w:p>
          <w:p w14:paraId="1A89D8D9">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（一）平台－教师端</w:t>
            </w:r>
          </w:p>
          <w:p w14:paraId="68453718">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1.平台支持账号密码登录、手机验证码登录、微信扫码登录等多种认证方式；支持密码找回功能；用户登录后可进入个人中心查看和修改个人信息、修改密码。</w:t>
            </w:r>
          </w:p>
          <w:p w14:paraId="0AF3E20F">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2.支持接收并查看课堂互动消息与通知公告，消息列表按时间倒序排列，支持标记已读/未读。</w:t>
            </w:r>
          </w:p>
          <w:p w14:paraId="0B1FC81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3.支持新建课程、编辑课程信息、课程删除、课程班级归属、临时授课、导入课程等完整操作。教师可对课程进行全流程管控，导入教材可生成章节目录，知识图谱。</w:t>
            </w:r>
          </w:p>
          <w:p w14:paraId="27C532C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4.教师账号享有云盘存储空间。</w:t>
            </w:r>
          </w:p>
          <w:p w14:paraId="066FCB08">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5.可上传图片、视频、音频、PDF、Excel、word、PPT等格式文件。</w:t>
            </w:r>
          </w:p>
          <w:p w14:paraId="21829ABF">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6.支持AI一键备课，自动生成PPT，支持移动、删除，可按上传时间、更新时间维度查看。</w:t>
            </w:r>
          </w:p>
          <w:p w14:paraId="0199828E">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7.平台内置题库模块，支持海量试题浏览；支持手动添加题目，包括题目内容的增删改查管理；题库与作业、测验模块联动，教师可直接从题库中选取题目布置作业或测验。</w:t>
            </w:r>
          </w:p>
          <w:p w14:paraId="5D14806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8.支持拍照答疑、批改作业、拍照翻译、英语作文、口语练习、错题本、文生图、智能PPT等功能。</w:t>
            </w:r>
          </w:p>
          <w:p w14:paraId="2C193CD2">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9.AI智能课件教师学生均可查看，支持编辑知识点、完成数量，AI课件仅内置教材才有，手动创建课件无AI课件。</w:t>
            </w:r>
          </w:p>
          <w:p w14:paraId="041BA691">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支持教师创建作业任务，设定作业内容与要求，作业包含多种试题类型，包括单选题、多选题、判断题、填空题、简答题等，支持手动添加、题库选择、智能导入等多种方式，支持手动上传作业文件，对创建完成的作业可实时预览。</w:t>
            </w:r>
          </w:p>
          <w:p w14:paraId="76DD8E30">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课程资料中显示课程使用的课件和教案等资料内容，可按更新时间及创建时间排序，新建课件支持AI自动生成，支持对课件进行分享、下载、点击查看、重命名、移动、复制、删除，分享支持扫码分享及链接分享两种方式。</w:t>
            </w:r>
          </w:p>
          <w:p w14:paraId="4FA136B1">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12.教师可通过AI智能生成课程大纲，系统根据课程信息自动输出结构化大纲内容，辅助教师快速构建课程框架。</w:t>
            </w:r>
          </w:p>
          <w:p w14:paraId="4CCDF511">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13.课程分组教学支持教师创建分组教学方案，设定分组规则和教学目标，灵活组织课堂分组活动。支持学生分组维护，教师可根据教学需要调整分组安排。</w:t>
            </w:r>
          </w:p>
          <w:p w14:paraId="0DA37F63">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14.支持在课程内发起话题讨论，师生可就课程内容进行交流；支持查看话题详情、回复记录和关联录课记录，便于回顾重点话题。</w:t>
            </w:r>
          </w:p>
          <w:p w14:paraId="63A028EE">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15.知识图谱可视化：支持知识点的层级树形结构和知识网络关系图展示，直观呈现学科知识体系。</w:t>
            </w:r>
          </w:p>
          <w:p w14:paraId="1B49412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16.知识点管理：支持知识点增删改查，包括知识点导入功能；支持资源与知识点的关联映射，实现教学资源的结构化标注。</w:t>
            </w:r>
          </w:p>
          <w:p w14:paraId="582C9702">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17.班级空间可开启关闭AI分析，开启以实现班级空间内容的分析。</w:t>
            </w:r>
          </w:p>
          <w:p w14:paraId="421510C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（二）平台－学生端</w:t>
            </w:r>
          </w:p>
          <w:p w14:paraId="1E690C9E">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1.平台支持账号密码登录、手机验证码登录、微信扫码登录等多种认证方式；支持密码找回功能；用户登录后可进入个人中心查看和修改个人信息、修改密码。</w:t>
            </w:r>
          </w:p>
          <w:p w14:paraId="30769620">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2.支持接收并查看课堂互动消息与通知公告，消息列表按时间倒序排列，支持标记已读/未读。</w:t>
            </w:r>
          </w:p>
          <w:p w14:paraId="413AC2F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3.支持手动输入班级码加入班级，进行课程学习及退出课程。</w:t>
            </w:r>
          </w:p>
          <w:p w14:paraId="02321180">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4.平台自动记录课堂活动内容，记录学生动态学习日志。</w:t>
            </w:r>
          </w:p>
          <w:p w14:paraId="12AFFD1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5.可查看各类学习任务，包含课件、测验、教案、资料、视频、作业、讨论、活动等。</w:t>
            </w:r>
          </w:p>
          <w:p w14:paraId="0AB7CBA4">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6.可按作业状态查看学生作业，包含未开始、进行中、已结束，可对作业进行作答、上传操作，并支持查看批改结果。</w:t>
            </w:r>
          </w:p>
          <w:p w14:paraId="0403FA2A">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7.支持查看话题讨论，点击详情参加话题讨论，并可发布讨论内容。</w:t>
            </w:r>
          </w:p>
          <w:p w14:paraId="3D8F531F">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8.支持展示知识图谱，支持查看知识点详情，并学习知识点相关内容，查看资源及错题。</w:t>
            </w:r>
          </w:p>
          <w:p w14:paraId="6B704DB2">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9.学生账号享有云盘存储空间。</w:t>
            </w:r>
          </w:p>
          <w:p w14:paraId="29CBEBE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10.支持学生在学习过程中创建课堂笔记，笔记可按课程维度组织查看；支持笔记详情查看、笔记卡片浏览和笔记删除管理。笔记与学习进度关联，辅助学生追踪个人学习历程</w:t>
            </w:r>
          </w:p>
          <w:p w14:paraId="58CCF762">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11.支持拍照答疑、批改作业、拍照翻译、英语作文、口语练习、错题本、文生图、智能PPT等功能</w:t>
            </w:r>
          </w:p>
          <w:p w14:paraId="232148C3">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12.支持查看课程数据概览、累计报名人数排行榜、累计互动次数排行榜、课程访问量排行、院系课程资源排行等数据。</w:t>
            </w:r>
          </w:p>
          <w:p w14:paraId="7E5C886C">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（三）教师电脑客户端</w:t>
            </w:r>
          </w:p>
          <w:p w14:paraId="3300A0A2">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1.支持接收并查看平台推送的课堂互动消息与通知公告，消息列表按时间倒序排列，支持标记已读/未读。</w:t>
            </w:r>
          </w:p>
          <w:p w14:paraId="0FAC6DAC">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2.支持同步平台已创建的课程列表，展示课程名称、上课班级、开课学期及学生人数。</w:t>
            </w:r>
          </w:p>
          <w:p w14:paraId="18A7073C">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3.支持在屏幕内容上进行批注标注。提供不少于两种笔型（如铅笔、荧光笔等），笔迹粗细可调。支持不少于五种标准颜色及自定义颜色选取。批注内容支持分享、保存及退出操作。</w:t>
            </w:r>
          </w:p>
          <w:p w14:paraId="192C1803">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4.提供完整的白板书写功能，支持不少于两种笔型，粗细可调，支持不少于五种标准颜色及自定义颜色。</w:t>
            </w:r>
          </w:p>
          <w:p w14:paraId="64BCEC5A">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5.提供放大镜、计时器、形状绘制、截图、分屏等不少于六种辅助小工具。支持新增白板页面，并支持将白板内容导出为PDF格式文件。</w:t>
            </w:r>
          </w:p>
          <w:p w14:paraId="68053219">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6.查看当前课程的章节结构，以及各章节下关联的课件、资料、作业、课堂活动等内容，便于按教学进度快捷调取教学资源。</w:t>
            </w:r>
          </w:p>
          <w:p w14:paraId="68011B14">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7.支持不少于十一种辅助教学工具，包括录屏、截图、计时器、放大镜、思维导图、窗口切换、展台、投票、关闭设备、设置、创建直播等，全方位辅助课堂教学。</w:t>
            </w:r>
          </w:p>
          <w:p w14:paraId="26DE3365">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8.教师账号享有云盘存储空间，空间大小可按需配置。</w:t>
            </w:r>
          </w:p>
          <w:p w14:paraId="43606A3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9.文件分享支持扫码分享和链接分享两种方式，链接分享可设置加密密码，分享有效期支持1天、7天、30天及永久，保障资料分享的安全性。</w:t>
            </w:r>
          </w:p>
          <w:p w14:paraId="7D8DBAB2">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10.提供AI精准学功能，配置智能体广场入口，集成不少于八种智能应用，包括拍照答疑、批改作业、拍照翻译、英语作文批改、口语练习、错题本、文生图、智能PPT等，辅助教学全过程。</w:t>
            </w:r>
          </w:p>
          <w:p w14:paraId="54FCB237">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11.作业可按状态（未开始/进行中/已结束）、班级、学科等多维度筛选查看。</w:t>
            </w:r>
          </w:p>
          <w:p w14:paraId="13D36F68">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支持手动添加和上传作业两种新建方式，手动添加作业支持单选题、多选题、判断题、填空题、简答题、从题库选择、智能导入等不少于七种出题方式。支持选择是否开启AI批改，并能设置有效时段、发送时间及公布答案方式。支持便捷添加作业内容描述及附件，同样支持AI批改开关设置，以及有效时段、发送时间、公布答案方式的配置。</w:t>
            </w:r>
          </w:p>
          <w:p w14:paraId="222101A8">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（四）教师APP</w:t>
            </w:r>
          </w:p>
          <w:p w14:paraId="6C8D8644">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支持用户注册，为了保障用户安全，需绑定手机号获取验证码注册。支持自定义用户名称和密码，密码支持字母和数字自由组合。注册成功后需后台审批通过才能使用。新用户注册需绑定学校，以获取完整功能体验。</w:t>
            </w:r>
          </w:p>
          <w:p w14:paraId="77E0FBD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2.登录：支持手机号、账号或短信验证3种登录方式，密码忘记可通过手机号找回。支持多端登录，同一账号可同时登录平台端、客户端、APP端。</w:t>
            </w:r>
          </w:p>
          <w:p w14:paraId="2FF816E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3.投屏功能：支持投屏到小组、投屏到学生端、投至大屏；其中小组投屏可选择投至任意单屏或多屏，支持一键全选。投屏过程中可自由使用画笔、批注、截图等功能。</w:t>
            </w:r>
          </w:p>
          <w:p w14:paraId="1026532C">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批注功能：开启批注后可在移动端界面上进行批注操作，可更换笔迹颜色，书写内容与大屏轨迹保持一致，书写中大屏画面也可进行相同的书写操作，书写处于最上层。移动端支持将批注内容一键分享给学生端，同时将内容同步到班级空间。</w:t>
            </w:r>
          </w:p>
          <w:p w14:paraId="05B14244">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5.画板功能：具有电子白板功能，支持任意书写、擦除、还原、撤销；具有放大镜、计时器、形状、截图、分屏、网页等功能，支持无限添加书写版面，支持画面漫游功能。</w:t>
            </w:r>
          </w:p>
          <w:p w14:paraId="77AA391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6.课程章节：教师可浏览课程整体章节目录，选定章节即可开启授课。</w:t>
            </w:r>
          </w:p>
          <w:p w14:paraId="4A6671F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7.作业管理：支持通过移动端管理班级作业，包括布置作业、批改作业、查阅作业和删除作业。</w:t>
            </w:r>
          </w:p>
          <w:p w14:paraId="6B792C1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布置作业：支持在移动端布置班级作业，支持手动添加作业、上传作业、智能导入作业和选择题库。支持单选题、判断题、简答题、填空题等多种题型，支持设置每题的得分、正确答案和解析。支持图片、附件、语音、拍照等内容作为题干，满足个性化作业。</w:t>
            </w:r>
          </w:p>
          <w:p w14:paraId="6EDBE6E7">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9.上传作业：支持自定义作业名称、作业内容，支持上传附件、上传解析；支持自由选择发送班级、有效时段和答案公布方式；支持实时发送和定时发送两种方式。</w:t>
            </w:r>
          </w:p>
          <w:p w14:paraId="173E41AE">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10.批改作业：支持在移动端批改作业，可按人批阅或按题批阅。按人批阅时，可查看章节测验名称、所属班级、已交人数、待批阅人数等信息。</w:t>
            </w:r>
          </w:p>
          <w:p w14:paraId="2AE2137A">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11.AI批改作业：简答题、主观题支持AI批改作业，开启AI阅卷后，在批阅界面自动显示AI批阅内容和试卷总结，老师可自由编辑AI生成的内容。</w:t>
            </w:r>
          </w:p>
          <w:p w14:paraId="71483F3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12.班级管理：支持在APP移动端管理班级，支持增、删、改、查班级信息。支持在班级界面设置学习小组，并管理每个小组的学生。</w:t>
            </w:r>
          </w:p>
          <w:p w14:paraId="535BD0B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13.云盘管理：支持在APP移动端管理个人云盘，支持上传、下载、分享、删除个人空间的内容。云盘空间满足多个文件管理，包括：图片、视频、音频、PDF文件、word文件、Excel文件、PPT文件等。</w:t>
            </w:r>
          </w:p>
          <w:p w14:paraId="00F31B24">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班级空间管理：班级空间显示课堂中生成、分享和保存的文件（批注、截图等），学生可在此进行查看、转存、下载文件。教师可以下载、删除、编辑课堂中生成的文件，便于学生查找关键知识点。教师端可以管理多个班级。</w:t>
            </w:r>
          </w:p>
          <w:p w14:paraId="6049014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课堂日志：支持在移动端查看、管理教师的课堂报告，报告内容包括：课程名称、日期、上课时间、学生签到情况、下发的资料、上传的文件、分组研讨内容、学生提问、课堂评价、课中答题等内容。方便教师实时回顾课中情况。</w:t>
            </w:r>
          </w:p>
          <w:p w14:paraId="56529BE9">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16.AI精准学：支持在APP移动端调用AI智能体，可自由使用：AI问答、AI批改作业、AI文生图、智能PPT等功能。</w:t>
            </w:r>
          </w:p>
          <w:p w14:paraId="461E1A5D">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（1）AI问答：基于AI大模型自由实现学习知识的AI答疑，有效屏蔽广告等不健康内容，为教师提供一个绿色健康的教学答疑环境。</w:t>
            </w:r>
          </w:p>
          <w:p w14:paraId="55D99668">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（2）AI批改作业：基于AI大模型辅助教师批改学生作业，提供AI解析过程，为教师批改作业减轻负担。</w:t>
            </w:r>
          </w:p>
          <w:p w14:paraId="02210416">
            <w:pPr>
              <w:widowControl/>
              <w:shd w:val="clea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（3）AI文生图：基于AI大模型辅助教师完善课件，输入一段文字后自动图片，内容贴合文字语境。</w:t>
            </w:r>
          </w:p>
          <w:p w14:paraId="6850A86F">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宋体" w:hAnsi="宋体" w:eastAsia="宋体" w:cs="宋体"/>
                <w:color w:val="auto"/>
                <w:kern w:val="0"/>
                <w:szCs w:val="21"/>
                <w:highlight w:val="none"/>
              </w:rPr>
              <w:t>（4）智能PPT：基于教学大纲自动生成配套课件PPT，包含封面页、目录页、内容页和总结页。生成的PPT支持在线预览和下载，教师可根据实际需求进行二次编辑。</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（二）配套音箱</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一、音箱硬件：</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1、终端采用单体机型双声道曲面式设计，LED 数字动态屏显示，根据上课实际互动场景，可扩展不少于两个麦克风同时使用，一根 USB线可实现播放声音、录制声音、控制音效、PPT 翻页等功能无需繁琐布线，对频成功有中文语音提示。</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★2、实现智慧黑板、大屏一体机、投影等模式多媒体教学设备软硬件 AI 语音控制，可控制开机上课、关机下课；控制音箱显示状态显示时间、显示音量，控制多媒体音量支持 0-100 音量百分比调节等；控制大屏打开关闭白板、展台等授课软件；控制打开/关闭录播，开始/停止录音；控制语文、数学、英语及常用课件打开及关闭、课件播放及翻页等功能；控制打开及关闭人工智能软件，接入人工智能应用，支持与 AI 人工智能软件通话打开及关闭等功能。</w:t>
            </w:r>
            <w:r>
              <w:rPr>
                <w:rFonts w:hint="eastAsia" w:ascii="新宋体" w:hAnsi="新宋体" w:eastAsia="新宋体" w:cs="新宋体"/>
                <w:i w:val="0"/>
                <w:iCs w:val="0"/>
                <w:color w:val="auto"/>
                <w:sz w:val="21"/>
                <w:szCs w:val="21"/>
                <w:highlight w:val="none"/>
                <w:u w:val="none"/>
                <w:lang w:eastAsia="zh-CN"/>
              </w:rPr>
              <w:t>（</w:t>
            </w:r>
            <w:r>
              <w:rPr>
                <w:rFonts w:hint="eastAsia" w:ascii="新宋体" w:hAnsi="新宋体" w:eastAsia="新宋体" w:cs="新宋体"/>
                <w:i w:val="0"/>
                <w:iCs w:val="0"/>
                <w:color w:val="auto"/>
                <w:sz w:val="21"/>
                <w:szCs w:val="21"/>
                <w:highlight w:val="none"/>
                <w:u w:val="none"/>
              </w:rPr>
              <w:t>须提供相应证明材料包括但不限于第三方有权机构出具的带有CMA或CNAS标识的检测报告或官网和功能截图或产品白皮书等)</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3、 3 路校园广播输入；2 路音频输入接口；1 路音频输出接口、1路 6.5 毫米话筒输入接口；2 路 USB 接口；1 路 RS232 接口。</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4、具有 LED 时钟显示屏，可显示时钟，具有显示开关、功能切换、时间设置、频道设置、音量调节、高音低调节、混响调节不少于 12个电容按键。</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5、 内置蓝牙接收模块，蓝牙支持密码模式，连接成功有中文语音提示。</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6、 6 个单元设计，双低音≥4 寸，高音≥2 寸。</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7、 阵列式喇叭均衡扩声，100 平方以内教室各学生座位测量点的稳态声压级最大值与最小值差值范围为 3dB 之内，距离音箱 15 米处声压级达到 78dB。</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8、 配置独立音频数字信号处理芯片，支持啸叫抑制功能。</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二、软件功能：</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1、软件支持调制降噪、均衡、音箱机身音量音效锁定、高音、低音、混响、广播音量、喇叭音量、提示音量及话筒频道调节。</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2、软件支持密码管理登录模式，防止师生误操作，密码登录后可解锁音箱机身触摸按键，可通过软件调制音量、均衡、频道、显示窗口等麦克风和音箱参数。</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3、软件支持 AI 语音控制指令编辑、写入、保存功能，具备 AI 静音及 AI 禁用功能，具备还原配置及串口设置功能，按教师行为逻辑设计，穿戴指令拾音器为入口，开启 AI 语音控制多媒体软硬件操作，无网络状态下，可控制开机上课、关机下课；控制音箱显示状态、显示时间、倒计时、显示音量、无显示；控制大屏打开关闭白板、展台、微信、钉钉、浏览器、豆包、投屏或多屏互动等授课软件；控制切换视频信号通道、切换笔记本、安卓、电脑等。</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AI 指令麦克风：</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1、采用可拆卸模块化穿戴式设计方案，可一体化设计呈现领夹式、耳戴式、挂脖式；采用胸挂配件时，使用时上下调节阻力绳达到最佳拾音效果，屏幕显示问候语、对频方式、充电、发射信号、电池电量、音量大小等工作状态。</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2、支持 2.4G 近距离双向配对，记忆配对，智能红外对码，可实现与对码时间≤1.5S，对频信号距离 3 阶可调；与接收器无遮挡时有效通信距离≥20 米，发射功率距离 3 阶可调；具备定时关机功能， 0-95 分钟可调，具备 AI 语音控制指令发射功能，老师无需多媒体软硬件操作，AI 语音控制多媒体。</w:t>
            </w:r>
            <w:r>
              <w:rPr>
                <w:rFonts w:hint="eastAsia" w:ascii="新宋体" w:hAnsi="新宋体" w:eastAsia="新宋体" w:cs="新宋体"/>
                <w:color w:val="auto"/>
                <w:szCs w:val="21"/>
                <w:highlight w:val="none"/>
                <w:u w:val="none"/>
                <w:lang w:val="en-US" w:eastAsia="zh-CN" w:bidi="ar"/>
              </w:rPr>
              <w:br w:type="textWrapping"/>
            </w:r>
            <w:r>
              <w:rPr>
                <w:rFonts w:hint="eastAsia" w:ascii="新宋体" w:hAnsi="新宋体" w:eastAsia="新宋体" w:cs="新宋体"/>
                <w:color w:val="auto"/>
                <w:szCs w:val="21"/>
                <w:highlight w:val="none"/>
                <w:u w:val="none"/>
                <w:lang w:val="en-US" w:eastAsia="zh-CN" w:bidi="ar"/>
              </w:rPr>
              <w:t>3、采用锂电池供电，USB 与磁吸 2 种快速充电，充电 10 分钟，实现≥70 分钟续航。支持选配充电仓，采用可充电式锂电池，充电仓可将两支充满电 2 次以上，有 4 阶电量显示，带激光笔功能。</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4A43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077A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05F71">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46F3E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5DB5917">
            <w:pPr>
              <w:keepNext w:val="0"/>
              <w:keepLines w:val="0"/>
              <w:widowControl/>
              <w:suppressLineNumbers w:val="0"/>
              <w:shd w:val="clear"/>
              <w:jc w:val="left"/>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四、讲台设备</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54198">
            <w:pPr>
              <w:keepNext w:val="0"/>
              <w:keepLines w:val="0"/>
              <w:widowControl/>
              <w:suppressLineNumbers w:val="0"/>
              <w:shd w:val="clear"/>
              <w:jc w:val="left"/>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7EDDD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0F6D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24</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47224">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多媒体讲台</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7CD40">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1、尺寸</w:t>
            </w:r>
            <w:r>
              <w:rPr>
                <w:rFonts w:hint="eastAsia" w:ascii="新宋体" w:hAnsi="新宋体" w:eastAsia="新宋体" w:cs="新宋体"/>
                <w:i w:val="0"/>
                <w:iCs w:val="0"/>
                <w:color w:val="auto"/>
                <w:kern w:val="0"/>
                <w:sz w:val="21"/>
                <w:szCs w:val="21"/>
                <w:highlight w:val="none"/>
                <w:u w:val="none"/>
                <w:lang w:val="en-US" w:eastAsia="zh-CN" w:bidi="ar"/>
              </w:rPr>
              <w:t>(长*宽*高)</w:t>
            </w:r>
            <w:r>
              <w:rPr>
                <w:rFonts w:hint="eastAsia" w:ascii="新宋体" w:hAnsi="新宋体" w:eastAsia="新宋体" w:cs="新宋体"/>
                <w:i w:val="0"/>
                <w:iCs w:val="0"/>
                <w:color w:val="auto"/>
                <w:sz w:val="21"/>
                <w:szCs w:val="21"/>
                <w:highlight w:val="none"/>
                <w:u w:val="none"/>
              </w:rPr>
              <w:t>：</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sz w:val="21"/>
                <w:szCs w:val="21"/>
                <w:highlight w:val="none"/>
                <w:u w:val="none"/>
              </w:rPr>
              <w:t>1100mm×7</w:t>
            </w:r>
            <w:r>
              <w:rPr>
                <w:rFonts w:hint="eastAsia" w:ascii="新宋体" w:hAnsi="新宋体" w:eastAsia="新宋体" w:cs="新宋体"/>
                <w:i w:val="0"/>
                <w:iCs w:val="0"/>
                <w:color w:val="auto"/>
                <w:sz w:val="21"/>
                <w:szCs w:val="21"/>
                <w:highlight w:val="none"/>
                <w:u w:val="none"/>
                <w:lang w:val="en-US" w:eastAsia="zh-CN"/>
              </w:rPr>
              <w:t>0</w:t>
            </w:r>
            <w:r>
              <w:rPr>
                <w:rFonts w:hint="eastAsia" w:ascii="新宋体" w:hAnsi="新宋体" w:eastAsia="新宋体" w:cs="新宋体"/>
                <w:i w:val="0"/>
                <w:iCs w:val="0"/>
                <w:color w:val="auto"/>
                <w:sz w:val="21"/>
                <w:szCs w:val="21"/>
                <w:highlight w:val="none"/>
                <w:u w:val="none"/>
              </w:rPr>
              <w:t>0mm×10</w:t>
            </w:r>
            <w:r>
              <w:rPr>
                <w:rFonts w:hint="eastAsia" w:ascii="新宋体" w:hAnsi="新宋体" w:eastAsia="新宋体" w:cs="新宋体"/>
                <w:i w:val="0"/>
                <w:iCs w:val="0"/>
                <w:color w:val="auto"/>
                <w:sz w:val="21"/>
                <w:szCs w:val="21"/>
                <w:highlight w:val="none"/>
                <w:u w:val="none"/>
                <w:lang w:val="en-US" w:eastAsia="zh-CN"/>
              </w:rPr>
              <w:t>0</w:t>
            </w:r>
            <w:r>
              <w:rPr>
                <w:rFonts w:hint="eastAsia" w:ascii="新宋体" w:hAnsi="新宋体" w:eastAsia="新宋体" w:cs="新宋体"/>
                <w:i w:val="0"/>
                <w:iCs w:val="0"/>
                <w:color w:val="auto"/>
                <w:sz w:val="21"/>
                <w:szCs w:val="21"/>
                <w:highlight w:val="none"/>
                <w:u w:val="none"/>
              </w:rPr>
              <w:t>0</w:t>
            </w:r>
            <w:r>
              <w:rPr>
                <w:rFonts w:hint="eastAsia" w:ascii="新宋体" w:hAnsi="新宋体" w:eastAsia="新宋体" w:cs="新宋体"/>
                <w:i w:val="0"/>
                <w:iCs w:val="0"/>
                <w:color w:val="auto"/>
                <w:sz w:val="21"/>
                <w:szCs w:val="21"/>
                <w:highlight w:val="none"/>
                <w:u w:val="none"/>
                <w:lang w:val="en-US" w:eastAsia="zh-CN"/>
              </w:rPr>
              <w:t>mm</w:t>
            </w:r>
            <w:r>
              <w:rPr>
                <w:rFonts w:hint="eastAsia" w:ascii="新宋体" w:hAnsi="新宋体" w:eastAsia="新宋体" w:cs="新宋体"/>
                <w:i w:val="0"/>
                <w:iCs w:val="0"/>
                <w:color w:val="auto"/>
                <w:sz w:val="21"/>
                <w:szCs w:val="21"/>
                <w:highlight w:val="none"/>
                <w:u w:val="none"/>
              </w:rPr>
              <w:t>；</w:t>
            </w:r>
          </w:p>
          <w:p w14:paraId="6247832E">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2、钢板部分全部采用</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sz w:val="21"/>
                <w:szCs w:val="21"/>
                <w:highlight w:val="none"/>
                <w:u w:val="none"/>
              </w:rPr>
              <w:t>1.0mm冷轧钢板材质，表面采用酸洗、磷化、及静电喷塑等处理。</w:t>
            </w:r>
          </w:p>
          <w:p w14:paraId="63D5640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3、上下拆分式结构设计，整体外观造型呈“T字型”。</w:t>
            </w:r>
          </w:p>
          <w:p w14:paraId="40882D99">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 xml:space="preserve">4、钢木结合一体成型，扶手以及桌面为耐刮木面板，桌面采用耐划木质材料，扶手为实木，Ｌ型橡木装饰板，隐藏式设计可容纳键盘、鼠标、控制面板。 </w:t>
            </w:r>
          </w:p>
          <w:p w14:paraId="6357B84A">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5、讲台显示器</w:t>
            </w:r>
            <w:r>
              <w:rPr>
                <w:rFonts w:hint="eastAsia" w:ascii="新宋体" w:hAnsi="新宋体" w:eastAsia="新宋体" w:cs="新宋体"/>
                <w:i w:val="0"/>
                <w:iCs w:val="0"/>
                <w:color w:val="auto"/>
                <w:sz w:val="21"/>
                <w:szCs w:val="21"/>
                <w:highlight w:val="none"/>
                <w:u w:val="none"/>
                <w:lang w:val="en-US" w:eastAsia="zh-CN"/>
              </w:rPr>
              <w:t>可</w:t>
            </w:r>
            <w:r>
              <w:rPr>
                <w:rFonts w:hint="eastAsia" w:ascii="新宋体" w:hAnsi="新宋体" w:eastAsia="新宋体" w:cs="新宋体"/>
                <w:i w:val="0"/>
                <w:iCs w:val="0"/>
                <w:color w:val="auto"/>
                <w:sz w:val="21"/>
                <w:szCs w:val="21"/>
                <w:highlight w:val="none"/>
                <w:u w:val="none"/>
              </w:rPr>
              <w:t>翻转打开，键盘翻转开启可固定键盘，中控等设备放置键盘下方。讲台</w:t>
            </w:r>
            <w:r>
              <w:rPr>
                <w:rFonts w:hint="eastAsia" w:ascii="新宋体" w:hAnsi="新宋体" w:eastAsia="新宋体" w:cs="新宋体"/>
                <w:i w:val="0"/>
                <w:iCs w:val="0"/>
                <w:color w:val="auto"/>
                <w:sz w:val="21"/>
                <w:szCs w:val="21"/>
                <w:highlight w:val="none"/>
                <w:u w:val="none"/>
                <w:lang w:val="en-US" w:eastAsia="zh-CN"/>
              </w:rPr>
              <w:t>应具</w:t>
            </w:r>
            <w:r>
              <w:rPr>
                <w:rFonts w:hint="eastAsia" w:ascii="新宋体" w:hAnsi="新宋体" w:eastAsia="新宋体" w:cs="新宋体"/>
                <w:i w:val="0"/>
                <w:iCs w:val="0"/>
                <w:color w:val="auto"/>
                <w:sz w:val="21"/>
                <w:szCs w:val="21"/>
                <w:highlight w:val="none"/>
                <w:u w:val="none"/>
              </w:rPr>
              <w:t>有移门导轨抽拉式抽屉，用于放置实物展示台。</w:t>
            </w:r>
          </w:p>
          <w:p w14:paraId="1FE772B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6、讲台上柜可放设备：中控、实物展示台、键盘、鼠标、显示器等教学设备；下柜可放置电脑主机、DVD、功放等电教设备，带有安全锁。</w:t>
            </w:r>
          </w:p>
          <w:p w14:paraId="1AB72F2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rPr>
              <w:t>7、讲台关闭时所有设备不外露，必须借助钥匙才能进行操作。</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55BC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9E089">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FFFF6">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65B54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06B3CA5">
            <w:pPr>
              <w:keepNext w:val="0"/>
              <w:keepLines w:val="0"/>
              <w:widowControl/>
              <w:suppressLineNumbers w:val="0"/>
              <w:shd w:val="clear"/>
              <w:jc w:val="left"/>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五、桌椅</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DCA59">
            <w:pPr>
              <w:keepNext w:val="0"/>
              <w:keepLines w:val="0"/>
              <w:widowControl/>
              <w:suppressLineNumbers w:val="0"/>
              <w:shd w:val="clear"/>
              <w:jc w:val="left"/>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1A083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950F9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25</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01CCE">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电脑学生桌椅（双人）</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1BEE6">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1、尺寸(长*宽*高)</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1400mm*600mm*750mm；</w:t>
            </w:r>
          </w:p>
          <w:p w14:paraId="374C1DE3">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2、材料：桌面面板采用</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25mm厚度的三聚氰胺刨花板。主体钢制结构，侧框采用</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25mm*50mm*1.0mm厚方钢，中间镶嵌走线槽，走线槽为冷轧钢板制作，预留有插座位置。横杆采用</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30mm*30mm*1.0厚方钢，后背板采用冷扎钢板。表面经酸洗磷化、静电喷涂处理；</w:t>
            </w:r>
          </w:p>
          <w:p w14:paraId="2B254E20">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3、所用钢管需符合：耐霉菌性等级（黑曲霉）达0级，抗细菌率（金黄色葡萄球菌）≥99%，金属喷漆（塑）涂层附着力达1级、硬度≥5H、冲击强度无剥落、裂纹、皱纹，金属喷漆（塑）涂层理化性能（耐腐蚀≥500h乙酸盐雾试验ASS）等级≥10级。</w:t>
            </w:r>
          </w:p>
          <w:p w14:paraId="60C73BAF">
            <w:pPr>
              <w:keepNext w:val="0"/>
              <w:keepLines w:val="0"/>
              <w:widowControl/>
              <w:suppressLineNumbers w:val="0"/>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4、桌面下方设有主机隐藏箱，机箱配有散热网孔，带有安全锁，台面前方具有两个直径</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50mm的进线孔。</w:t>
            </w:r>
          </w:p>
          <w:p w14:paraId="52B511F3">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5、钢木方凳，尺寸规格(长*宽*高）：</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340*240*440MM，凳腿部件材质为喷塑钢架</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25*25*1.0MM，配尼龙方管塞。</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664F6">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220CB">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28</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18991">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692D8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746C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26</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1BF74">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实训学生桌椅（五人）</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E7ED4">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1、规格：</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sz w:val="21"/>
                <w:szCs w:val="21"/>
                <w:highlight w:val="none"/>
                <w:u w:val="none"/>
              </w:rPr>
              <w:t>2000*900*750mm；</w:t>
            </w:r>
          </w:p>
          <w:p w14:paraId="679ECDA2">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2、桌面采用厚度为25mm 的三聚氰胺板。</w:t>
            </w:r>
          </w:p>
          <w:p w14:paraId="7A2124A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lang w:eastAsia="zh-CN"/>
              </w:rPr>
            </w:pPr>
            <w:r>
              <w:rPr>
                <w:rFonts w:hint="eastAsia" w:ascii="新宋体" w:hAnsi="新宋体" w:eastAsia="新宋体" w:cs="新宋体"/>
                <w:i w:val="0"/>
                <w:iCs w:val="0"/>
                <w:color w:val="auto"/>
                <w:sz w:val="21"/>
                <w:szCs w:val="21"/>
                <w:highlight w:val="none"/>
                <w:u w:val="none"/>
                <w:lang w:val="en-US" w:eastAsia="zh-CN"/>
              </w:rPr>
              <w:t>3</w:t>
            </w:r>
            <w:r>
              <w:rPr>
                <w:rFonts w:hint="eastAsia" w:ascii="新宋体" w:hAnsi="新宋体" w:eastAsia="新宋体" w:cs="新宋体"/>
                <w:i w:val="0"/>
                <w:iCs w:val="0"/>
                <w:color w:val="auto"/>
                <w:sz w:val="21"/>
                <w:szCs w:val="21"/>
                <w:highlight w:val="none"/>
                <w:u w:val="none"/>
              </w:rPr>
              <w:t>、</w:t>
            </w:r>
            <w:r>
              <w:rPr>
                <w:rFonts w:hint="eastAsia" w:ascii="新宋体" w:hAnsi="新宋体" w:eastAsia="新宋体" w:cs="新宋体"/>
                <w:i w:val="0"/>
                <w:iCs w:val="0"/>
                <w:color w:val="auto"/>
                <w:sz w:val="21"/>
                <w:szCs w:val="21"/>
                <w:highlight w:val="none"/>
                <w:u w:val="none"/>
                <w:lang w:val="en-US" w:eastAsia="zh-CN"/>
              </w:rPr>
              <w:t>所用桌面需符合</w:t>
            </w:r>
            <w:r>
              <w:rPr>
                <w:rFonts w:hint="eastAsia" w:ascii="新宋体" w:hAnsi="新宋体" w:eastAsia="新宋体" w:cs="新宋体"/>
                <w:i w:val="0"/>
                <w:iCs w:val="0"/>
                <w:color w:val="auto"/>
                <w:sz w:val="21"/>
                <w:szCs w:val="21"/>
                <w:highlight w:val="none"/>
                <w:u w:val="none"/>
              </w:rPr>
              <w:t>：抑菌率(金黄色葡萄球菌、大肠杆菌、 肺炎克雷伯氏菌、鼠伤寒沙门氏菌、铜绿假单胞菌)≥99％；有害物质苯、甲苯、二甲苯、TVOC、可迁移元素未检出，甲醛释放量≤0.05mg/m³。</w:t>
            </w:r>
          </w:p>
          <w:p w14:paraId="1BF23486">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lang w:val="en-US" w:eastAsia="zh-CN"/>
              </w:rPr>
              <w:t>4</w:t>
            </w:r>
            <w:r>
              <w:rPr>
                <w:rFonts w:hint="eastAsia" w:ascii="新宋体" w:hAnsi="新宋体" w:eastAsia="新宋体" w:cs="新宋体"/>
                <w:i w:val="0"/>
                <w:iCs w:val="0"/>
                <w:color w:val="auto"/>
                <w:sz w:val="21"/>
                <w:szCs w:val="21"/>
                <w:highlight w:val="none"/>
                <w:u w:val="none"/>
              </w:rPr>
              <w:t>、桌架</w:t>
            </w:r>
            <w:r>
              <w:rPr>
                <w:rFonts w:hint="eastAsia" w:ascii="新宋体" w:hAnsi="新宋体" w:eastAsia="新宋体" w:cs="新宋体"/>
                <w:i w:val="0"/>
                <w:iCs w:val="0"/>
                <w:color w:val="auto"/>
                <w:sz w:val="21"/>
                <w:szCs w:val="21"/>
                <w:highlight w:val="none"/>
                <w:u w:val="none"/>
                <w:lang w:val="en-US" w:eastAsia="zh-CN"/>
              </w:rPr>
              <w:t>采用≥</w:t>
            </w:r>
            <w:r>
              <w:rPr>
                <w:rFonts w:hint="eastAsia" w:ascii="新宋体" w:hAnsi="新宋体" w:eastAsia="新宋体" w:cs="新宋体"/>
                <w:i w:val="0"/>
                <w:iCs w:val="0"/>
                <w:color w:val="auto"/>
                <w:sz w:val="21"/>
                <w:szCs w:val="21"/>
                <w:highlight w:val="none"/>
                <w:u w:val="none"/>
              </w:rPr>
              <w:t>30mm*40mm*1.0mm厚方钢，横梁</w:t>
            </w:r>
            <w:r>
              <w:rPr>
                <w:rFonts w:hint="eastAsia" w:ascii="新宋体" w:hAnsi="新宋体" w:eastAsia="新宋体" w:cs="新宋体"/>
                <w:i w:val="0"/>
                <w:iCs w:val="0"/>
                <w:color w:val="auto"/>
                <w:sz w:val="21"/>
                <w:szCs w:val="21"/>
                <w:highlight w:val="none"/>
                <w:u w:val="none"/>
                <w:lang w:val="en-US" w:eastAsia="zh-CN"/>
              </w:rPr>
              <w:t>采用≥</w:t>
            </w:r>
            <w:r>
              <w:rPr>
                <w:rFonts w:hint="eastAsia" w:ascii="新宋体" w:hAnsi="新宋体" w:eastAsia="新宋体" w:cs="新宋体"/>
                <w:i w:val="0"/>
                <w:iCs w:val="0"/>
                <w:color w:val="auto"/>
                <w:sz w:val="21"/>
                <w:szCs w:val="21"/>
                <w:highlight w:val="none"/>
                <w:u w:val="none"/>
              </w:rPr>
              <w:t>30mm*30mm*1.0mm厚方钢。其余</w:t>
            </w:r>
            <w:r>
              <w:rPr>
                <w:rFonts w:hint="eastAsia" w:ascii="新宋体" w:hAnsi="新宋体" w:eastAsia="新宋体" w:cs="新宋体"/>
                <w:i w:val="0"/>
                <w:iCs w:val="0"/>
                <w:color w:val="auto"/>
                <w:sz w:val="21"/>
                <w:szCs w:val="21"/>
                <w:highlight w:val="none"/>
                <w:u w:val="none"/>
                <w:lang w:val="en-US" w:eastAsia="zh-CN"/>
              </w:rPr>
              <w:t>为</w:t>
            </w:r>
            <w:r>
              <w:rPr>
                <w:rFonts w:hint="eastAsia" w:ascii="新宋体" w:hAnsi="新宋体" w:eastAsia="新宋体" w:cs="新宋体"/>
                <w:i w:val="0"/>
                <w:iCs w:val="0"/>
                <w:color w:val="auto"/>
                <w:sz w:val="21"/>
                <w:szCs w:val="21"/>
                <w:highlight w:val="none"/>
                <w:u w:val="none"/>
              </w:rPr>
              <w:t>冷轧钢板，钢板厚度</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sz w:val="21"/>
                <w:szCs w:val="21"/>
                <w:highlight w:val="none"/>
                <w:u w:val="none"/>
              </w:rPr>
              <w:t>1.0mm，表面经脱脂除锈，酸洗、磷化、静电喷涂。</w:t>
            </w:r>
          </w:p>
          <w:p w14:paraId="2554548B">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5、钢木方凳，尺寸规格(长*宽*高）：</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340*240*440MM，凳腿部件材质为喷塑钢架</w:t>
            </w:r>
            <w:r>
              <w:rPr>
                <w:rFonts w:hint="eastAsia" w:ascii="新宋体" w:hAnsi="新宋体" w:eastAsia="新宋体" w:cs="新宋体"/>
                <w:i w:val="0"/>
                <w:iCs w:val="0"/>
                <w:color w:val="auto"/>
                <w:sz w:val="21"/>
                <w:szCs w:val="21"/>
                <w:highlight w:val="none"/>
                <w:u w:val="none"/>
                <w:lang w:val="en-US" w:eastAsia="zh-CN"/>
              </w:rPr>
              <w:t>≥</w:t>
            </w:r>
            <w:r>
              <w:rPr>
                <w:rFonts w:hint="eastAsia" w:ascii="新宋体" w:hAnsi="新宋体" w:eastAsia="新宋体" w:cs="新宋体"/>
                <w:i w:val="0"/>
                <w:iCs w:val="0"/>
                <w:color w:val="auto"/>
                <w:kern w:val="0"/>
                <w:sz w:val="21"/>
                <w:szCs w:val="21"/>
                <w:highlight w:val="none"/>
                <w:u w:val="none"/>
                <w:lang w:val="en-US" w:eastAsia="zh-CN" w:bidi="ar"/>
              </w:rPr>
              <w:t>25*25*1.0MM，配尼龙方管塞。</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E55D2">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34D61">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3</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2D120">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5BB83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9C00F0">
            <w:pPr>
              <w:keepNext w:val="0"/>
              <w:keepLines w:val="0"/>
              <w:widowControl/>
              <w:suppressLineNumbers w:val="0"/>
              <w:shd w:val="clear"/>
              <w:jc w:val="left"/>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六、服务器机柜</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83315">
            <w:pPr>
              <w:keepNext w:val="0"/>
              <w:keepLines w:val="0"/>
              <w:widowControl/>
              <w:suppressLineNumbers w:val="0"/>
              <w:shd w:val="clear"/>
              <w:jc w:val="left"/>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35786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ADA58">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27</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8DAE2">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服务器机柜</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D6514">
            <w:pPr>
              <w:widowControl/>
              <w:numPr>
                <w:ilvl w:val="0"/>
                <w:numId w:val="0"/>
              </w:numPr>
              <w:shd w:val="clear"/>
              <w:jc w:val="left"/>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一、机柜主体规格要求：</w:t>
            </w:r>
          </w:p>
          <w:p w14:paraId="0B0660E1">
            <w:pPr>
              <w:widowControl/>
              <w:numPr>
                <w:ilvl w:val="0"/>
                <w:numId w:val="0"/>
              </w:numPr>
              <w:shd w:val="clear"/>
              <w:jc w:val="left"/>
              <w:textAlignment w:val="center"/>
              <w:rPr>
                <w:rFonts w:hint="default" w:ascii="宋体" w:hAnsi="宋体" w:eastAsia="宋体" w:cs="宋体"/>
                <w:b/>
                <w:bCs/>
                <w:color w:val="auto"/>
                <w:kern w:val="2"/>
                <w:sz w:val="21"/>
                <w:szCs w:val="21"/>
                <w:highlight w:val="none"/>
                <w:lang w:val="en-US" w:eastAsia="zh-CN" w:bidi="ar-SA"/>
              </w:rPr>
            </w:pPr>
            <w:r>
              <w:rPr>
                <w:rFonts w:hint="eastAsia" w:ascii="新宋体" w:hAnsi="新宋体" w:eastAsia="新宋体" w:cs="新宋体"/>
                <w:i w:val="0"/>
                <w:iCs w:val="0"/>
                <w:color w:val="auto"/>
                <w:kern w:val="0"/>
                <w:sz w:val="21"/>
                <w:szCs w:val="21"/>
                <w:highlight w:val="none"/>
                <w:u w:val="none"/>
                <w:lang w:val="en-US" w:eastAsia="zh-CN" w:bidi="ar"/>
              </w:rPr>
              <w:t>1、尺寸:高度</w:t>
            </w:r>
            <w:r>
              <w:rPr>
                <w:rFonts w:hint="eastAsia" w:ascii="新宋体" w:hAnsi="新宋体" w:eastAsia="新宋体" w:cs="新宋体"/>
                <w:i w:val="0"/>
                <w:iCs w:val="0"/>
                <w:color w:val="auto"/>
                <w:kern w:val="2"/>
                <w:sz w:val="21"/>
                <w:szCs w:val="21"/>
                <w:highlight w:val="none"/>
                <w:u w:val="none"/>
                <w:lang w:val="en-US" w:eastAsia="zh-CN" w:bidi="ar-SA"/>
              </w:rPr>
              <w:t>≥</w:t>
            </w:r>
            <w:r>
              <w:rPr>
                <w:rFonts w:hint="eastAsia" w:ascii="新宋体" w:hAnsi="新宋体" w:eastAsia="新宋体" w:cs="新宋体"/>
                <w:i w:val="0"/>
                <w:iCs w:val="0"/>
                <w:color w:val="auto"/>
                <w:kern w:val="0"/>
                <w:sz w:val="21"/>
                <w:szCs w:val="21"/>
                <w:highlight w:val="none"/>
                <w:u w:val="none"/>
                <w:lang w:val="en-US" w:eastAsia="zh-CN" w:bidi="ar"/>
              </w:rPr>
              <w:t>2000mm，深度</w:t>
            </w:r>
            <w:r>
              <w:rPr>
                <w:rFonts w:hint="eastAsia" w:ascii="新宋体" w:hAnsi="新宋体" w:eastAsia="新宋体" w:cs="新宋体"/>
                <w:i w:val="0"/>
                <w:iCs w:val="0"/>
                <w:color w:val="auto"/>
                <w:kern w:val="2"/>
                <w:sz w:val="21"/>
                <w:szCs w:val="21"/>
                <w:highlight w:val="none"/>
                <w:u w:val="none"/>
                <w:lang w:val="en-US" w:eastAsia="zh-CN" w:bidi="ar-SA"/>
              </w:rPr>
              <w:t>≥</w:t>
            </w:r>
            <w:r>
              <w:rPr>
                <w:rFonts w:hint="eastAsia" w:ascii="新宋体" w:hAnsi="新宋体" w:eastAsia="新宋体" w:cs="新宋体"/>
                <w:i w:val="0"/>
                <w:iCs w:val="0"/>
                <w:color w:val="auto"/>
                <w:kern w:val="0"/>
                <w:sz w:val="21"/>
                <w:szCs w:val="21"/>
                <w:highlight w:val="none"/>
                <w:u w:val="none"/>
                <w:lang w:val="en-US" w:eastAsia="zh-CN" w:bidi="ar"/>
              </w:rPr>
              <w:t>1200mm，宽度</w:t>
            </w:r>
            <w:r>
              <w:rPr>
                <w:rFonts w:hint="eastAsia" w:ascii="新宋体" w:hAnsi="新宋体" w:eastAsia="新宋体" w:cs="新宋体"/>
                <w:i w:val="0"/>
                <w:iCs w:val="0"/>
                <w:color w:val="auto"/>
                <w:kern w:val="2"/>
                <w:sz w:val="21"/>
                <w:szCs w:val="21"/>
                <w:highlight w:val="none"/>
                <w:u w:val="none"/>
                <w:lang w:val="en-US" w:eastAsia="zh-CN" w:bidi="ar-SA"/>
              </w:rPr>
              <w:t>≥</w:t>
            </w:r>
            <w:r>
              <w:rPr>
                <w:rFonts w:hint="eastAsia" w:ascii="新宋体" w:hAnsi="新宋体" w:eastAsia="新宋体" w:cs="新宋体"/>
                <w:i w:val="0"/>
                <w:iCs w:val="0"/>
                <w:color w:val="auto"/>
                <w:kern w:val="0"/>
                <w:sz w:val="21"/>
                <w:szCs w:val="21"/>
                <w:highlight w:val="none"/>
                <w:u w:val="none"/>
                <w:lang w:val="en-US" w:eastAsia="zh-CN" w:bidi="ar"/>
              </w:rPr>
              <w:t>600mm，1U高度45.45mm,节点最小调节单元1U,最大可支持</w:t>
            </w:r>
            <w:r>
              <w:rPr>
                <w:rFonts w:hint="eastAsia" w:ascii="新宋体" w:hAnsi="新宋体" w:eastAsia="新宋体" w:cs="新宋体"/>
                <w:i w:val="0"/>
                <w:iCs w:val="0"/>
                <w:color w:val="auto"/>
                <w:kern w:val="2"/>
                <w:sz w:val="21"/>
                <w:szCs w:val="21"/>
                <w:highlight w:val="none"/>
                <w:u w:val="none"/>
                <w:lang w:val="en-US" w:eastAsia="zh-CN" w:bidi="ar-SA"/>
              </w:rPr>
              <w:t>≥</w:t>
            </w:r>
            <w:r>
              <w:rPr>
                <w:rFonts w:hint="eastAsia" w:ascii="新宋体" w:hAnsi="新宋体" w:eastAsia="新宋体" w:cs="新宋体"/>
                <w:i w:val="0"/>
                <w:iCs w:val="0"/>
                <w:color w:val="auto"/>
                <w:kern w:val="0"/>
                <w:sz w:val="21"/>
                <w:szCs w:val="21"/>
                <w:highlight w:val="none"/>
                <w:u w:val="none"/>
                <w:lang w:val="en-US" w:eastAsia="zh-CN" w:bidi="ar"/>
              </w:rPr>
              <w:t>42U,前后立柱距离</w:t>
            </w:r>
            <w:r>
              <w:rPr>
                <w:rFonts w:hint="eastAsia" w:ascii="新宋体" w:hAnsi="新宋体" w:eastAsia="新宋体" w:cs="新宋体"/>
                <w:i w:val="0"/>
                <w:iCs w:val="0"/>
                <w:color w:val="auto"/>
                <w:kern w:val="2"/>
                <w:sz w:val="21"/>
                <w:szCs w:val="21"/>
                <w:highlight w:val="none"/>
                <w:u w:val="none"/>
                <w:lang w:val="en-US" w:eastAsia="zh-CN" w:bidi="ar-SA"/>
              </w:rPr>
              <w:t>≥</w:t>
            </w:r>
            <w:r>
              <w:rPr>
                <w:rFonts w:hint="eastAsia" w:ascii="新宋体" w:hAnsi="新宋体" w:eastAsia="新宋体" w:cs="新宋体"/>
                <w:i w:val="0"/>
                <w:iCs w:val="0"/>
                <w:color w:val="auto"/>
                <w:kern w:val="0"/>
                <w:sz w:val="21"/>
                <w:szCs w:val="21"/>
                <w:highlight w:val="none"/>
                <w:u w:val="none"/>
                <w:lang w:val="en-US" w:eastAsia="zh-CN" w:bidi="ar"/>
              </w:rPr>
              <w:t>800mm，支持滚轮移动，水平调整和上下高度调整；</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2、机柜采用细砂纹黑色，机柜表面喷涂喷粉厚度应不小于60μm。</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3、前后网孔门，前后门配置机械锁。</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二、智能安全保护系统规格要求：</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2"/>
                <w:sz w:val="21"/>
                <w:szCs w:val="21"/>
                <w:highlight w:val="none"/>
                <w:lang w:val="en-US" w:eastAsia="zh-CN" w:bidi="ar-SA"/>
              </w:rPr>
              <w:t>1、要求为软硬件一体机</w:t>
            </w:r>
            <w:r>
              <w:rPr>
                <w:rFonts w:hint="eastAsia" w:ascii="宋体" w:hAnsi="宋体" w:eastAsia="宋体" w:cs="宋体"/>
                <w:color w:val="auto"/>
                <w:kern w:val="0"/>
                <w:sz w:val="21"/>
                <w:szCs w:val="21"/>
                <w:highlight w:val="none"/>
                <w:lang w:val="en-US" w:eastAsia="zh-CN" w:bidi="ar"/>
              </w:rPr>
              <w:t>≤1.5U，双电源，</w:t>
            </w:r>
            <w:r>
              <w:rPr>
                <w:rFonts w:hint="eastAsia" w:ascii="宋体" w:hAnsi="宋体" w:eastAsia="宋体" w:cs="宋体"/>
                <w:color w:val="auto"/>
                <w:kern w:val="2"/>
                <w:sz w:val="21"/>
                <w:szCs w:val="21"/>
                <w:highlight w:val="none"/>
                <w:lang w:val="en-US" w:eastAsia="zh-CN" w:bidi="ar-SA"/>
              </w:rPr>
              <w:t>内置显示屏，标配</w:t>
            </w:r>
            <w:r>
              <w:rPr>
                <w:rFonts w:hint="eastAsia" w:ascii="宋体" w:hAnsi="宋体" w:eastAsia="宋体" w:cs="宋体"/>
                <w:color w:val="auto"/>
                <w:kern w:val="0"/>
                <w:sz w:val="21"/>
                <w:szCs w:val="21"/>
                <w:highlight w:val="none"/>
                <w:lang w:val="en-US" w:eastAsia="zh-CN" w:bidi="ar"/>
              </w:rPr>
              <w:t>RS485接口≥6</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、网络防雷接口</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、漏电监测接口≥6</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、接地通路接口</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、RS232串口≥1</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、HDMI接口≥1</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、USB接口≥2</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、电源输出接口</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2"/>
                <w:sz w:val="21"/>
                <w:szCs w:val="21"/>
                <w:highlight w:val="none"/>
                <w:lang w:val="en-US" w:eastAsia="zh-CN" w:bidi="ar-SA"/>
              </w:rPr>
              <w:t>路</w:t>
            </w:r>
            <w:r>
              <w:rPr>
                <w:rFonts w:hint="eastAsia" w:ascii="宋体" w:hAnsi="宋体" w:eastAsia="宋体" w:cs="宋体"/>
                <w:color w:val="auto"/>
                <w:kern w:val="0"/>
                <w:sz w:val="21"/>
                <w:szCs w:val="21"/>
                <w:highlight w:val="none"/>
                <w:lang w:val="en-US" w:eastAsia="zh-CN" w:bidi="ar"/>
              </w:rPr>
              <w:t>16A国标五孔插座，通讯接口包含RJ45、WIFI、4G；</w:t>
            </w:r>
          </w:p>
          <w:p w14:paraId="51D4DBC7">
            <w:pPr>
              <w:widowControl/>
              <w:numPr>
                <w:ilvl w:val="0"/>
                <w:numId w:val="0"/>
              </w:numPr>
              <w:shd w:val="clear"/>
              <w:jc w:val="left"/>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SA"/>
              </w:rPr>
              <w:t>2、具有电涌保</w:t>
            </w:r>
            <w:r>
              <w:rPr>
                <w:rFonts w:hint="eastAsia" w:ascii="宋体" w:hAnsi="宋体" w:eastAsia="宋体" w:cs="宋体"/>
                <w:color w:val="auto"/>
                <w:kern w:val="0"/>
                <w:sz w:val="21"/>
                <w:szCs w:val="21"/>
                <w:highlight w:val="none"/>
                <w:lang w:val="en-US" w:eastAsia="zh-CN" w:bidi="ar"/>
              </w:rPr>
              <w:t>护功能，支持网络和电源系统防雷击防浪涌；</w:t>
            </w:r>
          </w:p>
          <w:p w14:paraId="0AFDA827">
            <w:pPr>
              <w:widowControl/>
              <w:numPr>
                <w:ilvl w:val="0"/>
                <w:numId w:val="0"/>
              </w:numPr>
              <w:shd w:val="clear"/>
              <w:jc w:val="left"/>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2"/>
                <w:sz w:val="21"/>
                <w:szCs w:val="21"/>
                <w:highlight w:val="none"/>
                <w:lang w:val="en-US" w:eastAsia="zh-CN" w:bidi="ar-SA"/>
              </w:rPr>
              <w:t>产品符合GB/T 18802.21-2016</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SA"/>
              </w:rPr>
              <w:t>低压电涌保护器 第21部分:电信和信号网络的电涌保护器(SPD)性能要求和试验方法》：</w:t>
            </w:r>
            <w:r>
              <w:rPr>
                <w:rFonts w:hint="default" w:ascii="宋体" w:hAnsi="宋体" w:eastAsia="宋体" w:cs="宋体"/>
                <w:color w:val="auto"/>
                <w:kern w:val="0"/>
                <w:sz w:val="21"/>
                <w:szCs w:val="21"/>
                <w:highlight w:val="none"/>
                <w:lang w:val="en-US" w:eastAsia="zh-CN" w:bidi="ar"/>
              </w:rPr>
              <w:t>冲击耐受能力(1.2/50</w:t>
            </w:r>
            <w:r>
              <w:rPr>
                <w:rFonts w:hint="default" w:ascii="宋体" w:hAnsi="宋体" w:eastAsia="宋体" w:cs="宋体"/>
                <w:color w:val="auto"/>
                <w:kern w:val="2"/>
                <w:sz w:val="21"/>
                <w:szCs w:val="21"/>
                <w:highlight w:val="none"/>
                <w:lang w:val="en-US" w:eastAsia="zh-CN" w:bidi="ar-SA"/>
              </w:rPr>
              <w:t>μs</w:t>
            </w:r>
            <w:r>
              <w:rPr>
                <w:rFonts w:hint="default" w:ascii="宋体" w:hAnsi="宋体" w:eastAsia="宋体" w:cs="宋体"/>
                <w:color w:val="auto"/>
                <w:kern w:val="0"/>
                <w:sz w:val="21"/>
                <w:szCs w:val="21"/>
                <w:highlight w:val="none"/>
                <w:lang w:val="en-US" w:eastAsia="zh-CN" w:bidi="ar"/>
              </w:rPr>
              <w:t>-8/20</w:t>
            </w:r>
            <w:r>
              <w:rPr>
                <w:rFonts w:hint="default" w:ascii="宋体" w:hAnsi="宋体" w:eastAsia="宋体" w:cs="宋体"/>
                <w:color w:val="auto"/>
                <w:kern w:val="2"/>
                <w:sz w:val="21"/>
                <w:szCs w:val="21"/>
                <w:highlight w:val="none"/>
                <w:lang w:val="en-US" w:eastAsia="zh-CN" w:bidi="ar-SA"/>
              </w:rPr>
              <w:t>μs</w:t>
            </w:r>
            <w:r>
              <w:rPr>
                <w:rFonts w:hint="default"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SA"/>
              </w:rPr>
              <w:t>≥</w:t>
            </w:r>
            <w:r>
              <w:rPr>
                <w:rFonts w:hint="default" w:ascii="宋体" w:hAnsi="宋体" w:eastAsia="宋体" w:cs="宋体"/>
                <w:color w:val="auto"/>
                <w:kern w:val="0"/>
                <w:sz w:val="21"/>
                <w:szCs w:val="21"/>
                <w:highlight w:val="none"/>
                <w:lang w:val="en-US" w:eastAsia="zh-CN" w:bidi="ar"/>
              </w:rPr>
              <w:t>10kV/5kA</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SA"/>
              </w:rPr>
              <w:t>产品符合GB/T 18802.11-2020《低压电涌保护器(SPD)第11部分:低压电源系统的电涌保护器性能要求和试验方法》：</w:t>
            </w:r>
            <w:r>
              <w:rPr>
                <w:rFonts w:hint="default" w:ascii="宋体" w:hAnsi="宋体" w:eastAsia="宋体" w:cs="宋体"/>
                <w:color w:val="auto"/>
                <w:kern w:val="2"/>
                <w:sz w:val="21"/>
                <w:szCs w:val="21"/>
                <w:highlight w:val="none"/>
                <w:lang w:val="en-US" w:eastAsia="zh-CN" w:bidi="ar-SA"/>
              </w:rPr>
              <w:t>标称放电电流In(8/20μs)</w:t>
            </w:r>
            <w:r>
              <w:rPr>
                <w:rFonts w:hint="eastAsia" w:ascii="宋体" w:hAnsi="宋体" w:eastAsia="宋体" w:cs="宋体"/>
                <w:color w:val="auto"/>
                <w:kern w:val="2"/>
                <w:sz w:val="21"/>
                <w:szCs w:val="21"/>
                <w:highlight w:val="none"/>
                <w:lang w:val="en-US" w:eastAsia="zh-CN" w:bidi="ar-SA"/>
              </w:rPr>
              <w:t>≥20kA，</w:t>
            </w:r>
            <w:r>
              <w:rPr>
                <w:rFonts w:hint="eastAsia" w:ascii="宋体" w:hAnsi="宋体" w:eastAsia="宋体" w:cs="宋体"/>
                <w:color w:val="auto"/>
                <w:kern w:val="0"/>
                <w:sz w:val="21"/>
                <w:szCs w:val="21"/>
                <w:highlight w:val="none"/>
                <w:lang w:val="en-US" w:eastAsia="zh-CN" w:bidi="ar"/>
              </w:rPr>
              <w:t>最大放电电流Imax(8/20μs)</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
              </w:rPr>
              <w:t>40kA，电压保护水平Up≤1.6kV</w:t>
            </w:r>
            <w:r>
              <w:rPr>
                <w:rFonts w:hint="eastAsia" w:ascii="宋体" w:hAnsi="宋体" w:eastAsia="宋体" w:cs="宋体"/>
                <w:color w:val="auto"/>
                <w:kern w:val="2"/>
                <w:sz w:val="21"/>
                <w:szCs w:val="21"/>
                <w:highlight w:val="none"/>
                <w:lang w:val="en-US" w:eastAsia="zh-CN" w:bidi="ar-SA"/>
              </w:rPr>
              <w:t>；</w:t>
            </w:r>
          </w:p>
          <w:p w14:paraId="3C890BDE">
            <w:pPr>
              <w:widowControl/>
              <w:numPr>
                <w:ilvl w:val="0"/>
                <w:numId w:val="0"/>
              </w:numPr>
              <w:shd w:val="clear"/>
              <w:jc w:val="left"/>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内置触控显示屏≥2.8英寸，可显示监测状态、设备信息和告警信息等，屏显内容包含：防雷器状态、雷击浪涌次数、防雷器温度、防雷器寿命、接地通断、漏电流、温度、湿度、水浸、烟雾、告警信息、安装单位、联系人、联系电话；</w:t>
            </w:r>
          </w:p>
          <w:p w14:paraId="7CBC17BE">
            <w:pPr>
              <w:widowControl/>
              <w:numPr>
                <w:ilvl w:val="0"/>
                <w:numId w:val="0"/>
              </w:numPr>
              <w:shd w:val="clear"/>
              <w:jc w:val="left"/>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5、支持监测指标实时查询、数据分析、</w:t>
            </w:r>
            <w:r>
              <w:rPr>
                <w:rFonts w:hint="eastAsia" w:ascii="宋体" w:hAnsi="宋体" w:eastAsia="宋体" w:cs="宋体"/>
                <w:b w:val="0"/>
                <w:bCs w:val="0"/>
                <w:color w:val="auto"/>
                <w:kern w:val="0"/>
                <w:sz w:val="21"/>
                <w:szCs w:val="21"/>
                <w:highlight w:val="none"/>
                <w:lang w:val="en-US" w:eastAsia="zh-CN" w:bidi="ar"/>
              </w:rPr>
              <w:t>视频监控、</w:t>
            </w:r>
            <w:r>
              <w:rPr>
                <w:rFonts w:hint="eastAsia" w:ascii="宋体" w:hAnsi="宋体" w:eastAsia="宋体" w:cs="宋体"/>
                <w:color w:val="auto"/>
                <w:kern w:val="0"/>
                <w:sz w:val="21"/>
                <w:szCs w:val="21"/>
                <w:highlight w:val="none"/>
                <w:lang w:val="en-US" w:eastAsia="zh-CN" w:bidi="ar"/>
              </w:rPr>
              <w:t>设备管理、告警阈值管理、触发器管理、工单管理、多级用户权限管理</w:t>
            </w:r>
            <w:r>
              <w:rPr>
                <w:rFonts w:hint="eastAsia" w:ascii="宋体" w:hAnsi="宋体" w:eastAsia="宋体" w:cs="宋体"/>
                <w:color w:val="auto"/>
                <w:kern w:val="2"/>
                <w:sz w:val="21"/>
                <w:szCs w:val="21"/>
                <w:highlight w:val="none"/>
                <w:lang w:val="en-US" w:eastAsia="zh-CN" w:bidi="ar-SA"/>
              </w:rPr>
              <w:t>；</w:t>
            </w:r>
          </w:p>
          <w:p w14:paraId="0CCF5E1D">
            <w:pPr>
              <w:widowControl/>
              <w:numPr>
                <w:ilvl w:val="0"/>
                <w:numId w:val="0"/>
              </w:numPr>
              <w:shd w:val="clear"/>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6、网络防雷接口</w:t>
            </w:r>
            <w:r>
              <w:rPr>
                <w:rFonts w:hint="eastAsia" w:ascii="宋体" w:hAnsi="宋体" w:eastAsia="宋体" w:cs="宋体"/>
                <w:color w:val="auto"/>
                <w:kern w:val="2"/>
                <w:sz w:val="21"/>
                <w:szCs w:val="21"/>
                <w:highlight w:val="none"/>
                <w:lang w:val="en-US" w:eastAsia="zh-CN" w:bidi="ar"/>
              </w:rPr>
              <w:t>支持POE供电，可为监控摄像头远程供电，管理平台</w:t>
            </w:r>
            <w:r>
              <w:rPr>
                <w:rFonts w:hint="eastAsia" w:ascii="宋体" w:hAnsi="宋体" w:eastAsia="宋体" w:cs="宋体"/>
                <w:b w:val="0"/>
                <w:bCs w:val="0"/>
                <w:color w:val="auto"/>
                <w:kern w:val="2"/>
                <w:sz w:val="21"/>
                <w:szCs w:val="21"/>
                <w:highlight w:val="none"/>
                <w:lang w:val="en-US" w:eastAsia="zh-CN" w:bidi="ar"/>
              </w:rPr>
              <w:t>可实时查看监控画面</w:t>
            </w:r>
            <w:r>
              <w:rPr>
                <w:rFonts w:hint="eastAsia" w:ascii="宋体" w:hAnsi="宋体" w:eastAsia="宋体" w:cs="宋体"/>
                <w:color w:val="auto"/>
                <w:kern w:val="2"/>
                <w:sz w:val="21"/>
                <w:szCs w:val="21"/>
                <w:highlight w:val="none"/>
                <w:lang w:val="en-US" w:eastAsia="zh-CN" w:bidi="ar-SA"/>
              </w:rPr>
              <w:t>，支持对视频流的网络传输进行优化整形，降低网络传输引发的视频卡顿风险</w:t>
            </w:r>
            <w:r>
              <w:rPr>
                <w:rFonts w:hint="eastAsia" w:ascii="宋体" w:hAnsi="宋体" w:eastAsia="宋体" w:cs="Times New Roman"/>
                <w:color w:val="auto"/>
                <w:kern w:val="2"/>
                <w:sz w:val="21"/>
                <w:szCs w:val="21"/>
                <w:highlight w:val="none"/>
                <w:lang w:val="en-US" w:eastAsia="zh-CN" w:bidi="ar-SA"/>
              </w:rPr>
              <w:t>；</w:t>
            </w:r>
          </w:p>
          <w:p w14:paraId="0F815734">
            <w:pPr>
              <w:widowControl/>
              <w:numPr>
                <w:ilvl w:val="0"/>
                <w:numId w:val="0"/>
              </w:numPr>
              <w:shd w:val="clear"/>
              <w:jc w:val="left"/>
              <w:textAlignment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kern w:val="0"/>
                <w:sz w:val="21"/>
                <w:szCs w:val="21"/>
                <w:highlight w:val="none"/>
                <w:lang w:val="en-US" w:eastAsia="zh-CN" w:bidi="ar"/>
              </w:rPr>
              <w:t>运维方式支持</w:t>
            </w:r>
            <w:r>
              <w:rPr>
                <w:rFonts w:hint="eastAsia" w:ascii="宋体" w:hAnsi="宋体" w:eastAsia="宋体" w:cs="宋体"/>
                <w:color w:val="auto"/>
                <w:kern w:val="2"/>
                <w:sz w:val="21"/>
                <w:szCs w:val="21"/>
                <w:highlight w:val="none"/>
                <w:lang w:val="en-US" w:eastAsia="zh-CN" w:bidi="ar-SA"/>
              </w:rPr>
              <w:t>管理平台</w:t>
            </w:r>
            <w:r>
              <w:rPr>
                <w:rFonts w:hint="eastAsia" w:ascii="宋体" w:hAnsi="宋体" w:eastAsia="宋体" w:cs="宋体"/>
                <w:color w:val="auto"/>
                <w:kern w:val="0"/>
                <w:sz w:val="21"/>
                <w:szCs w:val="21"/>
                <w:highlight w:val="none"/>
                <w:lang w:val="en-US" w:eastAsia="zh-CN" w:bidi="ar"/>
              </w:rPr>
              <w:t>查询、故障报修、管理派发工单；</w:t>
            </w:r>
          </w:p>
          <w:p w14:paraId="72516F07">
            <w:pPr>
              <w:widowControl/>
              <w:numPr>
                <w:ilvl w:val="0"/>
                <w:numId w:val="0"/>
              </w:numPr>
              <w:shd w:val="clear"/>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SA"/>
              </w:rPr>
              <w:t>8、支持设备漏电监测，当漏电监测接口所连接设备的漏电流≤25mA时就可触发报警；</w:t>
            </w:r>
          </w:p>
          <w:p w14:paraId="2470C959">
            <w:pPr>
              <w:widowControl/>
              <w:numPr>
                <w:ilvl w:val="0"/>
                <w:numId w:val="0"/>
              </w:numPr>
              <w:shd w:val="clear"/>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9、双电源支持自动切换，AB路电源切换延时≤10</w:t>
            </w:r>
            <w:r>
              <w:rPr>
                <w:rFonts w:hint="eastAsia" w:ascii="宋体" w:hAnsi="宋体" w:eastAsia="宋体" w:cs="宋体"/>
                <w:color w:val="auto"/>
                <w:kern w:val="2"/>
                <w:sz w:val="21"/>
                <w:szCs w:val="21"/>
                <w:highlight w:val="none"/>
                <w:lang w:val="en-US" w:eastAsia="zh-CN" w:bidi="ar-SA"/>
              </w:rPr>
              <w:t>ms，切换时输出端负载不重启不断电；</w:t>
            </w:r>
          </w:p>
          <w:p w14:paraId="72C7E793">
            <w:pPr>
              <w:widowControl/>
              <w:numPr>
                <w:ilvl w:val="0"/>
                <w:numId w:val="0"/>
              </w:numPr>
              <w:shd w:val="clear"/>
              <w:jc w:val="left"/>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kern w:val="0"/>
                <w:sz w:val="21"/>
                <w:szCs w:val="21"/>
                <w:highlight w:val="none"/>
                <w:lang w:val="en-US" w:eastAsia="zh-CN" w:bidi="ar"/>
              </w:rPr>
              <w:t>RS485接口支持接入第三方温湿度、烟感、水浸等传感器，支持RJ45网口和RS232串口两种方式远程控制；</w:t>
            </w:r>
          </w:p>
          <w:p w14:paraId="1598CE29">
            <w:pPr>
              <w:widowControl/>
              <w:numPr>
                <w:ilvl w:val="0"/>
                <w:numId w:val="0"/>
              </w:numPr>
              <w:shd w:val="clear"/>
              <w:jc w:val="left"/>
              <w:textAlignment w:val="center"/>
              <w:rPr>
                <w:rFonts w:hint="eastAsia" w:ascii="新宋体" w:hAnsi="新宋体" w:eastAsia="新宋体" w:cs="新宋体"/>
                <w:i w:val="0"/>
                <w:iCs w:val="0"/>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kern w:val="0"/>
                <w:sz w:val="21"/>
                <w:szCs w:val="21"/>
                <w:highlight w:val="none"/>
                <w:lang w:val="en-US" w:eastAsia="zh-CN" w:bidi="ar"/>
              </w:rPr>
              <w:t>电源输入AC220，</w:t>
            </w:r>
            <w:r>
              <w:rPr>
                <w:rFonts w:hint="eastAsia" w:ascii="宋体" w:hAnsi="宋体" w:eastAsia="宋体" w:cs="宋体"/>
                <w:color w:val="auto"/>
                <w:kern w:val="2"/>
                <w:sz w:val="21"/>
                <w:szCs w:val="21"/>
                <w:highlight w:val="none"/>
                <w:lang w:val="en-US" w:eastAsia="zh-CN" w:bidi="ar-SA"/>
              </w:rPr>
              <w:t>额定电流≥32A，额定功率≥7000W；</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FB5D4">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A92DF">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CC896">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p>
        </w:tc>
      </w:tr>
      <w:tr w14:paraId="5AC7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500" w:hRule="atLeast"/>
        </w:trPr>
        <w:tc>
          <w:tcPr>
            <w:tcW w:w="445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A24A83">
            <w:pPr>
              <w:keepNext w:val="0"/>
              <w:keepLines w:val="0"/>
              <w:widowControl/>
              <w:suppressLineNumbers w:val="0"/>
              <w:shd w:val="clear"/>
              <w:jc w:val="left"/>
              <w:textAlignment w:val="center"/>
              <w:rPr>
                <w:rFonts w:hint="eastAsia" w:ascii="新宋体" w:hAnsi="新宋体" w:eastAsia="新宋体" w:cs="新宋体"/>
                <w:b/>
                <w:bCs/>
                <w:i w:val="0"/>
                <w:iCs w:val="0"/>
                <w:color w:val="auto"/>
                <w:sz w:val="21"/>
                <w:szCs w:val="21"/>
                <w:highlight w:val="none"/>
                <w:u w:val="none"/>
              </w:rPr>
            </w:pPr>
            <w:r>
              <w:rPr>
                <w:rFonts w:hint="eastAsia" w:ascii="新宋体" w:hAnsi="新宋体" w:eastAsia="新宋体" w:cs="新宋体"/>
                <w:b/>
                <w:bCs/>
                <w:i w:val="0"/>
                <w:iCs w:val="0"/>
                <w:color w:val="auto"/>
                <w:kern w:val="0"/>
                <w:sz w:val="21"/>
                <w:szCs w:val="21"/>
                <w:highlight w:val="none"/>
                <w:u w:val="none"/>
                <w:lang w:val="en-US" w:eastAsia="zh-CN" w:bidi="ar"/>
              </w:rPr>
              <w:t>七、具身智能机器人</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51D0E">
            <w:pPr>
              <w:keepNext w:val="0"/>
              <w:keepLines w:val="0"/>
              <w:widowControl/>
              <w:suppressLineNumbers w:val="0"/>
              <w:shd w:val="clear"/>
              <w:jc w:val="left"/>
              <w:textAlignment w:val="center"/>
              <w:rPr>
                <w:rFonts w:hint="eastAsia" w:ascii="新宋体" w:hAnsi="新宋体" w:eastAsia="新宋体" w:cs="新宋体"/>
                <w:b/>
                <w:bCs/>
                <w:i w:val="0"/>
                <w:iCs w:val="0"/>
                <w:color w:val="auto"/>
                <w:kern w:val="0"/>
                <w:sz w:val="21"/>
                <w:szCs w:val="21"/>
                <w:highlight w:val="none"/>
                <w:u w:val="none"/>
                <w:lang w:val="en-US" w:eastAsia="zh-CN" w:bidi="ar"/>
              </w:rPr>
            </w:pPr>
          </w:p>
        </w:tc>
      </w:tr>
      <w:tr w14:paraId="3EFC8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480" w:hRule="atLeast"/>
        </w:trPr>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22803">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28</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2746C">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具身智能机器人</w:t>
            </w:r>
            <w:r>
              <w:rPr>
                <w:rFonts w:hint="eastAsia" w:ascii="新宋体" w:hAnsi="新宋体" w:eastAsia="新宋体" w:cs="新宋体"/>
                <w:i w:val="0"/>
                <w:iCs w:val="0"/>
                <w:color w:val="auto"/>
                <w:kern w:val="0"/>
                <w:sz w:val="21"/>
                <w:szCs w:val="21"/>
                <w:highlight w:val="none"/>
                <w:u w:val="none"/>
                <w:lang w:val="en-US" w:eastAsia="zh-CN" w:bidi="ar"/>
              </w:rPr>
              <w:br w:type="textWrapping"/>
            </w:r>
            <w:r>
              <w:rPr>
                <w:rFonts w:hint="eastAsia" w:ascii="新宋体" w:hAnsi="新宋体" w:eastAsia="新宋体" w:cs="新宋体"/>
                <w:i w:val="0"/>
                <w:iCs w:val="0"/>
                <w:color w:val="auto"/>
                <w:kern w:val="0"/>
                <w:sz w:val="21"/>
                <w:szCs w:val="21"/>
                <w:highlight w:val="none"/>
                <w:u w:val="none"/>
                <w:lang w:val="en-US" w:eastAsia="zh-CN" w:bidi="ar"/>
              </w:rPr>
              <w:t>（人形）</w:t>
            </w:r>
          </w:p>
        </w:tc>
        <w:tc>
          <w:tcPr>
            <w:tcW w:w="29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0D6DF">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★1、体型参数：身高≥1.60m；体重≥50kg；主体结构材质：铝合金、钢材；手臂臂长≥750mm。</w:t>
            </w:r>
          </w:p>
          <w:p w14:paraId="1EAC00F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2、行走速度：能够实现全向行走，速度≥2 km/h。</w:t>
            </w:r>
          </w:p>
          <w:p w14:paraId="0E52C18B">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3、核心技术：支持算法：全向行走步态算法、状态估计算法、运动控制算法、全身力控算法、抗扰动态平衡控制算法、视觉识别算法。</w:t>
            </w:r>
          </w:p>
          <w:p w14:paraId="6251CB1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4、支持双臂精细操作二次开发、支持动力学仿真。</w:t>
            </w:r>
          </w:p>
          <w:p w14:paraId="6C9F2C1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5、自由度：≥30个自由度。其中：颈关节≥2*1；肩关节≥3*2；肘关节≥1*2；髋关节≥3*2；膝关节≥1*2；踝关节≥2*2；腕关节≥3*2；夹爪≥1*2。(提供结构图并标注关节位置)</w:t>
            </w:r>
          </w:p>
          <w:p w14:paraId="57F65E5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6、关节通讯协议：EtherCAT总线通讯，控制速率：不低于2KHz；</w:t>
            </w:r>
          </w:p>
          <w:p w14:paraId="3A1C4BA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7、本体最大关节扭矩不低于350Nm。</w:t>
            </w:r>
          </w:p>
          <w:p w14:paraId="375B8A71">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8、单臂负载：不低于5kg 。</w:t>
            </w:r>
          </w:p>
          <w:p w14:paraId="22F538D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9、IMU参数</w:t>
            </w:r>
          </w:p>
          <w:p w14:paraId="76E02F9E">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1）精度：俯仰/横滚方向≤0.2度，航向角漂移≤0.2度</w:t>
            </w:r>
          </w:p>
          <w:p w14:paraId="13C76CB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2）陀螺仪:满量程≥2000度/秒；零偏不稳定性≤2.5°/h；</w:t>
            </w:r>
          </w:p>
          <w:p w14:paraId="1D7D45C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3）加速度传感器：满量程≥12g；零偏不稳定性：≤30ug；</w:t>
            </w:r>
          </w:p>
          <w:p w14:paraId="067E845F">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4）机械性能：工作温度-40 到 85 摄氏度。</w:t>
            </w:r>
          </w:p>
          <w:p w14:paraId="1B631006">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5）接口 / IO：加速度输出频率≥1000Hz。</w:t>
            </w:r>
          </w:p>
          <w:p w14:paraId="0A7B8BE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10、视觉传感器：立体视觉相机，当景深/红外每秒60帧时，分辨率≥1280×720；RGB（红绿蓝）每秒30帧时，分辨率≥1080P；支持物体识别、定位和追踪。</w:t>
            </w:r>
          </w:p>
          <w:p w14:paraId="7AFAD46F">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11、激光雷达：mid-360参数</w:t>
            </w:r>
          </w:p>
          <w:p w14:paraId="594F8417">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1）扫描模式：双模式：重复扫描与非重复扫描；</w:t>
            </w:r>
          </w:p>
          <w:p w14:paraId="3A3462D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2）量程（@100klx）：40m@10%反射率，70m@80%反射率；</w:t>
            </w:r>
          </w:p>
          <w:p w14:paraId="0FA3181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3）近处盲区：0.1m；</w:t>
            </w:r>
          </w:p>
          <w:p w14:paraId="6245532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4）视场角（H X V）：360° X 59°；</w:t>
            </w:r>
          </w:p>
          <w:p w14:paraId="2856B34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5）测距随机误差（@1δ）：≤2cm（@10m），≤3cm（@0.2m）；</w:t>
            </w:r>
          </w:p>
          <w:p w14:paraId="66286CD9">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6）角度随机误差（@1δ）：＜0.15°；</w:t>
            </w:r>
          </w:p>
          <w:p w14:paraId="77C6614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7）光束发散度：典型值：0.1° x 1°；</w:t>
            </w:r>
          </w:p>
          <w:p w14:paraId="13CC47E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8）点云输出：~200，000点/秒；</w:t>
            </w:r>
          </w:p>
          <w:p w14:paraId="4B948FF9">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9）点云帧率：10Hz；</w:t>
            </w:r>
          </w:p>
          <w:p w14:paraId="548B5252">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10）数据接口：100Mbps以太网接口；</w:t>
            </w:r>
          </w:p>
          <w:p w14:paraId="391B1EDF">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11）供电电压范围：9~27V DC；</w:t>
            </w:r>
          </w:p>
          <w:p w14:paraId="1576B4B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12）功率：额定功率≤6.5W，启动功率≤18W；</w:t>
            </w:r>
          </w:p>
          <w:p w14:paraId="4E55AE2D">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13）工作温度：-20℃~55℃；</w:t>
            </w:r>
          </w:p>
          <w:p w14:paraId="76AC13CE">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14）防护级别：≥IP67；</w:t>
            </w:r>
          </w:p>
          <w:p w14:paraId="0A5EC4E3">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12、驱动器：驱动器 ≥14个，最大电压72V，连续电流50A，峰值电流70A；</w:t>
            </w:r>
          </w:p>
          <w:p w14:paraId="17E2BCAB">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13、控制系统：运动控制系统CPU≥14核心20线程，内存不低于64G，硬盘不低于500G；感知交互系统算力不低于100Tops；</w:t>
            </w:r>
          </w:p>
          <w:p w14:paraId="776CE13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14、电池及续航：满电电压≥60V；容量≥12Ah。支持不关机自主站立换电功能，保证连续工作；</w:t>
            </w:r>
          </w:p>
          <w:p w14:paraId="5944A46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15、功能：实现不平整地面稳定行走，自适应不平整地面高度≥2cm；支持3D深度视觉技术。</w:t>
            </w:r>
          </w:p>
          <w:p w14:paraId="0B311A47">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16、二次开发开放接口：音频接口、雷达数据接口、相机数据接口；支持整机行走控制；各关节扭矩、速度和位置控制；手臂高精度灵活操作控制；末端执行器控制接口。</w:t>
            </w:r>
          </w:p>
          <w:p w14:paraId="4C00086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17、麦克风阵列：</w:t>
            </w:r>
          </w:p>
          <w:p w14:paraId="5678207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（1）MIC数量：≥6；</w:t>
            </w:r>
          </w:p>
          <w:p w14:paraId="58B11F68">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（2）声源定位:360度定位；</w:t>
            </w:r>
          </w:p>
          <w:p w14:paraId="1F4F08ED">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（3）拾音距离：3-5m。</w:t>
            </w:r>
          </w:p>
          <w:p w14:paraId="0776390A">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18、提供配套详细开发文档，包括但不限于以下机器人案例：VR使用案例、遥控器开发案例、单步控制案例、Apriltag检测案例、移动路径轨迹规划案例、数据采集案例、yolo目标检测案例、手臂正逆运动学案例、手臂轨迹规划案例、键盘移动控制案例。</w:t>
            </w:r>
          </w:p>
          <w:p w14:paraId="60AAD2B3">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19、二指爪：</w:t>
            </w:r>
          </w:p>
          <w:p w14:paraId="2E4CDE14">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（1）尺寸：</w:t>
            </w:r>
          </w:p>
          <w:p w14:paraId="024F84DB">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闭合尺寸：187mm x 104mm±5mm；</w:t>
            </w:r>
          </w:p>
          <w:p w14:paraId="413B8F06">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张开尺寸：145mm x 214mm±5mm；</w:t>
            </w:r>
          </w:p>
          <w:p w14:paraId="6B2984BF">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单二指爪重量600g±5g；</w:t>
            </w:r>
          </w:p>
          <w:p w14:paraId="51ED132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（2）最大夹持力≥180N;最大行程≥22.5cm；自适应夹持，夹持力自锁，柔性指尖</w:t>
            </w:r>
          </w:p>
          <w:p w14:paraId="401B3D83">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（3）工作电压：24V~60V;</w:t>
            </w:r>
          </w:p>
          <w:p w14:paraId="51810A10">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（4）通讯方式：CAN协议，支持SDK控制；</w:t>
            </w:r>
          </w:p>
          <w:p w14:paraId="4423E8B5">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（5）遥操作要求：可支持遥操作，实现智能动态规划；</w:t>
            </w:r>
          </w:p>
          <w:p w14:paraId="2655538C">
            <w:pPr>
              <w:keepNext w:val="0"/>
              <w:keepLines w:val="0"/>
              <w:widowControl/>
              <w:suppressLineNumbers w:val="0"/>
              <w:shd w:val="clear"/>
              <w:jc w:val="left"/>
              <w:textAlignment w:val="center"/>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20、国产化系统支持：产品通过OpenHarmony生态产品兼容性认证。</w:t>
            </w:r>
          </w:p>
          <w:p w14:paraId="5BB225E4">
            <w:pPr>
              <w:keepNext w:val="0"/>
              <w:keepLines w:val="0"/>
              <w:widowControl/>
              <w:suppressLineNumbers w:val="0"/>
              <w:shd w:val="clear"/>
              <w:jc w:val="left"/>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21、配套终端主机和移动终端：</w:t>
            </w:r>
          </w:p>
          <w:p w14:paraId="7A0E15F6">
            <w:pPr>
              <w:keepNext w:val="0"/>
              <w:keepLines w:val="0"/>
              <w:widowControl/>
              <w:suppressLineNumbers w:val="0"/>
              <w:shd w:val="clear"/>
              <w:jc w:val="left"/>
              <w:rPr>
                <w:rFonts w:hint="eastAsia" w:ascii="新宋体" w:hAnsi="新宋体" w:eastAsia="新宋体" w:cs="新宋体"/>
                <w:color w:val="auto"/>
                <w:highlight w:val="none"/>
                <w:lang w:val="en-US" w:eastAsia="zh-CN" w:bidi="ar"/>
              </w:rPr>
            </w:pPr>
            <w:r>
              <w:rPr>
                <w:rFonts w:hint="eastAsia" w:ascii="新宋体" w:hAnsi="新宋体" w:eastAsia="新宋体" w:cs="新宋体"/>
                <w:color w:val="auto"/>
                <w:szCs w:val="21"/>
                <w:highlight w:val="none"/>
                <w:u w:val="none"/>
                <w:lang w:val="en-US" w:eastAsia="zh-CN" w:bidi="ar"/>
              </w:rPr>
              <w:t>21.1移动终端：处理器≥20核心28线程，≥16G内存，≥1TB固态硬盘，显存≥8G GDDR6，16英寸3.2K屏幕。</w:t>
            </w:r>
          </w:p>
          <w:p w14:paraId="2453AA5A">
            <w:pPr>
              <w:keepNext w:val="0"/>
              <w:keepLines w:val="0"/>
              <w:widowControl/>
              <w:suppressLineNumbers w:val="0"/>
              <w:shd w:val="clear"/>
              <w:jc w:val="left"/>
              <w:rPr>
                <w:rFonts w:ascii="Calibri" w:hAnsi="Calibri" w:eastAsia="宋体" w:cs="Times New Roman"/>
                <w:color w:val="auto"/>
                <w:highlight w:val="none"/>
              </w:rPr>
            </w:pPr>
            <w:r>
              <w:rPr>
                <w:rFonts w:hint="eastAsia" w:ascii="新宋体" w:hAnsi="新宋体" w:eastAsia="新宋体" w:cs="新宋体"/>
                <w:color w:val="auto"/>
                <w:szCs w:val="21"/>
                <w:highlight w:val="none"/>
                <w:u w:val="none"/>
                <w:lang w:val="en-US" w:eastAsia="zh-CN" w:bidi="ar"/>
              </w:rPr>
              <w:t>21.2终端主机：处理器≥20核心28线程，≥32G内存，≥1TB固态硬盘，显存≥16G GDDR7。</w:t>
            </w:r>
          </w:p>
          <w:p w14:paraId="2D192498">
            <w:pPr>
              <w:keepNext w:val="0"/>
              <w:keepLines w:val="0"/>
              <w:widowControl/>
              <w:suppressLineNumbers w:val="0"/>
              <w:shd w:val="clear"/>
              <w:jc w:val="left"/>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sz w:val="21"/>
                <w:szCs w:val="21"/>
                <w:highlight w:val="none"/>
                <w:u w:val="none"/>
              </w:rPr>
              <w:t>★</w:t>
            </w:r>
            <w:r>
              <w:rPr>
                <w:rFonts w:hint="eastAsia" w:ascii="新宋体" w:hAnsi="新宋体" w:eastAsia="新宋体" w:cs="新宋体"/>
                <w:color w:val="auto"/>
                <w:szCs w:val="21"/>
                <w:highlight w:val="none"/>
                <w:u w:val="none"/>
                <w:lang w:val="en-US" w:eastAsia="zh-CN" w:bidi="ar"/>
              </w:rPr>
              <w:t>22、须承诺所提供设备与安徽省职业院校技能大赛（中职组）“具身智能技术应用赛项”赛项规程中所用设备完全兼容；并提供相应培训服务，为学校承办相关赛事提供技术支持，承诺函格式自拟，未提供相应承诺或承诺内容与要求不符的将视为未实质性响应采购需求。</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54325">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C1F4A">
            <w:pPr>
              <w:keepNext w:val="0"/>
              <w:keepLines w:val="0"/>
              <w:widowControl/>
              <w:suppressLineNumbers w:val="0"/>
              <w:shd w:val="clear"/>
              <w:jc w:val="center"/>
              <w:textAlignment w:val="center"/>
              <w:rPr>
                <w:rFonts w:hint="eastAsia" w:ascii="新宋体" w:hAnsi="新宋体" w:eastAsia="新宋体" w:cs="新宋体"/>
                <w:i w:val="0"/>
                <w:iCs w:val="0"/>
                <w:color w:val="auto"/>
                <w:sz w:val="21"/>
                <w:szCs w:val="21"/>
                <w:highlight w:val="none"/>
                <w:u w:val="none"/>
              </w:rPr>
            </w:pPr>
            <w:r>
              <w:rPr>
                <w:rFonts w:hint="eastAsia" w:ascii="新宋体" w:hAnsi="新宋体" w:eastAsia="新宋体" w:cs="新宋体"/>
                <w:i w:val="0"/>
                <w:iCs w:val="0"/>
                <w:color w:val="auto"/>
                <w:kern w:val="0"/>
                <w:sz w:val="21"/>
                <w:szCs w:val="21"/>
                <w:highlight w:val="none"/>
                <w:u w:val="none"/>
                <w:lang w:val="en-US" w:eastAsia="zh-CN" w:bidi="ar"/>
              </w:rPr>
              <w:t>1</w:t>
            </w:r>
          </w:p>
        </w:tc>
        <w:tc>
          <w:tcPr>
            <w:tcW w:w="5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7878A">
            <w:pPr>
              <w:keepNext w:val="0"/>
              <w:keepLines w:val="0"/>
              <w:widowControl/>
              <w:suppressLineNumbers w:val="0"/>
              <w:shd w:val="clear"/>
              <w:jc w:val="center"/>
              <w:textAlignment w:val="center"/>
              <w:rPr>
                <w:rFonts w:hint="eastAsia" w:ascii="新宋体" w:hAnsi="新宋体" w:eastAsia="新宋体" w:cs="新宋体"/>
                <w:i w:val="0"/>
                <w:iCs w:val="0"/>
                <w:color w:val="auto"/>
                <w:kern w:val="0"/>
                <w:sz w:val="21"/>
                <w:szCs w:val="21"/>
                <w:highlight w:val="none"/>
                <w:u w:val="none"/>
                <w:lang w:val="en-US" w:eastAsia="zh-CN" w:bidi="ar"/>
              </w:rPr>
            </w:pPr>
            <w:r>
              <w:rPr>
                <w:rFonts w:hint="eastAsia" w:ascii="新宋体" w:hAnsi="新宋体" w:eastAsia="新宋体" w:cs="新宋体"/>
                <w:i w:val="0"/>
                <w:iCs w:val="0"/>
                <w:color w:val="auto"/>
                <w:kern w:val="0"/>
                <w:sz w:val="21"/>
                <w:szCs w:val="21"/>
                <w:highlight w:val="none"/>
                <w:u w:val="none"/>
                <w:lang w:val="en-US" w:eastAsia="zh-CN" w:bidi="ar"/>
              </w:rPr>
              <w:t>工业</w:t>
            </w:r>
            <w:bookmarkStart w:id="7" w:name="_GoBack"/>
            <w:bookmarkEnd w:id="7"/>
          </w:p>
        </w:tc>
      </w:tr>
    </w:tbl>
    <w:p w14:paraId="453D2635">
      <w:pPr>
        <w:numPr>
          <w:ilvl w:val="0"/>
          <w:numId w:val="0"/>
        </w:numPr>
        <w:spacing w:line="360" w:lineRule="auto"/>
        <w:jc w:val="both"/>
        <w:outlineLvl w:val="1"/>
        <w:rPr>
          <w:rFonts w:hint="eastAsia" w:ascii="宋体" w:hAnsi="宋体" w:eastAsia="宋体"/>
          <w:b/>
          <w:bCs/>
          <w:color w:val="auto"/>
          <w:sz w:val="24"/>
          <w:szCs w:val="18"/>
          <w:highlight w:val="none"/>
          <w:lang w:val="en-US" w:eastAsia="zh-CN"/>
        </w:rPr>
      </w:pPr>
    </w:p>
    <w:p w14:paraId="613558A4">
      <w:pPr>
        <w:spacing w:line="360" w:lineRule="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备注：</w:t>
      </w:r>
    </w:p>
    <w:p w14:paraId="583ED6F6">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1.核心产品：交换机</w:t>
      </w:r>
    </w:p>
    <w:p w14:paraId="27F03F98">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.标有“★”的参数为关键性技术参数，必须无条件满足，如有一项不能满足，视为未实质性响应采购需求。</w:t>
      </w:r>
    </w:p>
    <w:p w14:paraId="3C21F206">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.未标“★”的参数为非关键性技术参数，如三项及以上不满足，也视为未实质性响应采购需求。</w:t>
      </w:r>
    </w:p>
    <w:p w14:paraId="6355BF1B">
      <w:pPr>
        <w:numPr>
          <w:ilvl w:val="0"/>
          <w:numId w:val="0"/>
        </w:numPr>
        <w:spacing w:line="360" w:lineRule="auto"/>
        <w:ind w:firstLine="480" w:firstLineChars="200"/>
        <w:rPr>
          <w:rFonts w:hint="eastAsia" w:ascii="宋体" w:hAnsi="宋体" w:eastAsia="宋体" w:cs="Times New Roman"/>
          <w:bCs/>
          <w:color w:val="auto"/>
          <w:sz w:val="24"/>
          <w:szCs w:val="18"/>
          <w:lang w:val="en-US" w:eastAsia="zh-CN"/>
        </w:rPr>
      </w:pP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.无论</w:t>
      </w:r>
      <w:r>
        <w:rPr>
          <w:rFonts w:hint="eastAsia" w:ascii="宋体" w:hAnsi="宋体" w:eastAsia="宋体"/>
          <w:bCs/>
          <w:color w:val="auto"/>
          <w:sz w:val="24"/>
          <w:szCs w:val="18"/>
          <w:highlight w:val="none"/>
          <w:lang w:eastAsia="zh-CN"/>
        </w:rPr>
        <w:t>招标文件</w:t>
      </w:r>
      <w:r>
        <w:rPr>
          <w:rFonts w:hint="eastAsia" w:ascii="宋体" w:hAnsi="宋体" w:eastAsia="宋体"/>
          <w:bCs/>
          <w:color w:val="auto"/>
          <w:sz w:val="24"/>
          <w:szCs w:val="18"/>
          <w:highlight w:val="none"/>
        </w:rPr>
        <w:t>中是否要求，供应商所投货物涉及国家强制性标准的参数，供应商应无条件满足，否则视为重大偏离。</w:t>
      </w:r>
      <w:r>
        <w:rPr>
          <w:rFonts w:hint="eastAsia" w:ascii="宋体" w:hAnsi="宋体" w:eastAsia="宋体" w:cs="Times New Roman"/>
          <w:bCs/>
          <w:color w:val="auto"/>
          <w:sz w:val="24"/>
          <w:szCs w:val="18"/>
        </w:rPr>
        <w:t>★</w:t>
      </w:r>
      <w:r>
        <w:rPr>
          <w:rFonts w:hint="eastAsia" w:ascii="宋体" w:hAnsi="宋体" w:eastAsia="宋体" w:cs="Times New Roman"/>
          <w:bCs/>
          <w:color w:val="auto"/>
          <w:sz w:val="24"/>
          <w:szCs w:val="18"/>
          <w:lang w:val="en-US" w:eastAsia="zh-CN"/>
        </w:rPr>
        <w:t>条款供应商在成交后，签订合同前提供相对应的认证证明等材料，供业主备查。</w:t>
      </w:r>
    </w:p>
    <w:p w14:paraId="3582187C">
      <w:pPr>
        <w:numPr>
          <w:ilvl w:val="0"/>
          <w:numId w:val="0"/>
        </w:num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.采购需求中未设置偏离值的尺寸参数，可以偏离，偏离范围为±</w:t>
      </w:r>
      <w:r>
        <w:rPr>
          <w:rFonts w:hint="default" w:ascii="宋体" w:hAnsi="宋体" w:eastAsia="宋体"/>
          <w:bCs/>
          <w:color w:val="auto"/>
          <w:sz w:val="24"/>
          <w:szCs w:val="18"/>
          <w:highlight w:val="none"/>
          <w:lang w:val="en-US"/>
        </w:rPr>
        <w:t>5</w:t>
      </w:r>
      <w:r>
        <w:rPr>
          <w:rFonts w:hint="eastAsia" w:ascii="宋体" w:hAnsi="宋体" w:eastAsia="宋体"/>
          <w:bCs/>
          <w:color w:val="auto"/>
          <w:sz w:val="24"/>
          <w:szCs w:val="18"/>
          <w:highlight w:val="none"/>
        </w:rPr>
        <w:t>%。采购需求中设置偏离值的尺寸参数，按采购需求约定</w:t>
      </w:r>
      <w:r>
        <w:rPr>
          <w:rFonts w:hint="eastAsia" w:ascii="宋体" w:hAnsi="宋体" w:eastAsia="宋体"/>
          <w:bCs/>
          <w:color w:val="auto"/>
          <w:sz w:val="24"/>
          <w:szCs w:val="18"/>
          <w:highlight w:val="none"/>
          <w:lang w:eastAsia="zh-CN"/>
        </w:rPr>
        <w:t>。</w:t>
      </w:r>
    </w:p>
    <w:p w14:paraId="451858CB">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6.中标人须在签订合同后3个工作日内提供投标文件中所投软件，到采购人处逐条演示验证软件中所涉产品功能，由使用单位进行逐条核验。若不提供演示验证或超过规定期限或存在演示无法完全响应等情况，采购人有权单方解除合同，扣除履约保证金（如有），并索赔相关损失，同时将违法线索上报政府采购监管部门及上级主管单位。由此给采购人及相关方造成的一切损失、法律责任及不良后果，均由该中标人全部承担。 (投标人在投标文件中提交相应承诺函，格式自拟，未提供或承诺函不符合要求的，其投标将被认定为无效）。</w:t>
      </w:r>
    </w:p>
    <w:p w14:paraId="48A2FA19">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三、报价要求</w:t>
      </w:r>
    </w:p>
    <w:p w14:paraId="22195F75">
      <w:p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1、供应商的响应应包含但不限于安装过程所产生的耗材均包含在内，例如：所投货物包装、加工及加工损耗、运输、现场落地及安装、免费维保等工作所发生的一切应有费用。 </w:t>
      </w:r>
    </w:p>
    <w:p w14:paraId="46CD8D8C">
      <w:p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2、本采购清单所列设备、材料及服务为主要内容，成交供应商须充分理解项目整体使用需求。对于清单未列明，但为保证项目完整安装、正常运行、功能达标、整体交付所必需的全部设备、辅材、配件、线缆、调试及配套工作，均由成交供应商配齐、完成，相关费用已包含在总报价内</w:t>
      </w:r>
      <w:r>
        <w:rPr>
          <w:rFonts w:hint="eastAsia" w:ascii="宋体" w:hAnsi="宋体" w:eastAsia="宋体"/>
          <w:bCs/>
          <w:color w:val="auto"/>
          <w:sz w:val="24"/>
          <w:szCs w:val="18"/>
          <w:highlight w:val="none"/>
          <w:lang w:eastAsia="zh-CN"/>
        </w:rPr>
        <w:t>。</w:t>
      </w:r>
    </w:p>
    <w:p w14:paraId="2F6FA28A">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四、其他要求</w:t>
      </w:r>
    </w:p>
    <w:p w14:paraId="5111A505">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（一）本项目所有货物由成交人直接送达买方指定地址，所有产品供货时需采购方核对成交后的品牌、型号方可进行安装、调试。 </w:t>
      </w:r>
    </w:p>
    <w:p w14:paraId="07112084">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二）合同签订后履约时，按采购人要求提供符合招标文件要求的证明材料。若成交人未在签订合同后履约时，提供采购文件中要求的证明资料或成交人提供的证明资料不能完全符合招标文件要求，则视为虚假响应，将上报监管部门处理，由此造成的一切损失由成交人承担（含社会负面影响）。 </w:t>
      </w:r>
    </w:p>
    <w:p w14:paraId="2C6C1F8F">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（三）安装调试及售后要求： </w:t>
      </w:r>
    </w:p>
    <w:p w14:paraId="6F60FAD7">
      <w:pPr>
        <w:spacing w:line="360" w:lineRule="auto"/>
        <w:ind w:firstLine="437"/>
        <w:rPr>
          <w:rFonts w:hint="eastAsia" w:ascii="宋体" w:hAnsi="宋体" w:eastAsia="宋体"/>
          <w:bCs/>
          <w:color w:val="auto"/>
          <w:sz w:val="24"/>
          <w:szCs w:val="18"/>
          <w:highlight w:val="none"/>
        </w:rPr>
      </w:pPr>
      <w:r>
        <w:rPr>
          <w:rFonts w:hint="eastAsia" w:ascii="宋体" w:hAnsi="宋体" w:eastAsia="宋体"/>
          <w:bCs/>
          <w:i w:val="0"/>
          <w:iCs w:val="0"/>
          <w:color w:val="auto"/>
          <w:sz w:val="24"/>
          <w:szCs w:val="18"/>
          <w:highlight w:val="none"/>
          <w:lang w:val="en-US" w:eastAsia="zh-CN"/>
        </w:rPr>
        <w:t>1、产品质保期内，成交人需要为采购人提供全天候(7*24 小时)售后维保服务，接到采购人售后服务通知后，应于 1 个工作日内安排售后服务人员上门服务</w:t>
      </w:r>
      <w:r>
        <w:rPr>
          <w:rFonts w:hint="eastAsia" w:ascii="宋体" w:hAnsi="宋体" w:eastAsia="宋体"/>
          <w:bCs/>
          <w:i w:val="0"/>
          <w:iCs w:val="0"/>
          <w:color w:val="auto"/>
          <w:sz w:val="24"/>
          <w:szCs w:val="18"/>
          <w:highlight w:val="none"/>
          <w:lang w:eastAsia="zh-CN"/>
        </w:rPr>
        <w:t>。</w:t>
      </w:r>
      <w:r>
        <w:rPr>
          <w:rFonts w:hint="eastAsia" w:ascii="宋体" w:hAnsi="宋体" w:eastAsia="宋体"/>
          <w:bCs/>
          <w:color w:val="auto"/>
          <w:sz w:val="24"/>
          <w:szCs w:val="18"/>
          <w:highlight w:val="none"/>
        </w:rPr>
        <w:t xml:space="preserve">  </w:t>
      </w:r>
    </w:p>
    <w:p w14:paraId="29F0FB5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2、产品质保期内，如若产品出现非人为因素的质量问题，成交人需要及时上门维修，必要时，经采购人同意后，替换新的合格产品。 </w:t>
      </w:r>
    </w:p>
    <w:p w14:paraId="1596350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3、产品供货完成，采购人将对所供货物进行抽样检查。如果核验不符合成交人响应文件中所响应的内容，采购人有权要求成交人进行更换，如成交人不能及时更换或经更换后，产品仍然不能满足要求，由此造成的一切损失，由成交人自行承担。 </w:t>
      </w:r>
    </w:p>
    <w:p w14:paraId="643B519D">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4、设备整体免费质保期为验收合格之日起计算。在质量保证期内如果合同设备出现故障，成交供应商应免费提供质保期服务，对相关合同设备进行修理或更换以消除故障。 </w:t>
      </w:r>
    </w:p>
    <w:p w14:paraId="0E0DF457">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5、成交供应商供货及安装期间不得影响教学的开展，应有合理的质量管理体系与措施，合理安排施工供货及安装计划、人力、劳务资源、工具器械和吊装，有完善的售后服务保证措施等。施工完成后确保所有设备正常使用，如安装过程中需拆除或改动现场设施，需经采购人书面认可后方可施工。 </w:t>
      </w:r>
    </w:p>
    <w:p w14:paraId="6C44F700">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6、安装过程中应采用招采购人批准的方式安装。作业前成交人应编制专项施工方案和应急预案(应急处置措施)。成交人必须加强对安装工作的监督、管理，尤其是对安装过程中的安全管理，必须严格按照操作流程施工，严禁野蛮施工，安装过程中由成交人原因导致的一切安全问题应由成交人负全责。 </w:t>
      </w:r>
    </w:p>
    <w:p w14:paraId="1E285CE4">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（四）安装施工安全要求 </w:t>
      </w:r>
    </w:p>
    <w:p w14:paraId="130C340C">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施工安全过程中设备、人员安全责任由成交人负责，成交人负责劳动保护、风险等相关措施，费用包含在报价中；本项目施工地点在校园内，成交人须服从招标人管理、施工过程中确保师生人身安全、财产安全，成交人承担所有安全责任。 </w:t>
      </w:r>
    </w:p>
    <w:p w14:paraId="6A2E993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（五）验收 </w:t>
      </w:r>
    </w:p>
    <w:p w14:paraId="5758963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1、采购人和相关部门按照国家规定标准验收，没有国家标准的按行业标准验收，无行业标准的按地方或企业标准验收，成交人予以配合； </w:t>
      </w:r>
    </w:p>
    <w:p w14:paraId="40F9E94D">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货物在验收时，产品合格证书、装箱清单等；提供有关货物的操作规程和使用说明书，维护手册、保养修理所需的各种随机工具及相关设计、制造、检验、安装、技术性指导等文件和应由成交人提供的必要文件； </w:t>
      </w:r>
    </w:p>
    <w:p w14:paraId="70777620">
      <w:pPr>
        <w:spacing w:line="360" w:lineRule="auto"/>
        <w:ind w:firstLine="437"/>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3、采购人在项目完成且收到成交人验收申请后5个工作日内组织履约验收</w:t>
      </w:r>
      <w:r>
        <w:rPr>
          <w:rFonts w:hint="eastAsia" w:ascii="宋体" w:hAnsi="宋体" w:eastAsia="宋体"/>
          <w:bCs/>
          <w:color w:val="auto"/>
          <w:sz w:val="24"/>
          <w:szCs w:val="18"/>
          <w:highlight w:val="none"/>
          <w:lang w:eastAsia="zh-CN"/>
        </w:rPr>
        <w:t>。</w:t>
      </w:r>
    </w:p>
    <w:p w14:paraId="2BC954C6">
      <w:pPr>
        <w:spacing w:line="360" w:lineRule="auto"/>
        <w:ind w:firstLine="976" w:firstLineChars="407"/>
        <w:rPr>
          <w:rFonts w:hint="eastAsia" w:asciiTheme="minorEastAsia" w:hAnsiTheme="minorEastAsia" w:eastAsiaTheme="minorEastAsia"/>
          <w:color w:val="auto"/>
          <w:sz w:val="24"/>
          <w:highlight w:val="none"/>
        </w:rPr>
      </w:pPr>
      <w:r>
        <w:rPr>
          <w:rFonts w:hint="eastAsia" w:ascii="宋体" w:hAnsi="宋体" w:eastAsia="宋体"/>
          <w:bCs/>
          <w:color w:val="auto"/>
          <w:sz w:val="24"/>
          <w:szCs w:val="18"/>
          <w:highlight w:val="none"/>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3E6F">
    <w:pPr>
      <w:pStyle w:val="56"/>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8548D">
                          <w:pPr>
                            <w:pStyle w:val="56"/>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0F8548D">
                    <w:pPr>
                      <w:pStyle w:val="56"/>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9AE06D00"/>
    <w:multiLevelType w:val="singleLevel"/>
    <w:tmpl w:val="9AE06D00"/>
    <w:lvl w:ilvl="0" w:tentative="0">
      <w:start w:val="2"/>
      <w:numFmt w:val="chineseCounting"/>
      <w:suff w:val="nothing"/>
      <w:lvlText w:val="%1、"/>
      <w:lvlJc w:val="left"/>
      <w:rPr>
        <w:rFonts w:hint="eastAsia"/>
      </w:rPr>
    </w:lvl>
  </w:abstractNum>
  <w:abstractNum w:abstractNumId="2">
    <w:nsid w:val="D6FAFE41"/>
    <w:multiLevelType w:val="singleLevel"/>
    <w:tmpl w:val="D6FAFE41"/>
    <w:lvl w:ilvl="0" w:tentative="0">
      <w:start w:val="1"/>
      <w:numFmt w:val="decimal"/>
      <w:pStyle w:val="48"/>
      <w:lvlText w:val="%1."/>
      <w:lvlJc w:val="left"/>
      <w:pPr>
        <w:tabs>
          <w:tab w:val="left" w:pos="1620"/>
        </w:tabs>
        <w:ind w:left="1620" w:hanging="360"/>
      </w:pPr>
    </w:lvl>
  </w:abstractNum>
  <w:abstractNum w:abstractNumId="3">
    <w:nsid w:val="EC67CF0B"/>
    <w:multiLevelType w:val="singleLevel"/>
    <w:tmpl w:val="EC67CF0B"/>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4">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5">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6">
    <w:nsid w:val="3F3DD94F"/>
    <w:multiLevelType w:val="singleLevel"/>
    <w:tmpl w:val="3F3DD94F"/>
    <w:lvl w:ilvl="0" w:tentative="0">
      <w:start w:val="1"/>
      <w:numFmt w:val="decimal"/>
      <w:pStyle w:val="37"/>
      <w:lvlText w:val="%1."/>
      <w:lvlJc w:val="left"/>
      <w:pPr>
        <w:tabs>
          <w:tab w:val="left" w:pos="1200"/>
        </w:tabs>
        <w:ind w:left="1200" w:hanging="360"/>
      </w:pPr>
    </w:lvl>
  </w:abstractNum>
  <w:abstractNum w:abstractNumId="7">
    <w:nsid w:val="417E679F"/>
    <w:multiLevelType w:val="singleLevel"/>
    <w:tmpl w:val="417E679F"/>
    <w:lvl w:ilvl="0" w:tentative="0">
      <w:start w:val="1"/>
      <w:numFmt w:val="decimal"/>
      <w:pStyle w:val="66"/>
      <w:lvlText w:val="%1."/>
      <w:lvlJc w:val="left"/>
      <w:pPr>
        <w:tabs>
          <w:tab w:val="left" w:pos="2040"/>
        </w:tabs>
        <w:ind w:left="2040" w:hanging="360"/>
      </w:pPr>
    </w:lvl>
  </w:abstractNum>
  <w:abstractNum w:abstractNumId="8">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9">
    <w:nsid w:val="793FF840"/>
    <w:multiLevelType w:val="singleLevel"/>
    <w:tmpl w:val="793FF84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10">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4"/>
  </w:num>
  <w:num w:numId="2">
    <w:abstractNumId w:val="0"/>
  </w:num>
  <w:num w:numId="3">
    <w:abstractNumId w:val="5"/>
  </w:num>
  <w:num w:numId="4">
    <w:abstractNumId w:val="8"/>
  </w:num>
  <w:num w:numId="5">
    <w:abstractNumId w:val="10"/>
  </w:num>
  <w:num w:numId="6">
    <w:abstractNumId w:val="6"/>
  </w:num>
  <w:num w:numId="7">
    <w:abstractNumId w:val="9"/>
  </w:num>
  <w:num w:numId="8">
    <w:abstractNumId w:val="3"/>
  </w:num>
  <w:num w:numId="9">
    <w:abstractNumId w:val="2"/>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1EA2"/>
    <w:rsid w:val="00142B21"/>
    <w:rsid w:val="00403AFC"/>
    <w:rsid w:val="006775FF"/>
    <w:rsid w:val="006A09A7"/>
    <w:rsid w:val="008D759C"/>
    <w:rsid w:val="00BB6D7D"/>
    <w:rsid w:val="00E067DC"/>
    <w:rsid w:val="00E074D6"/>
    <w:rsid w:val="0117719B"/>
    <w:rsid w:val="01265E14"/>
    <w:rsid w:val="01381870"/>
    <w:rsid w:val="013D4B60"/>
    <w:rsid w:val="01520D1C"/>
    <w:rsid w:val="01716F4D"/>
    <w:rsid w:val="017E0CD4"/>
    <w:rsid w:val="01A87EDE"/>
    <w:rsid w:val="01AC1C0D"/>
    <w:rsid w:val="01BC5B09"/>
    <w:rsid w:val="01C25065"/>
    <w:rsid w:val="01EB4817"/>
    <w:rsid w:val="021A4B0A"/>
    <w:rsid w:val="02283D88"/>
    <w:rsid w:val="024535A0"/>
    <w:rsid w:val="02713B8A"/>
    <w:rsid w:val="02AC5A1B"/>
    <w:rsid w:val="02E14F55"/>
    <w:rsid w:val="02F85BA2"/>
    <w:rsid w:val="03031C3D"/>
    <w:rsid w:val="030333D4"/>
    <w:rsid w:val="03297912"/>
    <w:rsid w:val="033F6241"/>
    <w:rsid w:val="036707F7"/>
    <w:rsid w:val="036C4A81"/>
    <w:rsid w:val="03F216D3"/>
    <w:rsid w:val="03F4527E"/>
    <w:rsid w:val="04082AD7"/>
    <w:rsid w:val="0436211C"/>
    <w:rsid w:val="044D2256"/>
    <w:rsid w:val="044E1614"/>
    <w:rsid w:val="04520F39"/>
    <w:rsid w:val="04661B18"/>
    <w:rsid w:val="04A84F8F"/>
    <w:rsid w:val="04C55154"/>
    <w:rsid w:val="04C9754A"/>
    <w:rsid w:val="04EF145A"/>
    <w:rsid w:val="05203C3C"/>
    <w:rsid w:val="0543026B"/>
    <w:rsid w:val="054C7D95"/>
    <w:rsid w:val="054E467A"/>
    <w:rsid w:val="057A5EB4"/>
    <w:rsid w:val="05841D0F"/>
    <w:rsid w:val="05CE353D"/>
    <w:rsid w:val="05E76E48"/>
    <w:rsid w:val="05E9284D"/>
    <w:rsid w:val="063E4C65"/>
    <w:rsid w:val="06CE7C46"/>
    <w:rsid w:val="06FE5570"/>
    <w:rsid w:val="071F7265"/>
    <w:rsid w:val="0721638A"/>
    <w:rsid w:val="07741229"/>
    <w:rsid w:val="078127A8"/>
    <w:rsid w:val="07BA4828"/>
    <w:rsid w:val="07CB7B07"/>
    <w:rsid w:val="07EB5DFC"/>
    <w:rsid w:val="08001F42"/>
    <w:rsid w:val="08174B2B"/>
    <w:rsid w:val="0833201F"/>
    <w:rsid w:val="08856260"/>
    <w:rsid w:val="08A453D6"/>
    <w:rsid w:val="08C857C7"/>
    <w:rsid w:val="08CF1E63"/>
    <w:rsid w:val="08F71A98"/>
    <w:rsid w:val="09356779"/>
    <w:rsid w:val="095A6D85"/>
    <w:rsid w:val="09A208AB"/>
    <w:rsid w:val="09A94981"/>
    <w:rsid w:val="09AF2373"/>
    <w:rsid w:val="09C6602A"/>
    <w:rsid w:val="09DE7A40"/>
    <w:rsid w:val="09EE78ED"/>
    <w:rsid w:val="0A040E8A"/>
    <w:rsid w:val="0A2F7010"/>
    <w:rsid w:val="0A376E49"/>
    <w:rsid w:val="0A3E4FF2"/>
    <w:rsid w:val="0A430BD6"/>
    <w:rsid w:val="0A757080"/>
    <w:rsid w:val="0A854E82"/>
    <w:rsid w:val="0ABA2D7D"/>
    <w:rsid w:val="0B0C49D4"/>
    <w:rsid w:val="0B2A59D2"/>
    <w:rsid w:val="0B3C7C36"/>
    <w:rsid w:val="0BB80509"/>
    <w:rsid w:val="0BDE7990"/>
    <w:rsid w:val="0BE75DCB"/>
    <w:rsid w:val="0BF31560"/>
    <w:rsid w:val="0C0A1020"/>
    <w:rsid w:val="0C354925"/>
    <w:rsid w:val="0C3B5596"/>
    <w:rsid w:val="0C43630F"/>
    <w:rsid w:val="0C4A5F30"/>
    <w:rsid w:val="0C7D4411"/>
    <w:rsid w:val="0CA64964"/>
    <w:rsid w:val="0CB74D9C"/>
    <w:rsid w:val="0CB85CAF"/>
    <w:rsid w:val="0CC33B37"/>
    <w:rsid w:val="0CDF643F"/>
    <w:rsid w:val="0CEF0915"/>
    <w:rsid w:val="0CF956B3"/>
    <w:rsid w:val="0D0D5290"/>
    <w:rsid w:val="0D0D6B1D"/>
    <w:rsid w:val="0D260AB4"/>
    <w:rsid w:val="0D4C0CDF"/>
    <w:rsid w:val="0DA252ED"/>
    <w:rsid w:val="0DB02216"/>
    <w:rsid w:val="0DB56525"/>
    <w:rsid w:val="0E083EAE"/>
    <w:rsid w:val="0E1C001D"/>
    <w:rsid w:val="0E1F207C"/>
    <w:rsid w:val="0E454F71"/>
    <w:rsid w:val="0E5955A9"/>
    <w:rsid w:val="0E9456B5"/>
    <w:rsid w:val="0E9C0543"/>
    <w:rsid w:val="0EAD265E"/>
    <w:rsid w:val="0EC57B6C"/>
    <w:rsid w:val="0ED60D7E"/>
    <w:rsid w:val="0EDF331C"/>
    <w:rsid w:val="0EF16F8A"/>
    <w:rsid w:val="0EFF01A9"/>
    <w:rsid w:val="0F767555"/>
    <w:rsid w:val="0F8170C3"/>
    <w:rsid w:val="0FA768B5"/>
    <w:rsid w:val="0FA96FA8"/>
    <w:rsid w:val="0FB17363"/>
    <w:rsid w:val="0FC85F3C"/>
    <w:rsid w:val="102D0DA8"/>
    <w:rsid w:val="103E748F"/>
    <w:rsid w:val="105D3D6A"/>
    <w:rsid w:val="10783886"/>
    <w:rsid w:val="107870C0"/>
    <w:rsid w:val="108A08E3"/>
    <w:rsid w:val="10AC6EBE"/>
    <w:rsid w:val="10AF4EA5"/>
    <w:rsid w:val="10C2261E"/>
    <w:rsid w:val="10D07A3F"/>
    <w:rsid w:val="11180810"/>
    <w:rsid w:val="111E0C1F"/>
    <w:rsid w:val="112C42A9"/>
    <w:rsid w:val="1131366D"/>
    <w:rsid w:val="11511F61"/>
    <w:rsid w:val="115145DC"/>
    <w:rsid w:val="11530119"/>
    <w:rsid w:val="11550D1F"/>
    <w:rsid w:val="11646E94"/>
    <w:rsid w:val="119078E4"/>
    <w:rsid w:val="11F27E27"/>
    <w:rsid w:val="11FA1551"/>
    <w:rsid w:val="11FC3C7B"/>
    <w:rsid w:val="12142980"/>
    <w:rsid w:val="122D0F2C"/>
    <w:rsid w:val="122F2C84"/>
    <w:rsid w:val="12D24D91"/>
    <w:rsid w:val="12FD1BFF"/>
    <w:rsid w:val="12FF022D"/>
    <w:rsid w:val="13453400"/>
    <w:rsid w:val="13650A86"/>
    <w:rsid w:val="13884CF3"/>
    <w:rsid w:val="13A91FB7"/>
    <w:rsid w:val="140033DB"/>
    <w:rsid w:val="14070010"/>
    <w:rsid w:val="140C03C2"/>
    <w:rsid w:val="1437490C"/>
    <w:rsid w:val="143A4F2F"/>
    <w:rsid w:val="145279ED"/>
    <w:rsid w:val="146401FE"/>
    <w:rsid w:val="14AA3E63"/>
    <w:rsid w:val="14F609BD"/>
    <w:rsid w:val="14F8665D"/>
    <w:rsid w:val="15033147"/>
    <w:rsid w:val="15270103"/>
    <w:rsid w:val="156113F2"/>
    <w:rsid w:val="157B156C"/>
    <w:rsid w:val="15C33E1F"/>
    <w:rsid w:val="163109EC"/>
    <w:rsid w:val="16D16AA9"/>
    <w:rsid w:val="171506C3"/>
    <w:rsid w:val="172278CB"/>
    <w:rsid w:val="173C6682"/>
    <w:rsid w:val="17A53E6A"/>
    <w:rsid w:val="17B0110B"/>
    <w:rsid w:val="17CD3B2A"/>
    <w:rsid w:val="17E02C2C"/>
    <w:rsid w:val="17E50678"/>
    <w:rsid w:val="17E574BB"/>
    <w:rsid w:val="17E70AD8"/>
    <w:rsid w:val="17EF58DD"/>
    <w:rsid w:val="17FB68D0"/>
    <w:rsid w:val="183121A5"/>
    <w:rsid w:val="18651A9A"/>
    <w:rsid w:val="186E6B1E"/>
    <w:rsid w:val="18904AED"/>
    <w:rsid w:val="18950986"/>
    <w:rsid w:val="189D7D8B"/>
    <w:rsid w:val="18CA73F4"/>
    <w:rsid w:val="18E65018"/>
    <w:rsid w:val="18F65DE3"/>
    <w:rsid w:val="190A6840"/>
    <w:rsid w:val="191C10A7"/>
    <w:rsid w:val="1921046B"/>
    <w:rsid w:val="192D21E6"/>
    <w:rsid w:val="19310C4A"/>
    <w:rsid w:val="19694233"/>
    <w:rsid w:val="197B5DCD"/>
    <w:rsid w:val="197E11FA"/>
    <w:rsid w:val="198518FC"/>
    <w:rsid w:val="19BF508A"/>
    <w:rsid w:val="1A19603E"/>
    <w:rsid w:val="1A1E25E6"/>
    <w:rsid w:val="1A364DBB"/>
    <w:rsid w:val="1A911621"/>
    <w:rsid w:val="1A962711"/>
    <w:rsid w:val="1AF90041"/>
    <w:rsid w:val="1B2E6273"/>
    <w:rsid w:val="1B3515DA"/>
    <w:rsid w:val="1B3F5550"/>
    <w:rsid w:val="1B4330ED"/>
    <w:rsid w:val="1B5D6F8C"/>
    <w:rsid w:val="1B656D35"/>
    <w:rsid w:val="1B806BC0"/>
    <w:rsid w:val="1BA30167"/>
    <w:rsid w:val="1BC111D7"/>
    <w:rsid w:val="1BD4719D"/>
    <w:rsid w:val="1BE35C1B"/>
    <w:rsid w:val="1BE840AA"/>
    <w:rsid w:val="1C1F6A26"/>
    <w:rsid w:val="1C370440"/>
    <w:rsid w:val="1C3C65BE"/>
    <w:rsid w:val="1C80194D"/>
    <w:rsid w:val="1CA1098A"/>
    <w:rsid w:val="1CC17F9B"/>
    <w:rsid w:val="1CCD6047"/>
    <w:rsid w:val="1CDB0C11"/>
    <w:rsid w:val="1CE95B03"/>
    <w:rsid w:val="1D211FD1"/>
    <w:rsid w:val="1D3B58A6"/>
    <w:rsid w:val="1D475C5A"/>
    <w:rsid w:val="1D61177E"/>
    <w:rsid w:val="1D627FCE"/>
    <w:rsid w:val="1DB23D88"/>
    <w:rsid w:val="1DB83E19"/>
    <w:rsid w:val="1DBE44DB"/>
    <w:rsid w:val="1DCA65BE"/>
    <w:rsid w:val="1DE561A0"/>
    <w:rsid w:val="1E567C48"/>
    <w:rsid w:val="1E701F0F"/>
    <w:rsid w:val="1EAB0551"/>
    <w:rsid w:val="1EC2624D"/>
    <w:rsid w:val="1ED2294C"/>
    <w:rsid w:val="1EFB54B6"/>
    <w:rsid w:val="1F7F413E"/>
    <w:rsid w:val="1F9B58B9"/>
    <w:rsid w:val="1FA367D2"/>
    <w:rsid w:val="1FC6386C"/>
    <w:rsid w:val="1FC84EDA"/>
    <w:rsid w:val="1FC9124E"/>
    <w:rsid w:val="20382140"/>
    <w:rsid w:val="203C5A02"/>
    <w:rsid w:val="20552D8C"/>
    <w:rsid w:val="20750064"/>
    <w:rsid w:val="2079129B"/>
    <w:rsid w:val="20893E93"/>
    <w:rsid w:val="208F3AAC"/>
    <w:rsid w:val="20C45552"/>
    <w:rsid w:val="20DA182C"/>
    <w:rsid w:val="20F25991"/>
    <w:rsid w:val="2107261C"/>
    <w:rsid w:val="21120170"/>
    <w:rsid w:val="211204B8"/>
    <w:rsid w:val="212B5049"/>
    <w:rsid w:val="212E3725"/>
    <w:rsid w:val="213D4032"/>
    <w:rsid w:val="21427789"/>
    <w:rsid w:val="2148008D"/>
    <w:rsid w:val="216B4C64"/>
    <w:rsid w:val="2181015B"/>
    <w:rsid w:val="21A25092"/>
    <w:rsid w:val="21E7530B"/>
    <w:rsid w:val="220426D8"/>
    <w:rsid w:val="223318CD"/>
    <w:rsid w:val="22727B0E"/>
    <w:rsid w:val="228240A0"/>
    <w:rsid w:val="22960983"/>
    <w:rsid w:val="22993768"/>
    <w:rsid w:val="22B80A34"/>
    <w:rsid w:val="22EB658F"/>
    <w:rsid w:val="22EC0514"/>
    <w:rsid w:val="22ED008E"/>
    <w:rsid w:val="22FB2B87"/>
    <w:rsid w:val="22FB3112"/>
    <w:rsid w:val="232F5B27"/>
    <w:rsid w:val="23447803"/>
    <w:rsid w:val="23532B79"/>
    <w:rsid w:val="23AB6B46"/>
    <w:rsid w:val="23B157BC"/>
    <w:rsid w:val="23C45AE8"/>
    <w:rsid w:val="23CB1868"/>
    <w:rsid w:val="23CE48B4"/>
    <w:rsid w:val="23DB131E"/>
    <w:rsid w:val="242E481E"/>
    <w:rsid w:val="24681AEC"/>
    <w:rsid w:val="24771887"/>
    <w:rsid w:val="249C499C"/>
    <w:rsid w:val="24B74231"/>
    <w:rsid w:val="24BB5C18"/>
    <w:rsid w:val="24D83DB6"/>
    <w:rsid w:val="25223F4A"/>
    <w:rsid w:val="253D232F"/>
    <w:rsid w:val="254678A5"/>
    <w:rsid w:val="25C0646D"/>
    <w:rsid w:val="262B0B7B"/>
    <w:rsid w:val="26396DF4"/>
    <w:rsid w:val="269B3FF6"/>
    <w:rsid w:val="270740D4"/>
    <w:rsid w:val="2774457B"/>
    <w:rsid w:val="277C1E7A"/>
    <w:rsid w:val="27C638FE"/>
    <w:rsid w:val="27F20DDB"/>
    <w:rsid w:val="28155154"/>
    <w:rsid w:val="28244A65"/>
    <w:rsid w:val="28381C5F"/>
    <w:rsid w:val="285B7BA3"/>
    <w:rsid w:val="28886160"/>
    <w:rsid w:val="28B543C7"/>
    <w:rsid w:val="28CE42AC"/>
    <w:rsid w:val="28E61A92"/>
    <w:rsid w:val="28FA0280"/>
    <w:rsid w:val="293164A9"/>
    <w:rsid w:val="29712D49"/>
    <w:rsid w:val="299A3FD7"/>
    <w:rsid w:val="29AE0E38"/>
    <w:rsid w:val="29E15392"/>
    <w:rsid w:val="2A0B0AA8"/>
    <w:rsid w:val="2A273408"/>
    <w:rsid w:val="2A3325E4"/>
    <w:rsid w:val="2A373875"/>
    <w:rsid w:val="2A5C0D62"/>
    <w:rsid w:val="2A8546A8"/>
    <w:rsid w:val="2AAA25B4"/>
    <w:rsid w:val="2AC3192B"/>
    <w:rsid w:val="2AE92F72"/>
    <w:rsid w:val="2B05199B"/>
    <w:rsid w:val="2B0977E4"/>
    <w:rsid w:val="2B0F5364"/>
    <w:rsid w:val="2B3C2EE3"/>
    <w:rsid w:val="2B580F8C"/>
    <w:rsid w:val="2B7C0479"/>
    <w:rsid w:val="2B8A704A"/>
    <w:rsid w:val="2BA605F2"/>
    <w:rsid w:val="2BAC769A"/>
    <w:rsid w:val="2BB47331"/>
    <w:rsid w:val="2BB533C1"/>
    <w:rsid w:val="2BD93992"/>
    <w:rsid w:val="2BE052CD"/>
    <w:rsid w:val="2BFE56B2"/>
    <w:rsid w:val="2C257460"/>
    <w:rsid w:val="2C3D3341"/>
    <w:rsid w:val="2C532E9D"/>
    <w:rsid w:val="2C596FCF"/>
    <w:rsid w:val="2CA376BD"/>
    <w:rsid w:val="2CCD473A"/>
    <w:rsid w:val="2CD72A9E"/>
    <w:rsid w:val="2CDB553B"/>
    <w:rsid w:val="2CEE0A10"/>
    <w:rsid w:val="2D047CD5"/>
    <w:rsid w:val="2D224F76"/>
    <w:rsid w:val="2D3371FA"/>
    <w:rsid w:val="2D64317E"/>
    <w:rsid w:val="2D730E82"/>
    <w:rsid w:val="2D7775DF"/>
    <w:rsid w:val="2D901E22"/>
    <w:rsid w:val="2D924B71"/>
    <w:rsid w:val="2DA11B8F"/>
    <w:rsid w:val="2DD152A9"/>
    <w:rsid w:val="2DE95FFB"/>
    <w:rsid w:val="2DEA5B9A"/>
    <w:rsid w:val="2DEC7E73"/>
    <w:rsid w:val="2E2E34C1"/>
    <w:rsid w:val="2E4C7234"/>
    <w:rsid w:val="2E5D6087"/>
    <w:rsid w:val="2E76670C"/>
    <w:rsid w:val="2EB85F02"/>
    <w:rsid w:val="2F1018ED"/>
    <w:rsid w:val="2F542EF1"/>
    <w:rsid w:val="2F584DDC"/>
    <w:rsid w:val="2F6125F4"/>
    <w:rsid w:val="2F7409A7"/>
    <w:rsid w:val="2F745AFA"/>
    <w:rsid w:val="2F7E3ACA"/>
    <w:rsid w:val="2F9E2A92"/>
    <w:rsid w:val="2FB46BCA"/>
    <w:rsid w:val="2FC40679"/>
    <w:rsid w:val="2FDE3C0E"/>
    <w:rsid w:val="2FE52979"/>
    <w:rsid w:val="2FF7612B"/>
    <w:rsid w:val="301937F3"/>
    <w:rsid w:val="306236A6"/>
    <w:rsid w:val="30B73737"/>
    <w:rsid w:val="30DB3B03"/>
    <w:rsid w:val="30E37CC6"/>
    <w:rsid w:val="30ED53AB"/>
    <w:rsid w:val="31687287"/>
    <w:rsid w:val="317F6D5E"/>
    <w:rsid w:val="318632C5"/>
    <w:rsid w:val="31863D5A"/>
    <w:rsid w:val="318C4BC4"/>
    <w:rsid w:val="31927D00"/>
    <w:rsid w:val="31BF0628"/>
    <w:rsid w:val="31E247E4"/>
    <w:rsid w:val="32051567"/>
    <w:rsid w:val="321B56E3"/>
    <w:rsid w:val="323600BA"/>
    <w:rsid w:val="32AA686F"/>
    <w:rsid w:val="32B4641F"/>
    <w:rsid w:val="32C83475"/>
    <w:rsid w:val="32CC2404"/>
    <w:rsid w:val="32CE22B4"/>
    <w:rsid w:val="3321499A"/>
    <w:rsid w:val="3344502A"/>
    <w:rsid w:val="335E60EC"/>
    <w:rsid w:val="337F65FE"/>
    <w:rsid w:val="33B54CB8"/>
    <w:rsid w:val="33BC7AF6"/>
    <w:rsid w:val="33D13DF0"/>
    <w:rsid w:val="346A52A2"/>
    <w:rsid w:val="347012E3"/>
    <w:rsid w:val="347A3BEA"/>
    <w:rsid w:val="34840F9D"/>
    <w:rsid w:val="348B570B"/>
    <w:rsid w:val="349D4A55"/>
    <w:rsid w:val="34AF7A65"/>
    <w:rsid w:val="34E2413B"/>
    <w:rsid w:val="3507662A"/>
    <w:rsid w:val="350845A4"/>
    <w:rsid w:val="353C370E"/>
    <w:rsid w:val="354B2FCC"/>
    <w:rsid w:val="35C1105C"/>
    <w:rsid w:val="35FD7DFC"/>
    <w:rsid w:val="36372C24"/>
    <w:rsid w:val="366B28CE"/>
    <w:rsid w:val="3672580D"/>
    <w:rsid w:val="367C0C9B"/>
    <w:rsid w:val="368C11C2"/>
    <w:rsid w:val="36DB5CA6"/>
    <w:rsid w:val="36F521C0"/>
    <w:rsid w:val="36F823B4"/>
    <w:rsid w:val="370A474A"/>
    <w:rsid w:val="37193D2F"/>
    <w:rsid w:val="37194DDB"/>
    <w:rsid w:val="372B4975"/>
    <w:rsid w:val="372F4332"/>
    <w:rsid w:val="373C5B22"/>
    <w:rsid w:val="373E5403"/>
    <w:rsid w:val="3770009F"/>
    <w:rsid w:val="377E6663"/>
    <w:rsid w:val="37DA262B"/>
    <w:rsid w:val="37F05781"/>
    <w:rsid w:val="37F107C7"/>
    <w:rsid w:val="3825008C"/>
    <w:rsid w:val="38376B60"/>
    <w:rsid w:val="383E7EED"/>
    <w:rsid w:val="38515939"/>
    <w:rsid w:val="385476C6"/>
    <w:rsid w:val="386C32CA"/>
    <w:rsid w:val="38734D0B"/>
    <w:rsid w:val="388A374B"/>
    <w:rsid w:val="38A54FBE"/>
    <w:rsid w:val="38AC0FE6"/>
    <w:rsid w:val="38D53339"/>
    <w:rsid w:val="391D7A4D"/>
    <w:rsid w:val="392A295A"/>
    <w:rsid w:val="393A59AC"/>
    <w:rsid w:val="394B0AAD"/>
    <w:rsid w:val="39A14F85"/>
    <w:rsid w:val="39CB3D50"/>
    <w:rsid w:val="39FB774F"/>
    <w:rsid w:val="3A0E576F"/>
    <w:rsid w:val="3A12475B"/>
    <w:rsid w:val="3A1F4F53"/>
    <w:rsid w:val="3A344802"/>
    <w:rsid w:val="3A3F02FA"/>
    <w:rsid w:val="3A540249"/>
    <w:rsid w:val="3A6B2F3C"/>
    <w:rsid w:val="3A6C5666"/>
    <w:rsid w:val="3A7C74AD"/>
    <w:rsid w:val="3A8F7AF7"/>
    <w:rsid w:val="3A965F5B"/>
    <w:rsid w:val="3AE06CCC"/>
    <w:rsid w:val="3AFE1F63"/>
    <w:rsid w:val="3B1874C8"/>
    <w:rsid w:val="3B1F78F2"/>
    <w:rsid w:val="3B5A1E77"/>
    <w:rsid w:val="3B683CCA"/>
    <w:rsid w:val="3B724690"/>
    <w:rsid w:val="3B734A50"/>
    <w:rsid w:val="3B7C316A"/>
    <w:rsid w:val="3BEE0DB7"/>
    <w:rsid w:val="3BFF5A18"/>
    <w:rsid w:val="3C103151"/>
    <w:rsid w:val="3C1732DC"/>
    <w:rsid w:val="3C243C4B"/>
    <w:rsid w:val="3C28092B"/>
    <w:rsid w:val="3C2C15C9"/>
    <w:rsid w:val="3C3E73E9"/>
    <w:rsid w:val="3C561299"/>
    <w:rsid w:val="3C590476"/>
    <w:rsid w:val="3C67406A"/>
    <w:rsid w:val="3C8C1F1C"/>
    <w:rsid w:val="3C9868B3"/>
    <w:rsid w:val="3CB74ABF"/>
    <w:rsid w:val="3CF51D35"/>
    <w:rsid w:val="3D1E069A"/>
    <w:rsid w:val="3D347D63"/>
    <w:rsid w:val="3D5747BB"/>
    <w:rsid w:val="3D712EC0"/>
    <w:rsid w:val="3D7D1865"/>
    <w:rsid w:val="3DD82F3F"/>
    <w:rsid w:val="3E3E74B4"/>
    <w:rsid w:val="3E41291F"/>
    <w:rsid w:val="3E5C76CC"/>
    <w:rsid w:val="3E7935E4"/>
    <w:rsid w:val="3E8F2A6A"/>
    <w:rsid w:val="3E994BD9"/>
    <w:rsid w:val="3ED638EA"/>
    <w:rsid w:val="3EE62199"/>
    <w:rsid w:val="3EF47905"/>
    <w:rsid w:val="3F723D59"/>
    <w:rsid w:val="3F9619DE"/>
    <w:rsid w:val="3FAC07AD"/>
    <w:rsid w:val="3FBB48C6"/>
    <w:rsid w:val="3FCE186D"/>
    <w:rsid w:val="3FD5399A"/>
    <w:rsid w:val="400E7381"/>
    <w:rsid w:val="40783A9F"/>
    <w:rsid w:val="4090365D"/>
    <w:rsid w:val="40BA50A5"/>
    <w:rsid w:val="40CB31D8"/>
    <w:rsid w:val="40E11704"/>
    <w:rsid w:val="41015884"/>
    <w:rsid w:val="41066F98"/>
    <w:rsid w:val="41230975"/>
    <w:rsid w:val="41250249"/>
    <w:rsid w:val="41376DE3"/>
    <w:rsid w:val="414D59F2"/>
    <w:rsid w:val="41663D83"/>
    <w:rsid w:val="41AD023F"/>
    <w:rsid w:val="41B81002"/>
    <w:rsid w:val="41B979FB"/>
    <w:rsid w:val="41BD2F56"/>
    <w:rsid w:val="41CE4490"/>
    <w:rsid w:val="42097B6B"/>
    <w:rsid w:val="429338D8"/>
    <w:rsid w:val="42B31BE5"/>
    <w:rsid w:val="42C8467A"/>
    <w:rsid w:val="430F394C"/>
    <w:rsid w:val="43305E50"/>
    <w:rsid w:val="434D2539"/>
    <w:rsid w:val="436A06BA"/>
    <w:rsid w:val="437F39D4"/>
    <w:rsid w:val="43944A9C"/>
    <w:rsid w:val="43C24475"/>
    <w:rsid w:val="43EB3F93"/>
    <w:rsid w:val="44135505"/>
    <w:rsid w:val="44162EA2"/>
    <w:rsid w:val="441D78FE"/>
    <w:rsid w:val="44230431"/>
    <w:rsid w:val="442B0776"/>
    <w:rsid w:val="44392239"/>
    <w:rsid w:val="445B21D4"/>
    <w:rsid w:val="44682D55"/>
    <w:rsid w:val="4488300E"/>
    <w:rsid w:val="44AE435C"/>
    <w:rsid w:val="44C16192"/>
    <w:rsid w:val="44D60BB5"/>
    <w:rsid w:val="4537679D"/>
    <w:rsid w:val="455C4456"/>
    <w:rsid w:val="45631749"/>
    <w:rsid w:val="45713619"/>
    <w:rsid w:val="459260C9"/>
    <w:rsid w:val="459A7426"/>
    <w:rsid w:val="45EC3D2C"/>
    <w:rsid w:val="45F879DE"/>
    <w:rsid w:val="45FE67D2"/>
    <w:rsid w:val="463C4C19"/>
    <w:rsid w:val="4649229B"/>
    <w:rsid w:val="466E7093"/>
    <w:rsid w:val="467D4684"/>
    <w:rsid w:val="467E0205"/>
    <w:rsid w:val="46853287"/>
    <w:rsid w:val="468C3A58"/>
    <w:rsid w:val="468D0118"/>
    <w:rsid w:val="469D2B56"/>
    <w:rsid w:val="469D2F78"/>
    <w:rsid w:val="46A27336"/>
    <w:rsid w:val="46A708FA"/>
    <w:rsid w:val="46C31EA0"/>
    <w:rsid w:val="47072E39"/>
    <w:rsid w:val="47124E31"/>
    <w:rsid w:val="471A45C8"/>
    <w:rsid w:val="47273586"/>
    <w:rsid w:val="472D6224"/>
    <w:rsid w:val="47413903"/>
    <w:rsid w:val="47603EFA"/>
    <w:rsid w:val="4761637A"/>
    <w:rsid w:val="47665118"/>
    <w:rsid w:val="47A40C1E"/>
    <w:rsid w:val="47AA25C7"/>
    <w:rsid w:val="47B05595"/>
    <w:rsid w:val="47BE31A6"/>
    <w:rsid w:val="47F04B43"/>
    <w:rsid w:val="48253225"/>
    <w:rsid w:val="482640F1"/>
    <w:rsid w:val="48334C61"/>
    <w:rsid w:val="486024AF"/>
    <w:rsid w:val="48743EE1"/>
    <w:rsid w:val="48A64365"/>
    <w:rsid w:val="48C268B4"/>
    <w:rsid w:val="49360E1D"/>
    <w:rsid w:val="493C54E6"/>
    <w:rsid w:val="493F0D98"/>
    <w:rsid w:val="499E6108"/>
    <w:rsid w:val="49AF0B18"/>
    <w:rsid w:val="4A011472"/>
    <w:rsid w:val="4A110A6F"/>
    <w:rsid w:val="4A1568A4"/>
    <w:rsid w:val="4A1C7E0C"/>
    <w:rsid w:val="4A514E22"/>
    <w:rsid w:val="4A5B0481"/>
    <w:rsid w:val="4A8A43AC"/>
    <w:rsid w:val="4A8D74AC"/>
    <w:rsid w:val="4AE25496"/>
    <w:rsid w:val="4AE3590F"/>
    <w:rsid w:val="4B3F27CA"/>
    <w:rsid w:val="4B477F40"/>
    <w:rsid w:val="4B48274E"/>
    <w:rsid w:val="4B663793"/>
    <w:rsid w:val="4B6A3785"/>
    <w:rsid w:val="4B926CAF"/>
    <w:rsid w:val="4BAA10B3"/>
    <w:rsid w:val="4BD86AC9"/>
    <w:rsid w:val="4C0748CA"/>
    <w:rsid w:val="4C973D71"/>
    <w:rsid w:val="4CD07C03"/>
    <w:rsid w:val="4CD36B70"/>
    <w:rsid w:val="4CDC77F4"/>
    <w:rsid w:val="4D043409"/>
    <w:rsid w:val="4D1B4700"/>
    <w:rsid w:val="4D466793"/>
    <w:rsid w:val="4D535605"/>
    <w:rsid w:val="4DAF62FF"/>
    <w:rsid w:val="4DBA4694"/>
    <w:rsid w:val="4DCC639F"/>
    <w:rsid w:val="4DDB3A8D"/>
    <w:rsid w:val="4DFB7BC2"/>
    <w:rsid w:val="4E0369D1"/>
    <w:rsid w:val="4E2157B8"/>
    <w:rsid w:val="4E4A7192"/>
    <w:rsid w:val="4E6312D8"/>
    <w:rsid w:val="4E913AC7"/>
    <w:rsid w:val="4EB41FBA"/>
    <w:rsid w:val="4ECD00CF"/>
    <w:rsid w:val="4EDD2163"/>
    <w:rsid w:val="4EEF633A"/>
    <w:rsid w:val="4EF179BD"/>
    <w:rsid w:val="4F09543A"/>
    <w:rsid w:val="4F330CA8"/>
    <w:rsid w:val="4F6D26D1"/>
    <w:rsid w:val="4F6F0EAB"/>
    <w:rsid w:val="4FAD0756"/>
    <w:rsid w:val="4FF71EA5"/>
    <w:rsid w:val="50042DCF"/>
    <w:rsid w:val="50086019"/>
    <w:rsid w:val="500E11DE"/>
    <w:rsid w:val="50194CD6"/>
    <w:rsid w:val="502E2750"/>
    <w:rsid w:val="50334005"/>
    <w:rsid w:val="50382E2A"/>
    <w:rsid w:val="50433F22"/>
    <w:rsid w:val="504D156B"/>
    <w:rsid w:val="5060283B"/>
    <w:rsid w:val="5072299A"/>
    <w:rsid w:val="508D30E7"/>
    <w:rsid w:val="50DD469C"/>
    <w:rsid w:val="50E13A61"/>
    <w:rsid w:val="50F20470"/>
    <w:rsid w:val="50F55AE1"/>
    <w:rsid w:val="51031487"/>
    <w:rsid w:val="513C60F2"/>
    <w:rsid w:val="513D3FA6"/>
    <w:rsid w:val="515B7CB7"/>
    <w:rsid w:val="51903BCC"/>
    <w:rsid w:val="51962A9D"/>
    <w:rsid w:val="51AB1ECD"/>
    <w:rsid w:val="51BB2504"/>
    <w:rsid w:val="51C005F5"/>
    <w:rsid w:val="51D5604D"/>
    <w:rsid w:val="51E429DC"/>
    <w:rsid w:val="51E62868"/>
    <w:rsid w:val="51E64F76"/>
    <w:rsid w:val="51F855F5"/>
    <w:rsid w:val="528C5DC7"/>
    <w:rsid w:val="529165E5"/>
    <w:rsid w:val="52A21E20"/>
    <w:rsid w:val="52AA4A52"/>
    <w:rsid w:val="52AD009F"/>
    <w:rsid w:val="52C47C20"/>
    <w:rsid w:val="52E956CD"/>
    <w:rsid w:val="533267F6"/>
    <w:rsid w:val="53542C10"/>
    <w:rsid w:val="53723E9A"/>
    <w:rsid w:val="539B6DB0"/>
    <w:rsid w:val="53C75190"/>
    <w:rsid w:val="541A4DE2"/>
    <w:rsid w:val="54370568"/>
    <w:rsid w:val="543F566E"/>
    <w:rsid w:val="545A4256"/>
    <w:rsid w:val="54692861"/>
    <w:rsid w:val="548E0DEC"/>
    <w:rsid w:val="549A3CCC"/>
    <w:rsid w:val="549C400B"/>
    <w:rsid w:val="54AE00FE"/>
    <w:rsid w:val="54B74DFA"/>
    <w:rsid w:val="54D12FF9"/>
    <w:rsid w:val="54DB2E0A"/>
    <w:rsid w:val="54F47C8D"/>
    <w:rsid w:val="54FF4167"/>
    <w:rsid w:val="557269F9"/>
    <w:rsid w:val="557E4EF0"/>
    <w:rsid w:val="559A50C1"/>
    <w:rsid w:val="55A8231D"/>
    <w:rsid w:val="55C7438A"/>
    <w:rsid w:val="55CF646E"/>
    <w:rsid w:val="55FC222C"/>
    <w:rsid w:val="56147B71"/>
    <w:rsid w:val="565063D1"/>
    <w:rsid w:val="56537AC2"/>
    <w:rsid w:val="56613EFF"/>
    <w:rsid w:val="56774C92"/>
    <w:rsid w:val="568F468B"/>
    <w:rsid w:val="56A66F51"/>
    <w:rsid w:val="56DE4CCA"/>
    <w:rsid w:val="56E83D9B"/>
    <w:rsid w:val="56E90D97"/>
    <w:rsid w:val="56FF5B35"/>
    <w:rsid w:val="57044CE4"/>
    <w:rsid w:val="573235D0"/>
    <w:rsid w:val="573E1C0D"/>
    <w:rsid w:val="57582D36"/>
    <w:rsid w:val="575C3FBE"/>
    <w:rsid w:val="577B69BD"/>
    <w:rsid w:val="57810457"/>
    <w:rsid w:val="579833A0"/>
    <w:rsid w:val="57F44930"/>
    <w:rsid w:val="582442AD"/>
    <w:rsid w:val="5844442E"/>
    <w:rsid w:val="58975180"/>
    <w:rsid w:val="58D26DE6"/>
    <w:rsid w:val="590D1897"/>
    <w:rsid w:val="590F61F2"/>
    <w:rsid w:val="59741916"/>
    <w:rsid w:val="598C7682"/>
    <w:rsid w:val="599042AB"/>
    <w:rsid w:val="59F62614"/>
    <w:rsid w:val="5A056A12"/>
    <w:rsid w:val="5A1A6E9C"/>
    <w:rsid w:val="5A5C560F"/>
    <w:rsid w:val="5A846C42"/>
    <w:rsid w:val="5AA94E0B"/>
    <w:rsid w:val="5AB67D0C"/>
    <w:rsid w:val="5ABA4ACF"/>
    <w:rsid w:val="5ADF2CEC"/>
    <w:rsid w:val="5AEF3C29"/>
    <w:rsid w:val="5AF2456D"/>
    <w:rsid w:val="5B16086F"/>
    <w:rsid w:val="5B34796B"/>
    <w:rsid w:val="5B5D6F7D"/>
    <w:rsid w:val="5BA858A7"/>
    <w:rsid w:val="5BCF4B0F"/>
    <w:rsid w:val="5BD112A2"/>
    <w:rsid w:val="5BFF3225"/>
    <w:rsid w:val="5C270F49"/>
    <w:rsid w:val="5C516074"/>
    <w:rsid w:val="5C58097A"/>
    <w:rsid w:val="5C5915AB"/>
    <w:rsid w:val="5C7D3833"/>
    <w:rsid w:val="5CA0740B"/>
    <w:rsid w:val="5CA672A1"/>
    <w:rsid w:val="5CAF1D28"/>
    <w:rsid w:val="5CCB2E02"/>
    <w:rsid w:val="5CDA0017"/>
    <w:rsid w:val="5CEA3EA6"/>
    <w:rsid w:val="5CEB11AB"/>
    <w:rsid w:val="5D00281A"/>
    <w:rsid w:val="5D1369BE"/>
    <w:rsid w:val="5D361DC4"/>
    <w:rsid w:val="5D454033"/>
    <w:rsid w:val="5D5239A6"/>
    <w:rsid w:val="5D535CE6"/>
    <w:rsid w:val="5D584CB9"/>
    <w:rsid w:val="5D7D7BFC"/>
    <w:rsid w:val="5D8827E5"/>
    <w:rsid w:val="5D997A7F"/>
    <w:rsid w:val="5DA0717E"/>
    <w:rsid w:val="5DC06A6D"/>
    <w:rsid w:val="5DF179D9"/>
    <w:rsid w:val="5E131AB3"/>
    <w:rsid w:val="5E501C75"/>
    <w:rsid w:val="5E6F65CB"/>
    <w:rsid w:val="5E875C48"/>
    <w:rsid w:val="5E9F6C63"/>
    <w:rsid w:val="5EE50A16"/>
    <w:rsid w:val="5F007419"/>
    <w:rsid w:val="5F444562"/>
    <w:rsid w:val="5F503D12"/>
    <w:rsid w:val="5F5A257D"/>
    <w:rsid w:val="5F6845BA"/>
    <w:rsid w:val="5F84662B"/>
    <w:rsid w:val="5FAD0AE8"/>
    <w:rsid w:val="5FB9046A"/>
    <w:rsid w:val="5FD56234"/>
    <w:rsid w:val="5FE27D30"/>
    <w:rsid w:val="600339F4"/>
    <w:rsid w:val="60310561"/>
    <w:rsid w:val="60345CC3"/>
    <w:rsid w:val="607923C2"/>
    <w:rsid w:val="60806DF2"/>
    <w:rsid w:val="60966616"/>
    <w:rsid w:val="60AF592A"/>
    <w:rsid w:val="60C3019E"/>
    <w:rsid w:val="60D66A94"/>
    <w:rsid w:val="60FF6137"/>
    <w:rsid w:val="6139623B"/>
    <w:rsid w:val="614571D8"/>
    <w:rsid w:val="61480ED7"/>
    <w:rsid w:val="618300F4"/>
    <w:rsid w:val="61985F65"/>
    <w:rsid w:val="61AB60F1"/>
    <w:rsid w:val="61BB492E"/>
    <w:rsid w:val="61D671A5"/>
    <w:rsid w:val="62AA5531"/>
    <w:rsid w:val="62E4091B"/>
    <w:rsid w:val="632C5010"/>
    <w:rsid w:val="63311E1D"/>
    <w:rsid w:val="63501064"/>
    <w:rsid w:val="63744F86"/>
    <w:rsid w:val="63942684"/>
    <w:rsid w:val="63A91DFF"/>
    <w:rsid w:val="63B219B9"/>
    <w:rsid w:val="63C67AC8"/>
    <w:rsid w:val="63C7091D"/>
    <w:rsid w:val="63E36F87"/>
    <w:rsid w:val="64100BDC"/>
    <w:rsid w:val="642D55E5"/>
    <w:rsid w:val="64494DEA"/>
    <w:rsid w:val="644B093F"/>
    <w:rsid w:val="645900CC"/>
    <w:rsid w:val="646A07F0"/>
    <w:rsid w:val="64A27E5C"/>
    <w:rsid w:val="64C574CA"/>
    <w:rsid w:val="64E2007C"/>
    <w:rsid w:val="64EE255B"/>
    <w:rsid w:val="65016119"/>
    <w:rsid w:val="65331BA8"/>
    <w:rsid w:val="65394BB2"/>
    <w:rsid w:val="655F03DC"/>
    <w:rsid w:val="65723726"/>
    <w:rsid w:val="65772C72"/>
    <w:rsid w:val="65942F18"/>
    <w:rsid w:val="65B732B6"/>
    <w:rsid w:val="65C9796B"/>
    <w:rsid w:val="65E42456"/>
    <w:rsid w:val="65E522E5"/>
    <w:rsid w:val="65FC2244"/>
    <w:rsid w:val="6646288C"/>
    <w:rsid w:val="664803B2"/>
    <w:rsid w:val="664E5D4C"/>
    <w:rsid w:val="66730EC9"/>
    <w:rsid w:val="66800798"/>
    <w:rsid w:val="6695111E"/>
    <w:rsid w:val="67075603"/>
    <w:rsid w:val="670E4705"/>
    <w:rsid w:val="67144738"/>
    <w:rsid w:val="671B1CF2"/>
    <w:rsid w:val="67352105"/>
    <w:rsid w:val="679B581D"/>
    <w:rsid w:val="681E3671"/>
    <w:rsid w:val="682140F7"/>
    <w:rsid w:val="68223666"/>
    <w:rsid w:val="684A2000"/>
    <w:rsid w:val="684F0059"/>
    <w:rsid w:val="68636EED"/>
    <w:rsid w:val="68664B20"/>
    <w:rsid w:val="68DB72BC"/>
    <w:rsid w:val="68E65681"/>
    <w:rsid w:val="6914776F"/>
    <w:rsid w:val="69246E9E"/>
    <w:rsid w:val="69474951"/>
    <w:rsid w:val="69633464"/>
    <w:rsid w:val="696705F8"/>
    <w:rsid w:val="69AA5B10"/>
    <w:rsid w:val="69B445F9"/>
    <w:rsid w:val="69B51D39"/>
    <w:rsid w:val="69CB6033"/>
    <w:rsid w:val="6A040A94"/>
    <w:rsid w:val="6A325601"/>
    <w:rsid w:val="6A6969EE"/>
    <w:rsid w:val="6A7554EE"/>
    <w:rsid w:val="6AAE4C37"/>
    <w:rsid w:val="6AB665F4"/>
    <w:rsid w:val="6AE52674"/>
    <w:rsid w:val="6B264A3A"/>
    <w:rsid w:val="6B286D35"/>
    <w:rsid w:val="6B6307A9"/>
    <w:rsid w:val="6B6D3E9E"/>
    <w:rsid w:val="6B7416D8"/>
    <w:rsid w:val="6B7F073E"/>
    <w:rsid w:val="6B842586"/>
    <w:rsid w:val="6B8D4118"/>
    <w:rsid w:val="6BA0513A"/>
    <w:rsid w:val="6BC42908"/>
    <w:rsid w:val="6BE009C9"/>
    <w:rsid w:val="6BF66AD1"/>
    <w:rsid w:val="6BFF1FB6"/>
    <w:rsid w:val="6C044D7B"/>
    <w:rsid w:val="6C0703C8"/>
    <w:rsid w:val="6C3812EC"/>
    <w:rsid w:val="6C586E75"/>
    <w:rsid w:val="6C727A41"/>
    <w:rsid w:val="6C975BF0"/>
    <w:rsid w:val="6CDB5061"/>
    <w:rsid w:val="6CDC3602"/>
    <w:rsid w:val="6CE912AC"/>
    <w:rsid w:val="6D0D4F00"/>
    <w:rsid w:val="6D1C6921"/>
    <w:rsid w:val="6D8947C5"/>
    <w:rsid w:val="6DA66FEE"/>
    <w:rsid w:val="6DAA62B8"/>
    <w:rsid w:val="6DED00D0"/>
    <w:rsid w:val="6E3154E2"/>
    <w:rsid w:val="6E426A03"/>
    <w:rsid w:val="6E510020"/>
    <w:rsid w:val="6E5B2DCD"/>
    <w:rsid w:val="6EB317CB"/>
    <w:rsid w:val="6EBE1B99"/>
    <w:rsid w:val="6EEA3AE3"/>
    <w:rsid w:val="6EF87CFE"/>
    <w:rsid w:val="6F0A2ED0"/>
    <w:rsid w:val="6F0D1806"/>
    <w:rsid w:val="6F264C97"/>
    <w:rsid w:val="6F28294B"/>
    <w:rsid w:val="6F381CF0"/>
    <w:rsid w:val="6F467D71"/>
    <w:rsid w:val="6F680064"/>
    <w:rsid w:val="6F6F54BF"/>
    <w:rsid w:val="6F8E7599"/>
    <w:rsid w:val="6F9401C4"/>
    <w:rsid w:val="6F9B59F7"/>
    <w:rsid w:val="6FB81F4C"/>
    <w:rsid w:val="6FFF5B18"/>
    <w:rsid w:val="702337EA"/>
    <w:rsid w:val="703174B2"/>
    <w:rsid w:val="70535946"/>
    <w:rsid w:val="70651B61"/>
    <w:rsid w:val="70A72179"/>
    <w:rsid w:val="70C04FE9"/>
    <w:rsid w:val="70E708D2"/>
    <w:rsid w:val="70F2440C"/>
    <w:rsid w:val="71071266"/>
    <w:rsid w:val="71191B64"/>
    <w:rsid w:val="7126343E"/>
    <w:rsid w:val="712A64D4"/>
    <w:rsid w:val="714B1A46"/>
    <w:rsid w:val="717C0963"/>
    <w:rsid w:val="71827E95"/>
    <w:rsid w:val="719D743D"/>
    <w:rsid w:val="71A87461"/>
    <w:rsid w:val="721F71FF"/>
    <w:rsid w:val="722E3147"/>
    <w:rsid w:val="72426B97"/>
    <w:rsid w:val="725455B8"/>
    <w:rsid w:val="726F7E37"/>
    <w:rsid w:val="7284105E"/>
    <w:rsid w:val="728736F6"/>
    <w:rsid w:val="72964949"/>
    <w:rsid w:val="729B2E08"/>
    <w:rsid w:val="735F6D3B"/>
    <w:rsid w:val="740A551A"/>
    <w:rsid w:val="74237D69"/>
    <w:rsid w:val="74261C82"/>
    <w:rsid w:val="74460868"/>
    <w:rsid w:val="744E33FD"/>
    <w:rsid w:val="74F230C5"/>
    <w:rsid w:val="74F846EB"/>
    <w:rsid w:val="75233519"/>
    <w:rsid w:val="753D5B1F"/>
    <w:rsid w:val="754A6E48"/>
    <w:rsid w:val="755D6611"/>
    <w:rsid w:val="75846F2D"/>
    <w:rsid w:val="75A063EF"/>
    <w:rsid w:val="76404C02"/>
    <w:rsid w:val="76471C45"/>
    <w:rsid w:val="766466A9"/>
    <w:rsid w:val="769C1D70"/>
    <w:rsid w:val="76A71125"/>
    <w:rsid w:val="76CD07D0"/>
    <w:rsid w:val="76D0242A"/>
    <w:rsid w:val="76E61C4D"/>
    <w:rsid w:val="76EF3118"/>
    <w:rsid w:val="76FB321F"/>
    <w:rsid w:val="77020109"/>
    <w:rsid w:val="771D3A13"/>
    <w:rsid w:val="773603B4"/>
    <w:rsid w:val="774A7326"/>
    <w:rsid w:val="77806DE6"/>
    <w:rsid w:val="77831BED"/>
    <w:rsid w:val="781C1732"/>
    <w:rsid w:val="78411105"/>
    <w:rsid w:val="7853714E"/>
    <w:rsid w:val="785458E3"/>
    <w:rsid w:val="785E5813"/>
    <w:rsid w:val="78653FF1"/>
    <w:rsid w:val="786B1CDE"/>
    <w:rsid w:val="78B062FB"/>
    <w:rsid w:val="78B40B2F"/>
    <w:rsid w:val="78C1745D"/>
    <w:rsid w:val="79277B9D"/>
    <w:rsid w:val="793E2E85"/>
    <w:rsid w:val="794669D3"/>
    <w:rsid w:val="795124C5"/>
    <w:rsid w:val="795E5809"/>
    <w:rsid w:val="797D5E7F"/>
    <w:rsid w:val="79876FEC"/>
    <w:rsid w:val="79A204E3"/>
    <w:rsid w:val="79A731EA"/>
    <w:rsid w:val="79BE6672"/>
    <w:rsid w:val="79D35D8D"/>
    <w:rsid w:val="79D56180"/>
    <w:rsid w:val="79E16971"/>
    <w:rsid w:val="79E71B6B"/>
    <w:rsid w:val="79FE105C"/>
    <w:rsid w:val="79FE7B2E"/>
    <w:rsid w:val="7A6609A2"/>
    <w:rsid w:val="7A6675B0"/>
    <w:rsid w:val="7A695DF9"/>
    <w:rsid w:val="7A6F5AB6"/>
    <w:rsid w:val="7A761416"/>
    <w:rsid w:val="7A8141C6"/>
    <w:rsid w:val="7A8E2A0E"/>
    <w:rsid w:val="7A9655BA"/>
    <w:rsid w:val="7AAC0AB8"/>
    <w:rsid w:val="7ADB14CC"/>
    <w:rsid w:val="7B2C39A7"/>
    <w:rsid w:val="7BE60194"/>
    <w:rsid w:val="7BFD3595"/>
    <w:rsid w:val="7C176606"/>
    <w:rsid w:val="7C260BF0"/>
    <w:rsid w:val="7C570EDB"/>
    <w:rsid w:val="7C5D0A51"/>
    <w:rsid w:val="7CCF6CE0"/>
    <w:rsid w:val="7CD0642F"/>
    <w:rsid w:val="7CD503BE"/>
    <w:rsid w:val="7CED21F4"/>
    <w:rsid w:val="7CF14CE5"/>
    <w:rsid w:val="7CFB0BEE"/>
    <w:rsid w:val="7D120A03"/>
    <w:rsid w:val="7D265DCE"/>
    <w:rsid w:val="7D284774"/>
    <w:rsid w:val="7D2C6A21"/>
    <w:rsid w:val="7D537FCF"/>
    <w:rsid w:val="7DC96978"/>
    <w:rsid w:val="7DDF73F6"/>
    <w:rsid w:val="7DE642E1"/>
    <w:rsid w:val="7E0D67C5"/>
    <w:rsid w:val="7E156974"/>
    <w:rsid w:val="7E1E7F1F"/>
    <w:rsid w:val="7E3152C1"/>
    <w:rsid w:val="7E3E236F"/>
    <w:rsid w:val="7E5849D9"/>
    <w:rsid w:val="7E7434D8"/>
    <w:rsid w:val="7E9F053D"/>
    <w:rsid w:val="7EEF71C5"/>
    <w:rsid w:val="7F044BB8"/>
    <w:rsid w:val="7F373140"/>
    <w:rsid w:val="7F694CE7"/>
    <w:rsid w:val="7F983D01"/>
    <w:rsid w:val="7FCA0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next w:val="35"/>
    <w:qFormat/>
    <w:uiPriority w:val="0"/>
    <w:pPr>
      <w:spacing w:after="120" w:afterLines="0" w:afterAutospacing="0"/>
    </w:pPr>
  </w:style>
  <w:style w:type="paragraph" w:styleId="35">
    <w:name w:val="Body Text First Indent"/>
    <w:basedOn w:val="34"/>
    <w:next w:val="1"/>
    <w:qFormat/>
    <w:uiPriority w:val="0"/>
    <w:pPr>
      <w:ind w:firstLine="420" w:firstLineChars="100"/>
    </w:pPr>
  </w:style>
  <w:style w:type="paragraph" w:styleId="36">
    <w:name w:val="Body Text Indent"/>
    <w:basedOn w:val="1"/>
    <w:qFormat/>
    <w:uiPriority w:val="0"/>
    <w:pPr>
      <w:spacing w:after="120" w:afterLines="0" w:afterAutospacing="0"/>
      <w:ind w:left="420" w:leftChars="200"/>
    </w:pPr>
  </w:style>
  <w:style w:type="paragraph" w:styleId="37">
    <w:name w:val="List Number 3"/>
    <w:basedOn w:val="1"/>
    <w:qFormat/>
    <w:uiPriority w:val="0"/>
    <w:pPr>
      <w:numPr>
        <w:ilvl w:val="0"/>
        <w:numId w:val="6"/>
      </w:numPr>
    </w:p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afterLines="0" w:afterAutospacing="0"/>
      <w:ind w:left="420" w:leftChars="200"/>
    </w:pPr>
  </w:style>
  <w:style w:type="paragraph" w:styleId="40">
    <w:name w:val="Block Text"/>
    <w:basedOn w:val="1"/>
    <w:qFormat/>
    <w:uiPriority w:val="0"/>
    <w:pPr>
      <w:spacing w:after="120" w:afterLines="0" w:afterAutospacing="0"/>
      <w:ind w:left="1440" w:leftChars="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1680" w:leftChars="800"/>
    </w:pPr>
  </w:style>
  <w:style w:type="paragraph" w:styleId="45">
    <w:name w:val="toc 3"/>
    <w:basedOn w:val="1"/>
    <w:next w:val="1"/>
    <w:qFormat/>
    <w:uiPriority w:val="0"/>
    <w:pPr>
      <w:ind w:left="840" w:leftChars="400"/>
    </w:pPr>
  </w:style>
  <w:style w:type="paragraph" w:styleId="46">
    <w:name w:val="Plain Text"/>
    <w:basedOn w:val="1"/>
    <w:qFormat/>
    <w:uiPriority w:val="0"/>
    <w:rPr>
      <w:rFonts w:ascii="宋体" w:hAnsi="Courier New"/>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294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100" w:leftChars="2500"/>
    </w:pPr>
  </w:style>
  <w:style w:type="paragraph" w:styleId="52">
    <w:name w:val="Body Text Indent 2"/>
    <w:basedOn w:val="1"/>
    <w:qFormat/>
    <w:uiPriority w:val="0"/>
    <w:pPr>
      <w:spacing w:after="120" w:afterLines="0" w:afterAutospacing="0" w:line="480" w:lineRule="auto"/>
      <w:ind w:left="42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afterLines="0" w:afterAutospacing="0"/>
      <w:ind w:left="2100" w:leftChars="1000"/>
    </w:pPr>
  </w:style>
  <w:style w:type="paragraph" w:styleId="55">
    <w:name w:val="Balloon Text"/>
    <w:basedOn w:val="1"/>
    <w:qFormat/>
    <w:uiPriority w:val="0"/>
    <w:rPr>
      <w:sz w:val="18"/>
    </w:rPr>
  </w:style>
  <w:style w:type="paragraph" w:styleId="56">
    <w:name w:val="footer"/>
    <w:basedOn w:val="1"/>
    <w:qFormat/>
    <w:uiPriority w:val="0"/>
    <w:pPr>
      <w:tabs>
        <w:tab w:val="center" w:pos="4153"/>
        <w:tab w:val="right" w:pos="8306"/>
      </w:tabs>
      <w:snapToGrid w:val="0"/>
      <w:jc w:val="left"/>
    </w:pPr>
    <w:rPr>
      <w:sz w:val="18"/>
    </w:rPr>
  </w:style>
  <w:style w:type="paragraph" w:styleId="57">
    <w:name w:val="envelope return"/>
    <w:basedOn w:val="1"/>
    <w:qFormat/>
    <w:uiPriority w:val="0"/>
    <w:pPr>
      <w:snapToGrid w:val="0"/>
    </w:pPr>
    <w:rPr>
      <w:rFonts w:ascii="Arial" w:hAnsi="Arial"/>
    </w:rPr>
  </w:style>
  <w:style w:type="paragraph" w:styleId="5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9">
    <w:name w:val="Signature"/>
    <w:basedOn w:val="1"/>
    <w:qFormat/>
    <w:uiPriority w:val="0"/>
    <w:pPr>
      <w:ind w:left="100" w:leftChars="2100"/>
    </w:pPr>
  </w:style>
  <w:style w:type="paragraph" w:styleId="60">
    <w:name w:val="toc 1"/>
    <w:basedOn w:val="1"/>
    <w:next w:val="1"/>
    <w:qFormat/>
    <w:uiPriority w:val="0"/>
  </w:style>
  <w:style w:type="paragraph" w:styleId="61">
    <w:name w:val="List Continue 4"/>
    <w:basedOn w:val="1"/>
    <w:qFormat/>
    <w:uiPriority w:val="0"/>
    <w:pPr>
      <w:spacing w:after="120" w:afterLines="0" w:afterAutospacing="0"/>
      <w:ind w:left="1680" w:leftChars="800"/>
    </w:pPr>
  </w:style>
  <w:style w:type="paragraph" w:styleId="62">
    <w:name w:val="toc 4"/>
    <w:basedOn w:val="1"/>
    <w:next w:val="1"/>
    <w:qFormat/>
    <w:uiPriority w:val="0"/>
    <w:pPr>
      <w:ind w:left="1260" w:leftChars="600"/>
    </w:pPr>
  </w:style>
  <w:style w:type="paragraph" w:styleId="63">
    <w:name w:val="index heading"/>
    <w:basedOn w:val="1"/>
    <w:next w:val="64"/>
    <w:qFormat/>
    <w:uiPriority w:val="0"/>
    <w:rPr>
      <w:rFonts w:ascii="Arial" w:hAnsi="Arial"/>
      <w:b/>
    </w:rPr>
  </w:style>
  <w:style w:type="paragraph" w:styleId="64">
    <w:name w:val="index 1"/>
    <w:basedOn w:val="1"/>
    <w:next w:val="1"/>
    <w:qFormat/>
    <w:uiPriority w:val="0"/>
  </w:style>
  <w:style w:type="paragraph" w:styleId="65">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rPr>
  </w:style>
  <w:style w:type="paragraph" w:styleId="69">
    <w:name w:val="toc 6"/>
    <w:basedOn w:val="1"/>
    <w:next w:val="1"/>
    <w:qFormat/>
    <w:uiPriority w:val="0"/>
    <w:pPr>
      <w:ind w:left="2100" w:leftChars="1000"/>
    </w:pPr>
  </w:style>
  <w:style w:type="paragraph" w:styleId="70">
    <w:name w:val="List 5"/>
    <w:basedOn w:val="1"/>
    <w:qFormat/>
    <w:uiPriority w:val="0"/>
    <w:pPr>
      <w:ind w:left="100" w:leftChars="800" w:hanging="200" w:hangingChars="200"/>
    </w:pPr>
  </w:style>
  <w:style w:type="paragraph" w:styleId="71">
    <w:name w:val="Body Text Indent 3"/>
    <w:basedOn w:val="1"/>
    <w:qFormat/>
    <w:uiPriority w:val="0"/>
    <w:pPr>
      <w:spacing w:after="120" w:afterLines="0" w:afterAutospacing="0"/>
      <w:ind w:left="420" w:leftChars="200"/>
    </w:pPr>
    <w:rPr>
      <w:sz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Chars="200" w:hanging="200" w:hangingChars="200"/>
    </w:pPr>
  </w:style>
  <w:style w:type="paragraph" w:styleId="75">
    <w:name w:val="toc 2"/>
    <w:basedOn w:val="1"/>
    <w:next w:val="1"/>
    <w:qFormat/>
    <w:uiPriority w:val="0"/>
    <w:pPr>
      <w:ind w:left="420" w:leftChars="200"/>
    </w:pPr>
  </w:style>
  <w:style w:type="paragraph" w:styleId="76">
    <w:name w:val="toc 9"/>
    <w:basedOn w:val="1"/>
    <w:next w:val="1"/>
    <w:qFormat/>
    <w:uiPriority w:val="0"/>
    <w:pPr>
      <w:ind w:left="3360" w:leftChars="1600"/>
    </w:pPr>
  </w:style>
  <w:style w:type="paragraph" w:styleId="77">
    <w:name w:val="Body Text 2"/>
    <w:basedOn w:val="1"/>
    <w:qFormat/>
    <w:uiPriority w:val="0"/>
    <w:pPr>
      <w:spacing w:after="120" w:afterLines="0" w:afterAutospacing="0" w:line="480" w:lineRule="auto"/>
    </w:pPr>
  </w:style>
  <w:style w:type="paragraph" w:styleId="78">
    <w:name w:val="List 4"/>
    <w:basedOn w:val="1"/>
    <w:qFormat/>
    <w:uiPriority w:val="0"/>
    <w:pPr>
      <w:ind w:left="100" w:leftChars="600" w:hanging="200" w:hangingChars="200"/>
    </w:pPr>
  </w:style>
  <w:style w:type="paragraph" w:styleId="79">
    <w:name w:val="List Continue 2"/>
    <w:basedOn w:val="1"/>
    <w:qFormat/>
    <w:uiPriority w:val="0"/>
    <w:pPr>
      <w:spacing w:after="120" w:afterLines="0" w:afterAutospacing="0"/>
      <w:ind w:left="84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1">
    <w:name w:val="HTML Preformatted"/>
    <w:basedOn w:val="1"/>
    <w:qFormat/>
    <w:uiPriority w:val="0"/>
    <w:rPr>
      <w:rFonts w:ascii="Courier New" w:hAnsi="Courier New"/>
      <w:sz w:val="20"/>
    </w:rPr>
  </w:style>
  <w:style w:type="paragraph" w:styleId="82">
    <w:name w:val="Normal (Web)"/>
    <w:basedOn w:val="1"/>
    <w:qFormat/>
    <w:uiPriority w:val="0"/>
    <w:rPr>
      <w:sz w:val="24"/>
    </w:rPr>
  </w:style>
  <w:style w:type="paragraph" w:styleId="83">
    <w:name w:val="List Continue 3"/>
    <w:basedOn w:val="1"/>
    <w:qFormat/>
    <w:uiPriority w:val="0"/>
    <w:pPr>
      <w:spacing w:after="120" w:afterLines="0" w:afterAutospacing="0"/>
      <w:ind w:left="126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6">
    <w:name w:val="annotation subject"/>
    <w:basedOn w:val="28"/>
    <w:next w:val="28"/>
    <w:qFormat/>
    <w:uiPriority w:val="0"/>
    <w:rPr>
      <w:b/>
    </w:rPr>
  </w:style>
  <w:style w:type="paragraph" w:styleId="87">
    <w:name w:val="Body Text First Indent 2"/>
    <w:basedOn w:val="36"/>
    <w:qFormat/>
    <w:uiPriority w:val="0"/>
    <w:pPr>
      <w:ind w:firstLine="420" w:firstLineChars="200"/>
    </w:pPr>
  </w:style>
  <w:style w:type="table" w:styleId="89">
    <w:name w:val="Table Grid"/>
    <w:basedOn w:val="8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1">
    <w:name w:val="xl31"/>
    <w:basedOn w:val="1"/>
    <w:qFormat/>
    <w:uiPriority w:val="0"/>
    <w:pPr>
      <w:widowControl/>
      <w:spacing w:before="100" w:beforeAutospacing="1" w:after="100" w:afterAutospacing="1"/>
      <w:jc w:val="center"/>
    </w:pPr>
    <w:rPr>
      <w:b/>
      <w:bCs/>
      <w:kern w:val="0"/>
      <w:sz w:val="28"/>
      <w:szCs w:val="28"/>
    </w:rPr>
  </w:style>
  <w:style w:type="paragraph" w:customStyle="1" w:styleId="92">
    <w:name w:val="D&amp;L"/>
    <w:basedOn w:val="5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4">
    <w:name w:val="列出段落1"/>
    <w:basedOn w:val="1"/>
    <w:qFormat/>
    <w:uiPriority w:val="0"/>
    <w:pPr>
      <w:ind w:firstLine="420" w:firstLineChars="200"/>
    </w:pPr>
    <w:rPr>
      <w:szCs w:val="21"/>
    </w:rPr>
  </w:style>
  <w:style w:type="paragraph" w:customStyle="1" w:styleId="95">
    <w:name w:val="Char Char Char Char Char Char Char1 Char"/>
    <w:basedOn w:val="1"/>
    <w:qFormat/>
    <w:uiPriority w:val="0"/>
    <w:rPr>
      <w:rFonts w:ascii="Arial" w:hAnsi="Arial" w:eastAsia="宋体" w:cs="Arial"/>
      <w:sz w:val="24"/>
    </w:rPr>
  </w:style>
  <w:style w:type="table" w:customStyle="1" w:styleId="96">
    <w:name w:val="Table Normal"/>
    <w:semiHidden/>
    <w:unhideWhenUsed/>
    <w:qFormat/>
    <w:uiPriority w:val="0"/>
    <w:tblPr>
      <w:tblCellMar>
        <w:top w:w="0" w:type="dxa"/>
        <w:left w:w="0" w:type="dxa"/>
        <w:bottom w:w="0" w:type="dxa"/>
        <w:right w:w="0" w:type="dxa"/>
      </w:tblCellMar>
    </w:tblPr>
  </w:style>
  <w:style w:type="paragraph" w:customStyle="1" w:styleId="97">
    <w:name w:val="Table Text"/>
    <w:basedOn w:val="1"/>
    <w:semiHidden/>
    <w:qFormat/>
    <w:uiPriority w:val="0"/>
    <w:rPr>
      <w:rFonts w:ascii="Arial" w:hAnsi="Arial" w:eastAsia="Arial" w:cs="Arial"/>
      <w:szCs w:val="21"/>
      <w:lang w:eastAsia="en-US"/>
    </w:rPr>
  </w:style>
  <w:style w:type="character" w:customStyle="1" w:styleId="98">
    <w:name w:val="font01"/>
    <w:basedOn w:val="90"/>
    <w:qFormat/>
    <w:uiPriority w:val="0"/>
    <w:rPr>
      <w:rFonts w:hint="eastAsia" w:ascii="宋体" w:hAnsi="宋体" w:eastAsia="宋体" w:cs="宋体"/>
      <w:color w:val="000000"/>
      <w:sz w:val="22"/>
      <w:szCs w:val="22"/>
      <w:u w:val="none"/>
    </w:rPr>
  </w:style>
  <w:style w:type="character" w:customStyle="1" w:styleId="99">
    <w:name w:val="font41"/>
    <w:basedOn w:val="90"/>
    <w:qFormat/>
    <w:uiPriority w:val="0"/>
    <w:rPr>
      <w:rFonts w:hint="eastAsia" w:ascii="宋体" w:hAnsi="宋体" w:eastAsia="宋体" w:cs="宋体"/>
      <w:color w:val="FF0000"/>
      <w:sz w:val="22"/>
      <w:szCs w:val="22"/>
      <w:u w:val="none"/>
    </w:rPr>
  </w:style>
  <w:style w:type="character" w:customStyle="1" w:styleId="100">
    <w:name w:val="font11"/>
    <w:basedOn w:val="90"/>
    <w:qFormat/>
    <w:uiPriority w:val="0"/>
    <w:rPr>
      <w:rFonts w:hint="eastAsia" w:ascii="微软雅黑" w:hAnsi="微软雅黑" w:eastAsia="微软雅黑" w:cs="微软雅黑"/>
      <w:color w:val="000000"/>
      <w:sz w:val="20"/>
      <w:szCs w:val="20"/>
      <w:u w:val="none"/>
    </w:rPr>
  </w:style>
  <w:style w:type="character" w:customStyle="1" w:styleId="101">
    <w:name w:val="font21"/>
    <w:basedOn w:val="90"/>
    <w:qFormat/>
    <w:uiPriority w:val="0"/>
    <w:rPr>
      <w:rFonts w:hint="eastAsia" w:ascii="宋体" w:hAnsi="宋体" w:eastAsia="宋体" w:cs="宋体"/>
      <w:color w:val="000000"/>
      <w:sz w:val="20"/>
      <w:szCs w:val="20"/>
      <w:u w:val="none"/>
    </w:rPr>
  </w:style>
  <w:style w:type="character" w:customStyle="1" w:styleId="102">
    <w:name w:val="font31"/>
    <w:basedOn w:val="90"/>
    <w:qFormat/>
    <w:uiPriority w:val="0"/>
    <w:rPr>
      <w:rFonts w:ascii="Arial" w:hAnsi="Arial" w:cs="Arial"/>
      <w:color w:val="000000"/>
      <w:sz w:val="20"/>
      <w:szCs w:val="20"/>
      <w:u w:val="none"/>
    </w:rPr>
  </w:style>
  <w:style w:type="paragraph" w:customStyle="1" w:styleId="103">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szCs w:val="24"/>
    </w:rPr>
  </w:style>
  <w:style w:type="paragraph" w:styleId="104">
    <w:name w:val="List Paragraph"/>
    <w:basedOn w:val="1"/>
    <w:qFormat/>
    <w:uiPriority w:val="34"/>
    <w:pPr>
      <w:ind w:firstLine="420" w:firstLineChars="200"/>
    </w:pPr>
  </w:style>
  <w:style w:type="paragraph" w:customStyle="1" w:styleId="105">
    <w:name w:val="方案  正文"/>
    <w:qFormat/>
    <w:uiPriority w:val="0"/>
    <w:pPr>
      <w:adjustRightInd w:val="0"/>
      <w:snapToGrid w:val="0"/>
      <w:spacing w:line="360" w:lineRule="auto"/>
      <w:ind w:firstLine="1041" w:firstLineChars="200"/>
    </w:pPr>
    <w:rPr>
      <w:rFonts w:ascii="宋体" w:hAnsi="宋体" w:eastAsia="宋体" w:cs="宋体"/>
      <w:color w:val="000000"/>
      <w:sz w:val="24"/>
      <w:szCs w:val="24"/>
      <w:lang w:val="en-US" w:eastAsia="zh-CN" w:bidi="ar-SA"/>
    </w:rPr>
  </w:style>
  <w:style w:type="character" w:customStyle="1" w:styleId="106">
    <w:name w:val="font81"/>
    <w:basedOn w:val="90"/>
    <w:qFormat/>
    <w:uiPriority w:val="0"/>
    <w:rPr>
      <w:rFonts w:hint="eastAsia" w:ascii="宋体" w:hAnsi="宋体" w:eastAsia="宋体" w:cs="宋体"/>
      <w:color w:val="000000"/>
      <w:sz w:val="21"/>
      <w:szCs w:val="21"/>
      <w:u w:val="none"/>
    </w:rPr>
  </w:style>
  <w:style w:type="character" w:customStyle="1" w:styleId="107">
    <w:name w:val="font141"/>
    <w:basedOn w:val="90"/>
    <w:qFormat/>
    <w:uiPriority w:val="0"/>
    <w:rPr>
      <w:rFonts w:hint="eastAsia" w:ascii="宋体" w:hAnsi="宋体" w:eastAsia="宋体" w:cs="宋体"/>
      <w:color w:val="FF0000"/>
      <w:sz w:val="21"/>
      <w:szCs w:val="21"/>
      <w:u w:val="none"/>
    </w:rPr>
  </w:style>
  <w:style w:type="character" w:customStyle="1" w:styleId="108">
    <w:name w:val="font112"/>
    <w:basedOn w:val="9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22924</Words>
  <Characters>24915</Characters>
  <Lines>0</Lines>
  <Paragraphs>0</Paragraphs>
  <TotalTime>9</TotalTime>
  <ScaleCrop>false</ScaleCrop>
  <LinksUpToDate>false</LinksUpToDate>
  <CharactersWithSpaces>25113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2025-04-24T01:10:00Z</dcterms:created>
  <dc:creator>Administrator</dc:creator>
  <cp:lastModifiedBy>Administrator</cp:lastModifiedBy>
  <dcterms:modified xsi:type="dcterms:W3CDTF">2026-10-19T06:02:12Z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eyJoZGlkIjoiYjVhYTIxNDY2YTlmNDcxNzdmYzA2NjAwODc4ZmVmZjUiLCJ1c2VySWQiOiIzOTE3NjAwNzgifQ==</vt:lpwstr>
  </property>
  <property fmtid="{D5CDD505-2E9C-101B-9397-08002B2CF9AE}" pid="4" name="ICV">
    <vt:lpwstr>320BD7540D1F48D1B47AC7CB89CEA02C_13</vt:lpwstr>
  </property>
</Properties>
</file>